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775A7">
      <w:pPr>
        <w:widowControl/>
        <w:spacing w:line="520" w:lineRule="atLeast"/>
        <w:ind w:firstLine="560"/>
        <w:jc w:val="left"/>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p w14:paraId="7D2FD6FE">
      <w:pPr>
        <w:pStyle w:val="17"/>
        <w:ind w:left="126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p>
    <w:p w14:paraId="3E4D270B">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D78B2A7">
      <w:pPr>
        <w:tabs>
          <w:tab w:val="left" w:pos="1365"/>
          <w:tab w:val="center" w:pos="4422"/>
        </w:tabs>
        <w:spacing w:before="100" w:after="100" w:line="360" w:lineRule="auto"/>
        <w:jc w:val="cente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t>中国医学科学院皮肤病医院</w:t>
      </w:r>
    </w:p>
    <w:p w14:paraId="7D1635F4">
      <w:pPr>
        <w:tabs>
          <w:tab w:val="left" w:pos="1365"/>
          <w:tab w:val="center" w:pos="4422"/>
        </w:tabs>
        <w:spacing w:before="100" w:after="100" w:line="360" w:lineRule="auto"/>
        <w:jc w:val="cente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t>（中国医学科学院皮肤病研究所）医用冰箱设备采购项目</w:t>
      </w:r>
    </w:p>
    <w:p w14:paraId="56364311">
      <w:pPr>
        <w:pStyle w:val="20"/>
        <w:jc w:val="center"/>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pPr>
    </w:p>
    <w:p w14:paraId="4FA0DB61">
      <w:pPr>
        <w:pStyle w:val="20"/>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pPr>
    </w:p>
    <w:p w14:paraId="017851BB">
      <w:pPr>
        <w:pStyle w:val="20"/>
        <w:jc w:val="center"/>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t>招 标 文 件</w:t>
      </w:r>
    </w:p>
    <w:p w14:paraId="03EDC8B6">
      <w:pPr>
        <w:spacing w:line="440" w:lineRule="exact"/>
        <w:jc w:val="center"/>
        <w:rPr>
          <w:rFonts w:hint="eastAsia" w:asciiTheme="minorEastAsia" w:hAnsiTheme="minorEastAsia" w:eastAsiaTheme="minorEastAsia" w:cstheme="minorEastAsia"/>
          <w:b/>
          <w:color w:val="000000" w:themeColor="text1"/>
          <w:sz w:val="96"/>
          <w:highlight w:val="none"/>
          <w14:textFill>
            <w14:solidFill>
              <w14:schemeClr w14:val="tx1"/>
            </w14:solidFill>
          </w14:textFill>
        </w:rPr>
      </w:pPr>
    </w:p>
    <w:p w14:paraId="490C7057">
      <w:pPr>
        <w:spacing w:line="360" w:lineRule="auto"/>
        <w:ind w:right="640"/>
        <w:jc w:val="center"/>
        <w:rPr>
          <w:rFonts w:hint="eastAsia" w:asciiTheme="minorEastAsia" w:hAnsiTheme="minorEastAsia" w:eastAsiaTheme="minorEastAsia" w:cstheme="minorEastAsia"/>
          <w:b/>
          <w:color w:val="000000" w:themeColor="text1"/>
          <w:sz w:val="44"/>
          <w:szCs w:val="44"/>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xml:space="preserve">  项目编号：</w:t>
      </w:r>
      <w:r>
        <w:rPr>
          <w:rFonts w:hint="eastAsia" w:asciiTheme="minorEastAsia" w:hAnsiTheme="minorEastAsia" w:eastAsiaTheme="minorEastAsia" w:cstheme="minorEastAsia"/>
          <w:b/>
          <w:color w:val="000000" w:themeColor="text1"/>
          <w:sz w:val="44"/>
          <w:szCs w:val="44"/>
          <w:highlight w:val="none"/>
          <w:lang w:eastAsia="zh-CN"/>
          <w14:textFill>
            <w14:solidFill>
              <w14:schemeClr w14:val="tx1"/>
            </w14:solidFill>
          </w14:textFill>
        </w:rPr>
        <w:t>JSTCC26025106139</w:t>
      </w:r>
    </w:p>
    <w:p w14:paraId="31BDAA7D">
      <w:pPr>
        <w:spacing w:line="360" w:lineRule="auto"/>
        <w:ind w:right="640"/>
        <w:rPr>
          <w:rFonts w:hint="eastAsia" w:asciiTheme="minorEastAsia" w:hAnsiTheme="minorEastAsia" w:eastAsiaTheme="minorEastAsia" w:cstheme="minorEastAsia"/>
          <w:color w:val="000000" w:themeColor="text1"/>
          <w:sz w:val="32"/>
          <w:highlight w:val="none"/>
          <w14:textFill>
            <w14:solidFill>
              <w14:schemeClr w14:val="tx1"/>
            </w14:solidFill>
          </w14:textFill>
        </w:rPr>
      </w:pPr>
    </w:p>
    <w:p w14:paraId="0E2A0DB4">
      <w:pPr>
        <w:spacing w:line="360" w:lineRule="auto"/>
        <w:ind w:right="640"/>
        <w:rPr>
          <w:rFonts w:hint="eastAsia" w:asciiTheme="minorEastAsia" w:hAnsiTheme="minorEastAsia" w:eastAsiaTheme="minorEastAsia" w:cstheme="minorEastAsia"/>
          <w:color w:val="000000" w:themeColor="text1"/>
          <w:sz w:val="32"/>
          <w:highlight w:val="none"/>
          <w14:textFill>
            <w14:solidFill>
              <w14:schemeClr w14:val="tx1"/>
            </w14:solidFill>
          </w14:textFill>
        </w:rPr>
      </w:pPr>
    </w:p>
    <w:p w14:paraId="3A9CC65C">
      <w:pPr>
        <w:spacing w:line="360" w:lineRule="auto"/>
        <w:ind w:right="640"/>
        <w:rPr>
          <w:rFonts w:hint="eastAsia" w:asciiTheme="minorEastAsia" w:hAnsiTheme="minorEastAsia" w:eastAsiaTheme="minorEastAsia" w:cstheme="minorEastAsia"/>
          <w:color w:val="000000" w:themeColor="text1"/>
          <w:sz w:val="32"/>
          <w:highlight w:val="none"/>
          <w14:textFill>
            <w14:solidFill>
              <w14:schemeClr w14:val="tx1"/>
            </w14:solidFill>
          </w14:textFill>
        </w:rPr>
      </w:pPr>
    </w:p>
    <w:tbl>
      <w:tblPr>
        <w:tblStyle w:val="38"/>
        <w:tblW w:w="0" w:type="auto"/>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5594"/>
      </w:tblGrid>
      <w:tr w14:paraId="755F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Borders>
              <w:top w:val="nil"/>
              <w:left w:val="nil"/>
              <w:bottom w:val="nil"/>
              <w:right w:val="nil"/>
            </w:tcBorders>
            <w:vAlign w:val="center"/>
          </w:tcPr>
          <w:p w14:paraId="10851F5C">
            <w:pPr>
              <w:tabs>
                <w:tab w:val="left" w:pos="360"/>
              </w:tabs>
              <w:spacing w:line="360" w:lineRule="auto"/>
              <w:jc w:val="distribute"/>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采购人：</w:t>
            </w:r>
          </w:p>
        </w:tc>
        <w:tc>
          <w:tcPr>
            <w:tcW w:w="5594" w:type="dxa"/>
            <w:tcBorders>
              <w:top w:val="nil"/>
              <w:left w:val="nil"/>
              <w:bottom w:val="nil"/>
              <w:right w:val="nil"/>
            </w:tcBorders>
          </w:tcPr>
          <w:p w14:paraId="45E678CC">
            <w:pPr>
              <w:tabs>
                <w:tab w:val="left" w:pos="360"/>
              </w:tabs>
              <w:spacing w:line="360" w:lineRule="auto"/>
              <w:jc w:val="left"/>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中国医学科学院皮肤病医院</w:t>
            </w:r>
          </w:p>
          <w:p w14:paraId="2460448E">
            <w:pPr>
              <w:tabs>
                <w:tab w:val="left" w:pos="360"/>
              </w:tabs>
              <w:spacing w:line="360" w:lineRule="auto"/>
              <w:jc w:val="left"/>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（中国医学科学院皮肤病研究所）</w:t>
            </w:r>
          </w:p>
        </w:tc>
      </w:tr>
      <w:tr w14:paraId="0B60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Borders>
              <w:top w:val="nil"/>
              <w:left w:val="nil"/>
              <w:bottom w:val="nil"/>
              <w:right w:val="nil"/>
            </w:tcBorders>
            <w:vAlign w:val="center"/>
          </w:tcPr>
          <w:p w14:paraId="5E36D869">
            <w:pPr>
              <w:tabs>
                <w:tab w:val="left" w:pos="360"/>
              </w:tabs>
              <w:spacing w:line="360" w:lineRule="auto"/>
              <w:jc w:val="distribute"/>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采购代理机构：</w:t>
            </w:r>
          </w:p>
        </w:tc>
        <w:tc>
          <w:tcPr>
            <w:tcW w:w="5594" w:type="dxa"/>
            <w:tcBorders>
              <w:top w:val="nil"/>
              <w:left w:val="nil"/>
              <w:bottom w:val="nil"/>
              <w:right w:val="nil"/>
            </w:tcBorders>
          </w:tcPr>
          <w:p w14:paraId="23A539B3">
            <w:pPr>
              <w:tabs>
                <w:tab w:val="left" w:pos="360"/>
              </w:tabs>
              <w:spacing w:line="360" w:lineRule="auto"/>
              <w:jc w:val="left"/>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江苏省招标中心有限公司</w:t>
            </w:r>
          </w:p>
        </w:tc>
      </w:tr>
    </w:tbl>
    <w:p w14:paraId="43DC231E">
      <w:pPr>
        <w:jc w:val="center"/>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二</w:t>
      </w:r>
      <w:r>
        <w:rPr>
          <w:rFonts w:hint="eastAsia" w:asciiTheme="minorEastAsia" w:hAnsiTheme="minorEastAsia" w:eastAsiaTheme="minorEastAsia" w:cstheme="minorEastAsia"/>
          <w:b/>
          <w:color w:val="000000" w:themeColor="text1"/>
          <w:sz w:val="32"/>
          <w:highlight w:val="none"/>
          <w:lang w:val="en-US" w:eastAsia="zh-CN"/>
          <w14:textFill>
            <w14:solidFill>
              <w14:schemeClr w14:val="tx1"/>
            </w14:solidFill>
          </w14:textFill>
        </w:rPr>
        <w:t>〇</w:t>
      </w: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二六年</w:t>
      </w:r>
      <w:r>
        <w:rPr>
          <w:rFonts w:hint="eastAsia" w:asciiTheme="minorEastAsia" w:hAnsiTheme="minorEastAsia" w:eastAsiaTheme="minorEastAsia" w:cstheme="minorEastAsia"/>
          <w:b/>
          <w:color w:val="000000" w:themeColor="text1"/>
          <w:sz w:val="32"/>
          <w:highlight w:val="none"/>
          <w:lang w:val="en-US" w:eastAsia="zh-CN"/>
          <w14:textFill>
            <w14:solidFill>
              <w14:schemeClr w14:val="tx1"/>
            </w14:solidFill>
          </w14:textFill>
        </w:rPr>
        <w:t>八</w:t>
      </w: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月</w:t>
      </w:r>
    </w:p>
    <w:p w14:paraId="14F9B96B">
      <w:pPr>
        <w:pStyle w:val="34"/>
        <w:rPr>
          <w:rFonts w:hint="eastAsia" w:asciiTheme="minorEastAsia" w:hAnsiTheme="minorEastAsia" w:eastAsiaTheme="minorEastAsia" w:cstheme="minorEastAsia"/>
          <w:color w:val="000000" w:themeColor="text1"/>
          <w:highlight w:val="none"/>
          <w14:textFill>
            <w14:solidFill>
              <w14:schemeClr w14:val="tx1"/>
            </w14:solidFill>
          </w14:textFill>
        </w:rPr>
        <w:sectPr>
          <w:headerReference r:id="rId3" w:type="default"/>
          <w:footerReference r:id="rId4" w:type="default"/>
          <w:pgSz w:w="11906" w:h="16838"/>
          <w:pgMar w:top="1474" w:right="1531" w:bottom="1474" w:left="1531" w:header="737" w:footer="992" w:gutter="0"/>
          <w:pgNumType w:start="1"/>
          <w:cols w:space="720" w:num="1"/>
          <w:docGrid w:type="lines" w:linePitch="312" w:charSpace="0"/>
        </w:sectPr>
      </w:pPr>
    </w:p>
    <w:p w14:paraId="1F2439B0">
      <w:pPr>
        <w:spacing w:line="500" w:lineRule="exact"/>
        <w:jc w:val="cente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pPr>
      <w:bookmarkStart w:id="0" w:name="_Toc531620161"/>
      <w:bookmarkStart w:id="1" w:name="_Toc80264696"/>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目   录</w:t>
      </w:r>
    </w:p>
    <w:p w14:paraId="38B4029E">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TOC \o "1-1" \h \u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_Toc1746767186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第一章 招标公告</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_Toc1746767186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3F48F558">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_Toc1814640612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第二章 </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须知</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_Toc1814640612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0AD7B120">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_Toc1412940841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第三章 评标方法与评标标准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_Toc1412940841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27</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76352088">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_Toc422546161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szCs w:val="32"/>
          <w:highlight w:val="none"/>
          <w14:textFill>
            <w14:solidFill>
              <w14:schemeClr w14:val="tx1"/>
            </w14:solidFill>
          </w14:textFill>
        </w:rPr>
        <w:t>第四章 采购需求</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_Toc422546161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30</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2D73C09B">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_Toc4907298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szCs w:val="32"/>
          <w:highlight w:val="none"/>
          <w14:textFill>
            <w14:solidFill>
              <w14:schemeClr w14:val="tx1"/>
            </w14:solidFill>
          </w14:textFill>
        </w:rPr>
        <w:t>第五章 合同条款及格式</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_Toc4907298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41</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0847CEC9">
      <w:pPr>
        <w:pStyle w:val="27"/>
        <w:tabs>
          <w:tab w:val="right" w:leader="dot" w:pos="8844"/>
        </w:tabs>
        <w:spacing w:line="48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HYPERLINK \l _Toc267746937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第六章 投标文件格式</w:t>
      </w: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highlight w:val="none"/>
          <w14:textFill>
            <w14:solidFill>
              <w14:schemeClr w14:val="tx1"/>
            </w14:solidFill>
          </w14:textFill>
        </w:rPr>
        <w:instrText xml:space="preserve"> PAGEREF _Toc267746937 \h </w:instrTex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highlight w:val="none"/>
          <w14:textFill>
            <w14:solidFill>
              <w14:schemeClr w14:val="tx1"/>
            </w14:solidFill>
          </w14:textFill>
        </w:rPr>
        <w:t>44</w:t>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p w14:paraId="230A370F">
      <w:pPr>
        <w:pStyle w:val="27"/>
        <w:tabs>
          <w:tab w:val="right" w:leader="dot" w:pos="8844"/>
        </w:tabs>
        <w:spacing w:line="480" w:lineRule="auto"/>
        <w:rPr>
          <w:rFonts w:hint="eastAsia" w:asciiTheme="minorEastAsia" w:hAnsiTheme="minorEastAsia" w:eastAsiaTheme="minorEastAsia" w:cstheme="minorEastAsia"/>
          <w:b w:val="0"/>
          <w:bCs w:val="0"/>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fldChar w:fldCharType="end"/>
      </w:r>
    </w:p>
    <w:bookmarkEnd w:id="0"/>
    <w:bookmarkEnd w:id="1"/>
    <w:p w14:paraId="23E7946C">
      <w:pPr>
        <w:pStyle w:val="34"/>
        <w:numPr>
          <w:ilvl w:val="0"/>
          <w:numId w:val="1"/>
        </w:numPr>
        <w:rPr>
          <w:rFonts w:hint="eastAsia" w:asciiTheme="minorEastAsia" w:hAnsiTheme="minorEastAsia" w:eastAsiaTheme="minorEastAsia" w:cstheme="minorEastAsia"/>
          <w:color w:val="000000" w:themeColor="text1"/>
          <w:highlight w:val="none"/>
          <w14:textFill>
            <w14:solidFill>
              <w14:schemeClr w14:val="tx1"/>
            </w14:solidFill>
          </w14:textFill>
        </w:rPr>
        <w:sectPr>
          <w:footerReference r:id="rId5" w:type="default"/>
          <w:pgSz w:w="11906" w:h="16838"/>
          <w:pgMar w:top="1327" w:right="1588" w:bottom="1327" w:left="1588" w:header="851" w:footer="992" w:gutter="0"/>
          <w:cols w:space="720" w:num="1"/>
          <w:docGrid w:type="lines" w:linePitch="312" w:charSpace="0"/>
        </w:sectPr>
      </w:pPr>
      <w:bookmarkStart w:id="2" w:name="_Toc16247"/>
      <w:bookmarkStart w:id="3" w:name="_Toc1746767186"/>
      <w:bookmarkStart w:id="4" w:name="_Toc80792688"/>
      <w:bookmarkStart w:id="5" w:name="_Toc80264697"/>
      <w:bookmarkStart w:id="657" w:name="_GoBack"/>
      <w:bookmarkEnd w:id="657"/>
    </w:p>
    <w:p w14:paraId="55E83D83">
      <w:pPr>
        <w:pStyle w:val="34"/>
        <w:numPr>
          <w:ilvl w:val="0"/>
          <w:numId w:val="1"/>
        </w:numP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招标公告</w:t>
      </w:r>
      <w:bookmarkEnd w:id="2"/>
      <w:bookmarkEnd w:id="3"/>
    </w:p>
    <w:bookmarkEnd w:id="4"/>
    <w:bookmarkEnd w:id="5"/>
    <w:p w14:paraId="09F98DE4">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6" w:name="_Toc96347851"/>
      <w:bookmarkStart w:id="7" w:name="_Toc93909065"/>
      <w:bookmarkStart w:id="8" w:name="_Toc71561877"/>
      <w:bookmarkStart w:id="9" w:name="_Toc80264704"/>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项目概况</w:t>
      </w:r>
    </w:p>
    <w:p w14:paraId="24EFEB1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u w:val="single"/>
          <w:lang w:eastAsia="zh-CN"/>
          <w14:textFill>
            <w14:solidFill>
              <w14:schemeClr w14:val="tx1"/>
            </w14:solidFill>
          </w14:textFill>
        </w:rPr>
        <w:t>中国医学科学院皮肤病医院（中国医学科学院皮肤病研究所）医用冰箱设备采购项目</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的潜在</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应在</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规定的时间内通过www.jstcc.cn平台</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获取招标文件，并于</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2026年</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月</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 xml:space="preserve"> 8 </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日</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点</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（北京时间）前递交投标文件。</w:t>
      </w:r>
    </w:p>
    <w:p w14:paraId="34EDC0F2">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一、项目基本情况</w:t>
      </w:r>
      <w:bookmarkEnd w:id="6"/>
      <w:bookmarkEnd w:id="7"/>
    </w:p>
    <w:p w14:paraId="7C8CAA94">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1.1项目编号：</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JSTCC26025106139</w:t>
      </w:r>
    </w:p>
    <w:p w14:paraId="0324AFE8">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1.2项目名称：</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中国医学科学院皮肤病医院（中国医学科学院皮肤病研究所）医用冰箱设备采购项目</w:t>
      </w:r>
    </w:p>
    <w:p w14:paraId="084AD7A8">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1.3标段划分：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本采购包共划分1个标段。</w:t>
      </w:r>
    </w:p>
    <w:p w14:paraId="1FFBD26F">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1.4预算金额：</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人民币</w:t>
      </w: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99</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万元</w:t>
      </w:r>
    </w:p>
    <w:p w14:paraId="40E78F87">
      <w:pPr>
        <w:adjustRightInd w:val="0"/>
        <w:snapToGrid w:val="0"/>
        <w:spacing w:line="360" w:lineRule="auto"/>
        <w:ind w:firstLine="422"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★1.5最高限价：人民币</w:t>
      </w: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99</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万元，</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报价不得超过上述限价金额，否则将作无效报价处理。</w:t>
      </w:r>
    </w:p>
    <w:p w14:paraId="7E7F04EB">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1.6采购需求：我院为保证正常的工作开展，现拟</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采购医用冰箱一批</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Style w:val="44"/>
          <w:rFonts w:hint="eastAsia" w:asciiTheme="minorEastAsia" w:hAnsiTheme="minorEastAsia" w:eastAsiaTheme="minorEastAsia" w:cstheme="minorEastAsia"/>
          <w:color w:val="000000" w:themeColor="text1"/>
          <w:highlight w:val="none"/>
          <w14:textFill>
            <w14:solidFill>
              <w14:schemeClr w14:val="tx1"/>
            </w14:solidFill>
          </w14:textFill>
        </w:rPr>
        <w:t>具体要求详见招标文件第四章《采购需求》。</w:t>
      </w:r>
    </w:p>
    <w:p w14:paraId="1BF376A4">
      <w:pPr>
        <w:adjustRightInd w:val="0"/>
        <w:snapToGrid w:val="0"/>
        <w:spacing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★1.7合同履行期限：国产货物：合同签订后 30 日内完成供货及安装调试，并具备验收条件；进口货物：合同签订后 90 日内完成供货及安装调试，并具备验收条件。</w:t>
      </w:r>
    </w:p>
    <w:p w14:paraId="05BA87DD">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1.8本项目是否接受联合体投标：不接受</w:t>
      </w:r>
    </w:p>
    <w:p w14:paraId="303F1FB9">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1.9本项目是否接受进口产品：</w:t>
      </w:r>
      <w:sdt>
        <w:sdtP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id w:val="715861105"/>
          <w:placeholder>
            <w:docPart w:val="{9816519e-30be-42f5-8822-ca7105756f3c}"/>
          </w:placeholder>
        </w:sdtPr>
        <w:sdtEndP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sdtEndPr>
        <w:sdtContent>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接受</w:t>
          </w:r>
        </w:sdtContent>
      </w:sdt>
    </w:p>
    <w:p w14:paraId="1A8B1C34">
      <w:pPr>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0" w:name="_Toc80264698"/>
      <w:bookmarkStart w:id="11" w:name="_Toc80792689"/>
      <w:bookmarkStart w:id="12" w:name="_Toc93909066"/>
      <w:bookmarkStart w:id="13" w:name="_Toc96347852"/>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二、</w:t>
      </w:r>
      <w:bookmarkEnd w:id="10"/>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申请人的资格要求</w:t>
      </w:r>
      <w:bookmarkEnd w:id="11"/>
      <w:bookmarkEnd w:id="12"/>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w:t>
      </w:r>
      <w:bookmarkEnd w:id="13"/>
    </w:p>
    <w:p w14:paraId="3EE0148E">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14" w:name="_Toc80792690"/>
      <w:bookmarkStart w:id="15" w:name="_Toc93909067"/>
      <w:bookmarkStart w:id="16" w:name="_Toc80264699"/>
      <w:bookmarkStart w:id="17" w:name="_Toc96347853"/>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2.1满足《中华人民共和国政府采购法》第二十二条规定：</w:t>
      </w:r>
    </w:p>
    <w:p w14:paraId="1FB03C4D">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2.1.1法人或者其他组织的营业执照等证明文件，自然人的身份证明；</w:t>
      </w:r>
    </w:p>
    <w:p w14:paraId="1EBF349C">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2.1.2具有良好的商业信誉和健全的财务会计制度，提供上年度财务报表复印件（即2025年度财务报表，如为新成立的公司，应提供公司成立之后的财务报表）或投标截止时间前3个月内，由其基本开户银行出具的资信证明；</w:t>
      </w:r>
    </w:p>
    <w:p w14:paraId="2C02C48A">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2.1.3具有履行合同所必需的设备和专业技术能力，提供具备履行合同所必需的设备和专业技术能力的证明材料或承诺函（由供应商根据项目需求提供说明材料）；</w:t>
      </w:r>
    </w:p>
    <w:p w14:paraId="69EC1A68">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2.1.4有依法缴纳税收和社会保障资金的良好记录，提供本次采购活动前6个月内（</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即2026年2月（含）以来</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），至少1个月缴纳税收和社会保险的凭证复印件，依法享受免缴、缓缴的，提供证明材料复印件；</w:t>
      </w:r>
    </w:p>
    <w:p w14:paraId="3DB40840">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2.1.5参加本次政府采购活动前三年内，在经营活动中没有重大违法记录，提供声明函（重大违法记录是指供应商因违法经营受到刑事处罚或责令停产停业、吊销许可证或者执照、较大数额罚款等行政处罚）；</w:t>
      </w:r>
    </w:p>
    <w:p w14:paraId="69BA9D00">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2.1.6法律、行政法规规定的其他条件。</w:t>
      </w:r>
    </w:p>
    <w:p w14:paraId="1742D4AE">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2.2落实政府采购政策需满足的资格要求：</w:t>
      </w:r>
    </w:p>
    <w:p w14:paraId="735EDD62">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2.2.1中小企业政策：■本项目不面向中小企业预留采购份额</w:t>
      </w:r>
    </w:p>
    <w:p w14:paraId="542C6083">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2.2.2其它落实政府采购政策的资格要求（如有）：无。</w:t>
      </w:r>
    </w:p>
    <w:p w14:paraId="0C4DEC35">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2.3本项目的特定资格要求：</w:t>
      </w:r>
    </w:p>
    <w:p w14:paraId="3F832205">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2.3.1特定资格条件；</w:t>
      </w:r>
    </w:p>
    <w:p w14:paraId="6E74A00A">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存在下列情形的不得参加本次招标活动：</w:t>
      </w:r>
    </w:p>
    <w:p w14:paraId="0EEAB3D7">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2.3.2.1单位负责人为同一人或者存在直接控股、管理关系的不同</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，不得参加同一合同项下的采购活动。</w:t>
      </w:r>
    </w:p>
    <w:p w14:paraId="47210BD0">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2.3.2.2除单一来源项目外，凡为采购项目提供整体设计、规范编制或者项目管理、监理、检测等服务的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不得再参加本项目的采购活动。</w:t>
      </w:r>
    </w:p>
    <w:p w14:paraId="61EAFD48">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2.3.2.3通过“信用中国”网站（http://www.creditchina.gov.cn）、中国政府采购网（www.ccgp.gov.cn）查询</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在投标截止时间前的信用记录，通过以上查询渠道，</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被列入失信被执行人、重大税收违法失信主体名单、政府采购严重违法失信行为记录。</w:t>
      </w:r>
    </w:p>
    <w:p w14:paraId="56D553C6">
      <w:pPr>
        <w:spacing w:line="360" w:lineRule="auto"/>
        <w:ind w:firstLine="420" w:firstLineChars="200"/>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4若投标产品为医疗器械：</w:t>
      </w:r>
    </w:p>
    <w:p w14:paraId="41303D17">
      <w:pPr>
        <w:spacing w:line="360" w:lineRule="auto"/>
        <w:ind w:firstLine="420" w:firstLineChars="200"/>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（1）根据国家相关规定提供投标产品有效的医疗器械产品注册证复印件或产品备案凭证复印件；</w:t>
      </w:r>
    </w:p>
    <w:p w14:paraId="39D15E74">
      <w:pPr>
        <w:spacing w:line="360" w:lineRule="auto"/>
        <w:ind w:firstLine="420" w:firstLineChars="200"/>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（2）若投标供应商为代理商，应根据国家相关规定提供医疗器械经营许可证或医疗器械经营备案凭证复印件；</w:t>
      </w:r>
    </w:p>
    <w:p w14:paraId="62694F33">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（3）若投标供应商为生产商，应根据国家相关规定提供医疗器械生产许可证复印件或生产备案凭证复印件。</w:t>
      </w:r>
    </w:p>
    <w:p w14:paraId="266D7519">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三、获取招标文件</w:t>
      </w:r>
      <w:bookmarkEnd w:id="14"/>
      <w:bookmarkEnd w:id="15"/>
      <w:bookmarkEnd w:id="16"/>
      <w:bookmarkEnd w:id="17"/>
    </w:p>
    <w:p w14:paraId="655A4469">
      <w:pPr>
        <w:adjustRightInd w:val="0"/>
        <w:snapToGrid w:val="0"/>
        <w:spacing w:line="360" w:lineRule="auto"/>
        <w:ind w:firstLine="525" w:firstLineChars="25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18" w:name="_Toc80264700"/>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1、获取时间</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2026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8</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18</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日至</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2026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8</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25</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日</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，每天上午9：00至11：30，下午14：00至17：00（北京时间，法定节假日除外）</w:t>
      </w:r>
    </w:p>
    <w:p w14:paraId="011F609E">
      <w:pPr>
        <w:adjustRightInd w:val="0"/>
        <w:snapToGrid w:val="0"/>
        <w:spacing w:line="360" w:lineRule="auto"/>
        <w:ind w:firstLine="525" w:firstLineChars="25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19" w:name="_Toc80792691"/>
      <w:bookmarkStart w:id="20" w:name="_Toc93909068"/>
      <w:bookmarkStart w:id="21" w:name="_Toc96347854"/>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 xml:space="preserve">招标文件获取方式： </w:t>
      </w:r>
    </w:p>
    <w:p w14:paraId="2D8E6D3C">
      <w:pPr>
        <w:widowControl/>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（1）文件提供方式：电子文件。</w:t>
      </w:r>
    </w:p>
    <w:p w14:paraId="1B5E38C1">
      <w:pPr>
        <w:widowControl/>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供应商应在江苏省招标中心有限公司官网（www.jstcc.cn）“供应商注册”入口完成注册（注册要求见其他补充事宜），注册完成后通过“供应商登录“入口进入”JSTCC江苏招标电子交易平台”，进入“搜索项目”栏目，在搜索框中输入本项目编号或项目名称，点击对应的项目进行“关注”，关注完成后进入“我的项目”栏目，选择本项目下载电子文件。</w:t>
      </w:r>
    </w:p>
    <w:p w14:paraId="033D1291">
      <w:pPr>
        <w:widowControl/>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（3）文件售价：免费。 </w:t>
      </w:r>
    </w:p>
    <w:p w14:paraId="446C7AF6">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四、</w:t>
      </w:r>
      <w:bookmarkEnd w:id="18"/>
      <w:bookmarkEnd w:id="19"/>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提交投标文件截止时间、开标时间和地点</w:t>
      </w:r>
      <w:bookmarkEnd w:id="20"/>
      <w:bookmarkEnd w:id="21"/>
    </w:p>
    <w:p w14:paraId="4C561C1D">
      <w:pPr>
        <w:adjustRightInd w:val="0"/>
        <w:snapToGrid w:val="0"/>
        <w:spacing w:line="360" w:lineRule="auto"/>
        <w:ind w:firstLine="525" w:firstLineChars="25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22" w:name="_Toc80792693"/>
      <w:bookmarkStart w:id="23" w:name="_Toc93909069"/>
      <w:bookmarkStart w:id="24" w:name="_Toc96347855"/>
      <w:r>
        <w:rPr>
          <w:rFonts w:hint="eastAsia" w:asciiTheme="minorEastAsia" w:hAnsiTheme="minorEastAsia" w:eastAsiaTheme="minorEastAsia" w:cstheme="minorEastAsia"/>
          <w:color w:val="000000" w:themeColor="text1"/>
          <w:kern w:val="44"/>
          <w:szCs w:val="44"/>
          <w:highlight w:val="none"/>
          <w14:textFill>
            <w14:solidFill>
              <w14:schemeClr w14:val="tx1"/>
            </w14:solidFill>
          </w14:textFill>
        </w:rPr>
        <w:t>时间：</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2026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 xml:space="preserve"> 8</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日</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点</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szCs w:val="21"/>
          <w:highlight w:val="none"/>
          <w:u w:val="single"/>
          <w14:textFill>
            <w14:solidFill>
              <w14:schemeClr w14:val="tx1"/>
            </w14:solidFill>
          </w14:textFill>
        </w:rPr>
        <w:t xml:space="preserve">0 </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分（北京时间）</w:t>
      </w:r>
    </w:p>
    <w:p w14:paraId="0912037B">
      <w:pPr>
        <w:adjustRightInd w:val="0"/>
        <w:snapToGrid w:val="0"/>
        <w:spacing w:line="360" w:lineRule="auto"/>
        <w:ind w:firstLine="525" w:firstLineChars="250"/>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地点：南京市雨花区宁双路19号云密城C栋3楼305室</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1号会议室</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w:t>
      </w:r>
    </w:p>
    <w:p w14:paraId="795DAEAF">
      <w:pPr>
        <w:adjustRightInd w:val="0"/>
        <w:snapToGrid w:val="0"/>
        <w:spacing w:line="360" w:lineRule="auto"/>
        <w:ind w:firstLine="525" w:firstLineChars="25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方式：</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请在规定的时间内将投标文件密封递交至</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开标地点</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6E257686">
      <w:pPr>
        <w:adjustRightInd w:val="0"/>
        <w:snapToGrid w:val="0"/>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五、</w:t>
      </w:r>
      <w:bookmarkEnd w:id="22"/>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公告期</w:t>
      </w:r>
      <w:bookmarkEnd w:id="23"/>
      <w:bookmarkEnd w:id="24"/>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限</w:t>
      </w:r>
    </w:p>
    <w:p w14:paraId="44A11F29">
      <w:pPr>
        <w:spacing w:line="360" w:lineRule="auto"/>
        <w:ind w:firstLine="525" w:firstLineChars="25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自本公告发布之日起5个工作日。</w:t>
      </w:r>
    </w:p>
    <w:p w14:paraId="6D406A78">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六、本公告发布法定媒体</w:t>
      </w:r>
    </w:p>
    <w:p w14:paraId="4FF07862">
      <w:pPr>
        <w:spacing w:line="360" w:lineRule="auto"/>
        <w:ind w:firstLine="525" w:firstLineChars="25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本次招标公告发布媒介：</w:t>
      </w:r>
      <w:r>
        <w:rPr>
          <w:rFonts w:hint="eastAsia" w:ascii="宋体" w:hAnsi="宋体" w:eastAsia="宋体" w:cs="宋体"/>
          <w:color w:val="000000" w:themeColor="text1"/>
          <w:kern w:val="0"/>
          <w:sz w:val="22"/>
          <w:szCs w:val="22"/>
          <w:highlight w:val="none"/>
          <w14:textFill>
            <w14:solidFill>
              <w14:schemeClr w14:val="tx1"/>
            </w14:solidFill>
          </w14:textFill>
        </w:rPr>
        <w:t>中国医学科学院皮肤病医院（中国医学科学院皮肤病研究所）院内网站</w:t>
      </w:r>
      <w:r>
        <w:rPr>
          <w:rFonts w:hint="eastAsia" w:ascii="宋体" w:hAnsi="宋体" w:eastAsia="宋体" w:cs="宋体"/>
          <w:color w:val="000000" w:themeColor="text1"/>
          <w:kern w:val="2"/>
          <w:sz w:val="21"/>
          <w:szCs w:val="21"/>
          <w:highlight w:val="none"/>
          <w14:textFill>
            <w14:solidFill>
              <w14:schemeClr w14:val="tx1"/>
            </w14:solidFill>
          </w14:textFill>
        </w:rPr>
        <w:t>（http://www.pumcskin.cn/）</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6B3907E5">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bookmarkStart w:id="25" w:name="_Toc93909070"/>
      <w:bookmarkStart w:id="26" w:name="_Toc96347856"/>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七、其他补充事宜</w:t>
      </w:r>
      <w:bookmarkEnd w:id="25"/>
      <w:bookmarkEnd w:id="26"/>
    </w:p>
    <w:p w14:paraId="4F5C1AA5">
      <w:pPr>
        <w:pStyle w:val="17"/>
        <w:ind w:left="0" w:leftChars="0" w:firstLine="630" w:firstLineChars="300"/>
        <w:rPr>
          <w:rFonts w:hint="eastAsia" w:asciiTheme="minorEastAsia" w:hAnsiTheme="minorEastAsia" w:eastAsiaTheme="minorEastAsia" w:cstheme="minorEastAsia"/>
          <w:b w:val="0"/>
          <w:bCs/>
          <w:color w:val="000000" w:themeColor="text1"/>
          <w:kern w:val="2"/>
          <w:position w:val="0"/>
          <w:sz w:val="21"/>
          <w:szCs w:val="21"/>
          <w:highlight w:val="none"/>
          <w14:textFill>
            <w14:solidFill>
              <w14:schemeClr w14:val="tx1"/>
            </w14:solidFill>
          </w14:textFill>
        </w:rPr>
      </w:pPr>
      <w:bookmarkStart w:id="27" w:name="_Toc80264702"/>
      <w:bookmarkStart w:id="28" w:name="_Toc80792694"/>
      <w:bookmarkStart w:id="29" w:name="_Toc96347857"/>
      <w:bookmarkStart w:id="30" w:name="_Toc93909071"/>
      <w:r>
        <w:rPr>
          <w:rFonts w:hint="eastAsia" w:asciiTheme="minorEastAsia" w:hAnsiTheme="minorEastAsia" w:eastAsiaTheme="minorEastAsia" w:cstheme="minorEastAsia"/>
          <w:b w:val="0"/>
          <w:bCs/>
          <w:color w:val="000000" w:themeColor="text1"/>
          <w:kern w:val="2"/>
          <w:position w:val="0"/>
          <w:sz w:val="21"/>
          <w:szCs w:val="21"/>
          <w:highlight w:val="none"/>
          <w14:textFill>
            <w14:solidFill>
              <w14:schemeClr w14:val="tx1"/>
            </w14:solidFill>
          </w14:textFill>
        </w:rPr>
        <w:t>无</w:t>
      </w:r>
    </w:p>
    <w:p w14:paraId="22B0B0DB">
      <w:pPr>
        <w:spacing w:line="360" w:lineRule="auto"/>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八、</w:t>
      </w:r>
      <w:bookmarkEnd w:id="27"/>
      <w:bookmarkEnd w:id="28"/>
      <w:r>
        <w:rPr>
          <w:rFonts w:hint="eastAsia" w:asciiTheme="minorEastAsia" w:hAnsiTheme="minorEastAsia" w:eastAsiaTheme="minorEastAsia" w:cstheme="minorEastAsia"/>
          <w:b/>
          <w:bCs/>
          <w:color w:val="000000" w:themeColor="text1"/>
          <w:kern w:val="44"/>
          <w:szCs w:val="44"/>
          <w:highlight w:val="none"/>
          <w14:textFill>
            <w14:solidFill>
              <w14:schemeClr w14:val="tx1"/>
            </w14:solidFill>
          </w14:textFill>
        </w:rPr>
        <w:t>对本次招标提出询问，请按以下方式联系。</w:t>
      </w:r>
      <w:bookmarkEnd w:id="29"/>
      <w:bookmarkEnd w:id="30"/>
    </w:p>
    <w:p w14:paraId="534AE7A0">
      <w:pPr>
        <w:adjustRightInd w:val="0"/>
        <w:snapToGrid w:val="0"/>
        <w:spacing w:line="360" w:lineRule="auto"/>
        <w:ind w:firstLine="525" w:firstLineChars="250"/>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pPr>
      <w:bookmarkStart w:id="31" w:name="_Toc28359085"/>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采购人信息</w:t>
      </w:r>
    </w:p>
    <w:bookmarkEnd w:id="31"/>
    <w:p w14:paraId="27021FE9">
      <w:pPr>
        <w:adjustRightInd w:val="0"/>
        <w:snapToGrid w:val="0"/>
        <w:spacing w:line="360" w:lineRule="auto"/>
        <w:ind w:firstLine="525" w:firstLineChars="25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名 称：中国医学科学院皮肤病医院（中国医学科学院皮肤病研究所）</w:t>
      </w:r>
    </w:p>
    <w:p w14:paraId="5A0A0B8E">
      <w:pPr>
        <w:adjustRightInd w:val="0"/>
        <w:snapToGrid w:val="0"/>
        <w:spacing w:line="360" w:lineRule="auto"/>
        <w:ind w:firstLine="525" w:firstLineChars="25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地 址：南京市蒋王庙街 12 号</w:t>
      </w:r>
    </w:p>
    <w:p w14:paraId="698717B8">
      <w:pPr>
        <w:adjustRightInd w:val="0"/>
        <w:snapToGrid w:val="0"/>
        <w:spacing w:line="360" w:lineRule="auto"/>
        <w:ind w:firstLine="525" w:firstLineChars="25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联系人：王老师</w:t>
      </w:r>
    </w:p>
    <w:p w14:paraId="34C7AE10">
      <w:pPr>
        <w:adjustRightInd w:val="0"/>
        <w:snapToGrid w:val="0"/>
        <w:spacing w:line="360" w:lineRule="auto"/>
        <w:ind w:firstLine="525" w:firstLineChars="25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联系方式：025-85478284</w:t>
      </w:r>
    </w:p>
    <w:p w14:paraId="7273E583">
      <w:pPr>
        <w:adjustRightInd w:val="0"/>
        <w:snapToGrid w:val="0"/>
        <w:spacing w:line="360" w:lineRule="auto"/>
        <w:ind w:firstLine="525" w:firstLineChars="250"/>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采购代理机构信息</w:t>
      </w:r>
    </w:p>
    <w:p w14:paraId="7576FC58">
      <w:pPr>
        <w:adjustRightInd w:val="0"/>
        <w:snapToGrid w:val="0"/>
        <w:spacing w:line="360" w:lineRule="auto"/>
        <w:ind w:firstLine="525" w:firstLineChars="250"/>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名 称：江苏省招标中心有限公司</w:t>
      </w:r>
    </w:p>
    <w:p w14:paraId="380B8503">
      <w:pPr>
        <w:adjustRightInd w:val="0"/>
        <w:snapToGrid w:val="0"/>
        <w:spacing w:line="360" w:lineRule="auto"/>
        <w:ind w:firstLine="525" w:firstLineChars="250"/>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地 址：南京市鼓楼区郑和中路118号D座17楼</w:t>
      </w:r>
    </w:p>
    <w:p w14:paraId="2A7FA7CF">
      <w:pPr>
        <w:spacing w:line="360" w:lineRule="auto"/>
        <w:ind w:firstLine="525"/>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联系人：马翊然、呼禹、宗超、马继烨</w:t>
      </w:r>
    </w:p>
    <w:p w14:paraId="4D2656AD">
      <w:pPr>
        <w:spacing w:line="360" w:lineRule="auto"/>
        <w:ind w:firstLine="525"/>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联系方式：19720255784、18761879918</w:t>
      </w:r>
    </w:p>
    <w:p w14:paraId="798AA851">
      <w:pPr>
        <w:spacing w:line="360" w:lineRule="auto"/>
        <w:ind w:firstLine="525"/>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3．项目联系方式</w:t>
      </w:r>
    </w:p>
    <w:p w14:paraId="31BE8BFA">
      <w:pPr>
        <w:spacing w:line="360" w:lineRule="auto"/>
        <w:ind w:firstLine="525"/>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项目联系人：马翊然、呼禹</w:t>
      </w:r>
    </w:p>
    <w:p w14:paraId="689E0136">
      <w:pPr>
        <w:spacing w:line="360" w:lineRule="auto"/>
        <w:ind w:firstLine="525"/>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电 话：19720255784、18761879918</w:t>
      </w:r>
    </w:p>
    <w:p w14:paraId="05AE897D">
      <w:pPr>
        <w:pStyle w:val="34"/>
        <w:numPr>
          <w:ilvl w:val="0"/>
          <w:numId w:val="1"/>
        </w:numP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End w:id="8"/>
      <w:bookmarkStart w:id="32" w:name="_Toc1814640612"/>
      <w:bookmarkStart w:id="33" w:name="_Toc5738"/>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须知</w:t>
      </w:r>
      <w:bookmarkEnd w:id="32"/>
      <w:bookmarkEnd w:id="33"/>
    </w:p>
    <w:bookmarkEnd w:id="9"/>
    <w:p w14:paraId="5EFB311F">
      <w:pPr>
        <w:jc w:val="cente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t>须知前附表</w:t>
      </w:r>
    </w:p>
    <w:p w14:paraId="7AB7F590">
      <w:pPr>
        <w:jc w:val="cente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本表是对《</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须知》正文的具体规定和指引，如有矛盾，以本《前附表》为准。</w:t>
      </w:r>
    </w:p>
    <w:p w14:paraId="11284742">
      <w:pPr>
        <w:jc w:val="cente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标记“</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”的选项意为适用于本项目，标记“□”的选项意为不适用于本项目。</w:t>
      </w:r>
    </w:p>
    <w:tbl>
      <w:tblPr>
        <w:tblStyle w:val="37"/>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0"/>
        <w:gridCol w:w="2726"/>
        <w:gridCol w:w="5091"/>
      </w:tblGrid>
      <w:tr w14:paraId="41BF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4B29417">
            <w:pPr>
              <w:pStyle w:val="80"/>
              <w:spacing w:line="360" w:lineRule="auto"/>
              <w:jc w:val="cente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t>序号</w:t>
            </w:r>
          </w:p>
        </w:tc>
        <w:tc>
          <w:tcPr>
            <w:tcW w:w="850" w:type="dxa"/>
            <w:vAlign w:val="center"/>
          </w:tcPr>
          <w:p w14:paraId="1A6F9C7B">
            <w:pPr>
              <w:pStyle w:val="80"/>
              <w:spacing w:line="360" w:lineRule="auto"/>
              <w:jc w:val="cente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t>条款号</w:t>
            </w:r>
          </w:p>
        </w:tc>
        <w:tc>
          <w:tcPr>
            <w:tcW w:w="2726" w:type="dxa"/>
            <w:vAlign w:val="center"/>
          </w:tcPr>
          <w:p w14:paraId="25F46729">
            <w:pPr>
              <w:pStyle w:val="80"/>
              <w:spacing w:line="360" w:lineRule="auto"/>
              <w:jc w:val="cente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t>条款名称</w:t>
            </w:r>
          </w:p>
        </w:tc>
        <w:tc>
          <w:tcPr>
            <w:tcW w:w="5091" w:type="dxa"/>
            <w:vAlign w:val="center"/>
          </w:tcPr>
          <w:p w14:paraId="2288E8DB">
            <w:pPr>
              <w:pStyle w:val="80"/>
              <w:spacing w:line="360" w:lineRule="auto"/>
              <w:jc w:val="cente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sz w:val="21"/>
                <w:highlight w:val="none"/>
                <w14:textFill>
                  <w14:solidFill>
                    <w14:schemeClr w14:val="tx1"/>
                  </w14:solidFill>
                </w14:textFill>
              </w:rPr>
              <w:t>编列内容规定</w:t>
            </w:r>
          </w:p>
        </w:tc>
      </w:tr>
      <w:tr w14:paraId="137E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8DB0CA1">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w:t>
            </w:r>
          </w:p>
        </w:tc>
        <w:tc>
          <w:tcPr>
            <w:tcW w:w="850" w:type="dxa"/>
            <w:vAlign w:val="center"/>
          </w:tcPr>
          <w:p w14:paraId="234AB861">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2.1</w:t>
            </w:r>
          </w:p>
        </w:tc>
        <w:tc>
          <w:tcPr>
            <w:tcW w:w="2726" w:type="dxa"/>
            <w:vAlign w:val="center"/>
          </w:tcPr>
          <w:p w14:paraId="323FFE5A">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采购人</w:t>
            </w:r>
          </w:p>
        </w:tc>
        <w:tc>
          <w:tcPr>
            <w:tcW w:w="5091" w:type="dxa"/>
            <w:vAlign w:val="center"/>
          </w:tcPr>
          <w:p w14:paraId="1D971CE4">
            <w:pPr>
              <w:pStyle w:val="86"/>
              <w:spacing w:before="160" w:line="276" w:lineRule="auto"/>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t>名 称 ：中国医学科学院皮肤病医院（中国医学科学院皮肤病研究所）</w:t>
            </w:r>
          </w:p>
          <w:p w14:paraId="4FAEFC30">
            <w:pPr>
              <w:pStyle w:val="86"/>
              <w:spacing w:before="160" w:line="276" w:lineRule="auto"/>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t>地 址 ：南京市蒋王庙街 12 号</w:t>
            </w:r>
          </w:p>
          <w:p w14:paraId="42424425">
            <w:pPr>
              <w:pStyle w:val="86"/>
              <w:spacing w:before="160" w:line="276" w:lineRule="auto"/>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t>联系人：王老师</w:t>
            </w:r>
          </w:p>
          <w:p w14:paraId="54C846A7">
            <w:pPr>
              <w:pStyle w:val="86"/>
              <w:spacing w:before="160" w:line="276" w:lineRule="auto"/>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14:textFill>
                  <w14:solidFill>
                    <w14:schemeClr w14:val="tx1"/>
                  </w14:solidFill>
                </w14:textFill>
              </w:rPr>
              <w:t>电  话：025-85478284</w:t>
            </w:r>
          </w:p>
        </w:tc>
      </w:tr>
      <w:tr w14:paraId="66BD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935AF1D">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w:t>
            </w:r>
          </w:p>
        </w:tc>
        <w:tc>
          <w:tcPr>
            <w:tcW w:w="850" w:type="dxa"/>
            <w:vAlign w:val="center"/>
          </w:tcPr>
          <w:p w14:paraId="0FCC71DB">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2.2</w:t>
            </w:r>
          </w:p>
        </w:tc>
        <w:tc>
          <w:tcPr>
            <w:tcW w:w="2726" w:type="dxa"/>
            <w:vAlign w:val="center"/>
          </w:tcPr>
          <w:p w14:paraId="24459E36">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采购代理机构</w:t>
            </w:r>
          </w:p>
        </w:tc>
        <w:tc>
          <w:tcPr>
            <w:tcW w:w="5091" w:type="dxa"/>
            <w:vAlign w:val="center"/>
          </w:tcPr>
          <w:p w14:paraId="24FF31D4">
            <w:pPr>
              <w:pStyle w:val="86"/>
              <w:keepNext w:val="0"/>
              <w:keepLines w:val="0"/>
              <w:suppressLineNumbers w:val="0"/>
              <w:spacing w:before="16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t>名 称 ：江苏省招标中心有限公司</w:t>
            </w:r>
          </w:p>
          <w:p w14:paraId="12DC0840">
            <w:pPr>
              <w:pStyle w:val="86"/>
              <w:keepNext w:val="0"/>
              <w:keepLines w:val="0"/>
              <w:suppressLineNumbers w:val="0"/>
              <w:spacing w:before="16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t>地 址 ：南京市雨花台区宁双路19号</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云密城</w:t>
            </w:r>
            <w:r>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t>C栋3楼305</w:t>
            </w:r>
          </w:p>
          <w:p w14:paraId="20BD1D91">
            <w:pPr>
              <w:pStyle w:val="86"/>
              <w:keepNext w:val="0"/>
              <w:keepLines w:val="0"/>
              <w:suppressLineNumbers w:val="0"/>
              <w:spacing w:before="160" w:beforeAutospacing="0" w:after="0" w:afterAutospacing="0" w:line="276" w:lineRule="auto"/>
              <w:ind w:left="0" w:right="0"/>
              <w:jc w:val="left"/>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bidi="ar-SA"/>
                <w14:textFill>
                  <w14:solidFill>
                    <w14:schemeClr w14:val="tx1"/>
                  </w14:solidFill>
                </w14:textFill>
              </w:rPr>
              <w:t>联系人：</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马翊然、呼禹、宗超、马继烨</w:t>
            </w:r>
          </w:p>
          <w:p w14:paraId="17B59824">
            <w:pPr>
              <w:pStyle w:val="86"/>
              <w:spacing w:before="160" w:line="276" w:lineRule="auto"/>
              <w:rPr>
                <w:rFonts w:hint="eastAsia" w:asciiTheme="minorEastAsia" w:hAnsiTheme="minorEastAsia" w:eastAsiaTheme="minorEastAsia" w:cstheme="minorEastAsia"/>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电  话：19720255784、18761879918</w:t>
            </w:r>
          </w:p>
        </w:tc>
      </w:tr>
      <w:tr w14:paraId="4DCE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E068B92">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w:t>
            </w:r>
          </w:p>
        </w:tc>
        <w:tc>
          <w:tcPr>
            <w:tcW w:w="850" w:type="dxa"/>
            <w:vAlign w:val="center"/>
          </w:tcPr>
          <w:p w14:paraId="3479E56C">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4</w:t>
            </w:r>
          </w:p>
        </w:tc>
        <w:tc>
          <w:tcPr>
            <w:tcW w:w="2726" w:type="dxa"/>
            <w:vAlign w:val="center"/>
          </w:tcPr>
          <w:p w14:paraId="2E977BEC">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本项目执行的政府采购政策</w:t>
            </w:r>
          </w:p>
        </w:tc>
        <w:tc>
          <w:tcPr>
            <w:tcW w:w="5091" w:type="dxa"/>
            <w:vAlign w:val="center"/>
          </w:tcPr>
          <w:p w14:paraId="57AE0B5B">
            <w:pPr>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详见招标文件第一章《招标公告》</w:t>
            </w:r>
          </w:p>
        </w:tc>
      </w:tr>
      <w:tr w14:paraId="176B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1D076FF">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4</w:t>
            </w:r>
          </w:p>
        </w:tc>
        <w:tc>
          <w:tcPr>
            <w:tcW w:w="850" w:type="dxa"/>
            <w:vAlign w:val="center"/>
          </w:tcPr>
          <w:p w14:paraId="6F68FCC2">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8.1</w:t>
            </w:r>
          </w:p>
        </w:tc>
        <w:tc>
          <w:tcPr>
            <w:tcW w:w="2726" w:type="dxa"/>
            <w:vAlign w:val="center"/>
          </w:tcPr>
          <w:p w14:paraId="1F046E87">
            <w:pPr>
              <w:adjustRightInd w:val="0"/>
              <w:snapToGrid w:val="0"/>
              <w:spacing w:before="156" w:beforeLines="50" w:line="276"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现场考察</w:t>
            </w:r>
          </w:p>
        </w:tc>
        <w:tc>
          <w:tcPr>
            <w:tcW w:w="5091" w:type="dxa"/>
            <w:vAlign w:val="center"/>
          </w:tcPr>
          <w:p w14:paraId="652975C7">
            <w:pPr>
              <w:adjustRightInd w:val="0"/>
              <w:snapToGrid w:val="0"/>
              <w:spacing w:before="156" w:beforeLines="50" w:line="276"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 w:val="22"/>
                <w:szCs w:val="21"/>
                <w:highlight w:val="none"/>
                <w:lang w:bidi="zh-CN"/>
                <w14:textFill>
                  <w14:solidFill>
                    <w14:schemeClr w14:val="tx1"/>
                  </w14:solidFill>
                </w14:textFill>
              </w:rPr>
              <w:t>不需要</w:t>
            </w:r>
          </w:p>
        </w:tc>
      </w:tr>
      <w:tr w14:paraId="3C33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F94517E">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5</w:t>
            </w:r>
          </w:p>
        </w:tc>
        <w:tc>
          <w:tcPr>
            <w:tcW w:w="850" w:type="dxa"/>
            <w:vAlign w:val="center"/>
          </w:tcPr>
          <w:p w14:paraId="15C23EB8">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9.1</w:t>
            </w:r>
          </w:p>
        </w:tc>
        <w:tc>
          <w:tcPr>
            <w:tcW w:w="2726" w:type="dxa"/>
            <w:vAlign w:val="center"/>
          </w:tcPr>
          <w:p w14:paraId="06BB1AC5">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开标前答疑会</w:t>
            </w:r>
          </w:p>
        </w:tc>
        <w:tc>
          <w:tcPr>
            <w:tcW w:w="5091" w:type="dxa"/>
            <w:vAlign w:val="center"/>
          </w:tcPr>
          <w:p w14:paraId="7BE9F611">
            <w:pPr>
              <w:adjustRightInd w:val="0"/>
              <w:snapToGrid w:val="0"/>
              <w:spacing w:before="156" w:beforeLines="50" w:line="276"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不召开</w:t>
            </w:r>
          </w:p>
        </w:tc>
      </w:tr>
      <w:tr w14:paraId="4FD0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B526EC7">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6</w:t>
            </w:r>
          </w:p>
        </w:tc>
        <w:tc>
          <w:tcPr>
            <w:tcW w:w="850" w:type="dxa"/>
            <w:vAlign w:val="center"/>
          </w:tcPr>
          <w:p w14:paraId="31A0FC3B">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10.1</w:t>
            </w:r>
          </w:p>
        </w:tc>
        <w:tc>
          <w:tcPr>
            <w:tcW w:w="2726" w:type="dxa"/>
            <w:vAlign w:val="center"/>
          </w:tcPr>
          <w:p w14:paraId="0BC4B4FB">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联合体投标</w:t>
            </w:r>
          </w:p>
        </w:tc>
        <w:tc>
          <w:tcPr>
            <w:tcW w:w="5091" w:type="dxa"/>
            <w:vAlign w:val="center"/>
          </w:tcPr>
          <w:p w14:paraId="114E5FBE">
            <w:pPr>
              <w:adjustRightInd w:val="0"/>
              <w:snapToGrid w:val="0"/>
              <w:spacing w:before="156" w:beforeLines="50" w:line="276" w:lineRule="auto"/>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■不接受</w:t>
            </w:r>
          </w:p>
        </w:tc>
      </w:tr>
      <w:tr w14:paraId="56C4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839F20B">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7</w:t>
            </w:r>
          </w:p>
        </w:tc>
        <w:tc>
          <w:tcPr>
            <w:tcW w:w="850" w:type="dxa"/>
            <w:vAlign w:val="center"/>
          </w:tcPr>
          <w:p w14:paraId="1676082C">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11.1</w:t>
            </w:r>
          </w:p>
        </w:tc>
        <w:tc>
          <w:tcPr>
            <w:tcW w:w="2726" w:type="dxa"/>
            <w:vAlign w:val="center"/>
          </w:tcPr>
          <w:p w14:paraId="4D11AE8C">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分包</w:t>
            </w:r>
          </w:p>
        </w:tc>
        <w:tc>
          <w:tcPr>
            <w:tcW w:w="5091" w:type="dxa"/>
            <w:vAlign w:val="center"/>
          </w:tcPr>
          <w:p w14:paraId="5AD69A56">
            <w:pPr>
              <w:adjustRightInd w:val="0"/>
              <w:snapToGrid w:val="0"/>
              <w:spacing w:before="156" w:beforeLines="50" w:line="276"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本项目的非主体、非关键性工作是否允许分包： </w:t>
            </w:r>
          </w:p>
          <w:p w14:paraId="704C7A2F">
            <w:pPr>
              <w:adjustRightInd w:val="0"/>
              <w:snapToGrid w:val="0"/>
              <w:spacing w:before="156" w:beforeLines="50" w:line="276" w:lineRule="auto"/>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■不允许</w:t>
            </w:r>
          </w:p>
        </w:tc>
      </w:tr>
      <w:tr w14:paraId="6B44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1AEED78">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8</w:t>
            </w:r>
          </w:p>
        </w:tc>
        <w:tc>
          <w:tcPr>
            <w:tcW w:w="850" w:type="dxa"/>
            <w:vAlign w:val="center"/>
          </w:tcPr>
          <w:p w14:paraId="24342CE2">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12.1</w:t>
            </w:r>
          </w:p>
        </w:tc>
        <w:tc>
          <w:tcPr>
            <w:tcW w:w="2726" w:type="dxa"/>
            <w:vAlign w:val="center"/>
          </w:tcPr>
          <w:p w14:paraId="03E866B3">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样品</w:t>
            </w:r>
          </w:p>
        </w:tc>
        <w:tc>
          <w:tcPr>
            <w:tcW w:w="5091" w:type="dxa"/>
            <w:vAlign w:val="center"/>
          </w:tcPr>
          <w:p w14:paraId="4295C18A">
            <w:pPr>
              <w:adjustRightInd w:val="0"/>
              <w:snapToGrid w:val="0"/>
              <w:spacing w:before="156" w:beforeLines="50" w:line="276" w:lineRule="auto"/>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■不需要</w:t>
            </w:r>
          </w:p>
        </w:tc>
      </w:tr>
      <w:tr w14:paraId="2CE3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75" w:type="dxa"/>
            <w:vAlign w:val="center"/>
          </w:tcPr>
          <w:p w14:paraId="269F2F21">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9</w:t>
            </w:r>
          </w:p>
        </w:tc>
        <w:tc>
          <w:tcPr>
            <w:tcW w:w="850" w:type="dxa"/>
            <w:vAlign w:val="center"/>
          </w:tcPr>
          <w:p w14:paraId="67BED249">
            <w:pPr>
              <w:pStyle w:val="80"/>
              <w:spacing w:line="360" w:lineRule="auto"/>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13.1</w:t>
            </w:r>
          </w:p>
        </w:tc>
        <w:tc>
          <w:tcPr>
            <w:tcW w:w="2726" w:type="dxa"/>
            <w:vAlign w:val="center"/>
          </w:tcPr>
          <w:p w14:paraId="51ACFBEC">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采购进口产品</w:t>
            </w:r>
          </w:p>
        </w:tc>
        <w:tc>
          <w:tcPr>
            <w:tcW w:w="5091" w:type="dxa"/>
            <w:vAlign w:val="center"/>
          </w:tcPr>
          <w:p w14:paraId="41976F92">
            <w:pPr>
              <w:adjustRightInd w:val="0"/>
              <w:snapToGrid w:val="0"/>
              <w:spacing w:before="156" w:beforeLines="50" w:line="360"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详见招标文件第一章《招标公告》</w:t>
            </w:r>
          </w:p>
        </w:tc>
      </w:tr>
      <w:tr w14:paraId="2B0F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36F3D84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10</w:t>
            </w:r>
          </w:p>
        </w:tc>
        <w:tc>
          <w:tcPr>
            <w:tcW w:w="850" w:type="dxa"/>
            <w:vAlign w:val="center"/>
          </w:tcPr>
          <w:p w14:paraId="55241095">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14.1</w:t>
            </w:r>
          </w:p>
        </w:tc>
        <w:tc>
          <w:tcPr>
            <w:tcW w:w="2726" w:type="dxa"/>
            <w:vAlign w:val="center"/>
          </w:tcPr>
          <w:p w14:paraId="4F80DBEE">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采购预算</w:t>
            </w:r>
          </w:p>
        </w:tc>
        <w:tc>
          <w:tcPr>
            <w:tcW w:w="5091" w:type="dxa"/>
            <w:vAlign w:val="center"/>
          </w:tcPr>
          <w:p w14:paraId="7F353962">
            <w:pPr>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详见</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招标文件第一章《招标公告》</w:t>
            </w:r>
          </w:p>
        </w:tc>
      </w:tr>
      <w:tr w14:paraId="38A0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5" w:type="dxa"/>
            <w:vAlign w:val="center"/>
          </w:tcPr>
          <w:p w14:paraId="45448791">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11</w:t>
            </w:r>
          </w:p>
        </w:tc>
        <w:tc>
          <w:tcPr>
            <w:tcW w:w="850" w:type="dxa"/>
            <w:vAlign w:val="center"/>
          </w:tcPr>
          <w:p w14:paraId="0784CB4A">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14.2</w:t>
            </w:r>
          </w:p>
        </w:tc>
        <w:tc>
          <w:tcPr>
            <w:tcW w:w="2726" w:type="dxa"/>
            <w:vAlign w:val="center"/>
          </w:tcPr>
          <w:p w14:paraId="21FD86AF">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本项目设定的最高限价</w:t>
            </w:r>
          </w:p>
        </w:tc>
        <w:tc>
          <w:tcPr>
            <w:tcW w:w="5091" w:type="dxa"/>
            <w:vAlign w:val="center"/>
          </w:tcPr>
          <w:p w14:paraId="60A725A3">
            <w:pPr>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详见</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招标文件第一章《招标公告》</w:t>
            </w:r>
          </w:p>
        </w:tc>
      </w:tr>
      <w:tr w14:paraId="3BB2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C6DCE7F">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12</w:t>
            </w:r>
          </w:p>
        </w:tc>
        <w:tc>
          <w:tcPr>
            <w:tcW w:w="850" w:type="dxa"/>
            <w:vAlign w:val="center"/>
          </w:tcPr>
          <w:p w14:paraId="21BEFE39">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15.1</w:t>
            </w:r>
          </w:p>
        </w:tc>
        <w:tc>
          <w:tcPr>
            <w:tcW w:w="2726" w:type="dxa"/>
            <w:vAlign w:val="center"/>
          </w:tcPr>
          <w:p w14:paraId="5AB3FF18">
            <w:pPr>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资格条件</w:t>
            </w:r>
          </w:p>
        </w:tc>
        <w:tc>
          <w:tcPr>
            <w:tcW w:w="5091" w:type="dxa"/>
            <w:vAlign w:val="center"/>
          </w:tcPr>
          <w:p w14:paraId="1BCE22EC">
            <w:pPr>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详见招标文件第一章《招标公告》</w:t>
            </w:r>
          </w:p>
        </w:tc>
      </w:tr>
      <w:tr w14:paraId="12B0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5DD458F">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13</w:t>
            </w:r>
          </w:p>
        </w:tc>
        <w:tc>
          <w:tcPr>
            <w:tcW w:w="850" w:type="dxa"/>
            <w:vAlign w:val="center"/>
          </w:tcPr>
          <w:p w14:paraId="0D15522B">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20.5</w:t>
            </w:r>
          </w:p>
        </w:tc>
        <w:tc>
          <w:tcPr>
            <w:tcW w:w="2726" w:type="dxa"/>
            <w:vAlign w:val="center"/>
          </w:tcPr>
          <w:p w14:paraId="3144FBDB">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投标报价</w:t>
            </w:r>
          </w:p>
        </w:tc>
        <w:tc>
          <w:tcPr>
            <w:tcW w:w="5091" w:type="dxa"/>
            <w:vAlign w:val="center"/>
          </w:tcPr>
          <w:p w14:paraId="111C56A2">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投标报价的其他要求：无</w:t>
            </w:r>
          </w:p>
        </w:tc>
      </w:tr>
      <w:tr w14:paraId="574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E71CC4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14</w:t>
            </w:r>
          </w:p>
        </w:tc>
        <w:tc>
          <w:tcPr>
            <w:tcW w:w="850" w:type="dxa"/>
            <w:vAlign w:val="center"/>
          </w:tcPr>
          <w:p w14:paraId="5343DD2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21.1</w:t>
            </w:r>
          </w:p>
        </w:tc>
        <w:tc>
          <w:tcPr>
            <w:tcW w:w="2726" w:type="dxa"/>
            <w:vAlign w:val="center"/>
          </w:tcPr>
          <w:p w14:paraId="2FCB38B3">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投标有效期</w:t>
            </w:r>
          </w:p>
        </w:tc>
        <w:tc>
          <w:tcPr>
            <w:tcW w:w="5091" w:type="dxa"/>
            <w:vAlign w:val="center"/>
          </w:tcPr>
          <w:p w14:paraId="3CBA59DF">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自提交投标文件的截止之日起算_90日历天</w:t>
            </w:r>
          </w:p>
        </w:tc>
      </w:tr>
      <w:tr w14:paraId="3031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5" w:type="dxa"/>
            <w:vAlign w:val="center"/>
          </w:tcPr>
          <w:p w14:paraId="1E7C85E6">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15</w:t>
            </w:r>
          </w:p>
        </w:tc>
        <w:tc>
          <w:tcPr>
            <w:tcW w:w="850" w:type="dxa"/>
            <w:vAlign w:val="center"/>
          </w:tcPr>
          <w:p w14:paraId="135A49A6">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22.1</w:t>
            </w:r>
          </w:p>
        </w:tc>
        <w:tc>
          <w:tcPr>
            <w:tcW w:w="2726" w:type="dxa"/>
            <w:vAlign w:val="center"/>
          </w:tcPr>
          <w:p w14:paraId="5B9823F4">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投标保证金</w:t>
            </w:r>
          </w:p>
        </w:tc>
        <w:tc>
          <w:tcPr>
            <w:tcW w:w="5091" w:type="dxa"/>
            <w:vAlign w:val="center"/>
          </w:tcPr>
          <w:p w14:paraId="198DE255">
            <w:pPr>
              <w:adjustRightInd w:val="0"/>
              <w:snapToGrid w:val="0"/>
              <w:spacing w:before="156" w:beforeLines="50" w:line="360"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■不需要</w:t>
            </w:r>
          </w:p>
        </w:tc>
      </w:tr>
      <w:tr w14:paraId="0381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0837DB62">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16</w:t>
            </w:r>
          </w:p>
        </w:tc>
        <w:tc>
          <w:tcPr>
            <w:tcW w:w="850" w:type="dxa"/>
            <w:vAlign w:val="center"/>
          </w:tcPr>
          <w:p w14:paraId="35BAE7FC">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23.1</w:t>
            </w:r>
          </w:p>
        </w:tc>
        <w:tc>
          <w:tcPr>
            <w:tcW w:w="2726" w:type="dxa"/>
            <w:vAlign w:val="center"/>
          </w:tcPr>
          <w:p w14:paraId="3FB346A8">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投标文件份数</w:t>
            </w:r>
          </w:p>
        </w:tc>
        <w:tc>
          <w:tcPr>
            <w:tcW w:w="5091" w:type="dxa"/>
            <w:vAlign w:val="center"/>
          </w:tcPr>
          <w:p w14:paraId="3F9016D7">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正本文件的份数：壹份</w:t>
            </w:r>
          </w:p>
          <w:p w14:paraId="404FDAE8">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副本文件的份数：伍份</w:t>
            </w:r>
          </w:p>
          <w:p w14:paraId="6A9272C2">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电子文档的份数：壹份（内含正本PDF格式扫描件及同版本WPS兼容格式文件）。</w:t>
            </w:r>
          </w:p>
          <w:p w14:paraId="124FABEA">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说明：</w:t>
            </w:r>
          </w:p>
          <w:p w14:paraId="77B103B1">
            <w:pPr>
              <w:pStyle w:val="80"/>
              <w:spacing w:line="360" w:lineRule="auto"/>
              <w:rPr>
                <w:rFonts w:hint="eastAsia" w:asciiTheme="minorEastAsia" w:hAnsiTheme="minorEastAsia" w:eastAsiaTheme="minorEastAsia" w:cstheme="minorEastAsia"/>
                <w:b/>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kern w:val="2"/>
                <w:sz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kern w:val="2"/>
                <w:sz w:val="21"/>
                <w:highlight w:val="none"/>
                <w14:textFill>
                  <w14:solidFill>
                    <w14:schemeClr w14:val="tx1"/>
                  </w14:solidFill>
                </w14:textFill>
              </w:rPr>
              <w:t>同时参加多个标段投标的（如有），投标文件应按标段分别制作，不得将不同标段的投标文件装订为一本，否则所有标段投标文件都将被拒绝。</w:t>
            </w:r>
          </w:p>
          <w:p w14:paraId="79A35B1D">
            <w:pPr>
              <w:pStyle w:val="80"/>
              <w:numPr>
                <w:ilvl w:val="0"/>
                <w:numId w:val="2"/>
              </w:numPr>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电子文档建议提供签章后的正本PDF格式扫描件（大小限制为200M以内）及同版本WORD兼容格式文件，可采用U盘等形式。</w:t>
            </w:r>
          </w:p>
          <w:p w14:paraId="26FE455E">
            <w:pPr>
              <w:pStyle w:val="80"/>
              <w:numPr>
                <w:ilvl w:val="0"/>
                <w:numId w:val="2"/>
              </w:numPr>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电子版投标文件命名格式：单位名称+电子投标文件</w:t>
            </w:r>
          </w:p>
          <w:p w14:paraId="289EEB13">
            <w:pPr>
              <w:pStyle w:val="80"/>
              <w:numPr>
                <w:ilvl w:val="0"/>
                <w:numId w:val="2"/>
              </w:numPr>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U盘表面标签注明单位名称</w:t>
            </w:r>
          </w:p>
          <w:p w14:paraId="13178568">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注：纸质文件与电子文件有差异时，以纸质文件为准。</w:t>
            </w:r>
          </w:p>
        </w:tc>
      </w:tr>
      <w:tr w14:paraId="30C3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restart"/>
            <w:vAlign w:val="center"/>
          </w:tcPr>
          <w:p w14:paraId="57E2DD55">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17</w:t>
            </w:r>
          </w:p>
        </w:tc>
        <w:tc>
          <w:tcPr>
            <w:tcW w:w="850" w:type="dxa"/>
            <w:vMerge w:val="restart"/>
            <w:vAlign w:val="center"/>
          </w:tcPr>
          <w:p w14:paraId="12AC117A">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24.1</w:t>
            </w:r>
          </w:p>
        </w:tc>
        <w:tc>
          <w:tcPr>
            <w:tcW w:w="2726" w:type="dxa"/>
            <w:vMerge w:val="restart"/>
            <w:vAlign w:val="center"/>
          </w:tcPr>
          <w:p w14:paraId="571F88CD">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投标文件的密封和标记</w:t>
            </w:r>
          </w:p>
        </w:tc>
        <w:tc>
          <w:tcPr>
            <w:tcW w:w="5091" w:type="dxa"/>
            <w:vAlign w:val="center"/>
          </w:tcPr>
          <w:p w14:paraId="5CB0210F">
            <w:pPr>
              <w:adjustRightInd w:val="0"/>
              <w:snapToGrid w:val="0"/>
              <w:spacing w:before="156" w:beforeLines="50" w:line="360" w:lineRule="auto"/>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★全部纸质投标文件（包括正本、副本及电子版文件）均应密封，否则投标将被拒绝。</w:t>
            </w:r>
          </w:p>
        </w:tc>
      </w:tr>
      <w:tr w14:paraId="252A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continue"/>
            <w:vAlign w:val="center"/>
          </w:tcPr>
          <w:p w14:paraId="55556B4F">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850" w:type="dxa"/>
            <w:vMerge w:val="continue"/>
            <w:vAlign w:val="center"/>
          </w:tcPr>
          <w:p w14:paraId="5C8EDB15">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2726" w:type="dxa"/>
            <w:vMerge w:val="continue"/>
            <w:vAlign w:val="center"/>
          </w:tcPr>
          <w:p w14:paraId="279EE32C">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5091" w:type="dxa"/>
            <w:vAlign w:val="center"/>
          </w:tcPr>
          <w:p w14:paraId="3F672E96">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密封包装上可注明：</w:t>
            </w:r>
          </w:p>
          <w:p w14:paraId="06FDF7AD">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项目名称：</w:t>
            </w:r>
          </w:p>
          <w:p w14:paraId="47949BFB">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项目编号：</w:t>
            </w:r>
          </w:p>
          <w:p w14:paraId="2242FAE2">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标段号：</w:t>
            </w:r>
          </w:p>
          <w:p w14:paraId="666565B8">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本文件于 年 月 日 点 分（投标截止时间）前不得开启。</w:t>
            </w:r>
          </w:p>
          <w:p w14:paraId="392C87F0">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 xml:space="preserve">名称： </w:t>
            </w:r>
          </w:p>
          <w:p w14:paraId="12BB68CB">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地址、邮编：</w:t>
            </w:r>
          </w:p>
          <w:p w14:paraId="0CC51494">
            <w:pPr>
              <w:adjustRightInd w:val="0"/>
              <w:snapToGrid w:val="0"/>
              <w:spacing w:before="156" w:beforeLines="50" w:line="360"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highlight w:val="none"/>
                <w14:textFill>
                  <w14:solidFill>
                    <w14:schemeClr w14:val="tx1"/>
                  </w14:solidFill>
                </w14:textFill>
              </w:rPr>
              <w:t>联系人及联系方式：</w:t>
            </w:r>
          </w:p>
        </w:tc>
      </w:tr>
      <w:tr w14:paraId="3742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08D07568">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18</w:t>
            </w:r>
          </w:p>
        </w:tc>
        <w:tc>
          <w:tcPr>
            <w:tcW w:w="850" w:type="dxa"/>
            <w:vAlign w:val="center"/>
          </w:tcPr>
          <w:p w14:paraId="2CF0EADC">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25.1</w:t>
            </w:r>
          </w:p>
        </w:tc>
        <w:tc>
          <w:tcPr>
            <w:tcW w:w="2726" w:type="dxa"/>
            <w:vAlign w:val="center"/>
          </w:tcPr>
          <w:p w14:paraId="118A5590">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提交投标文件的截止时间、地点</w:t>
            </w:r>
          </w:p>
        </w:tc>
        <w:tc>
          <w:tcPr>
            <w:tcW w:w="5091" w:type="dxa"/>
            <w:vAlign w:val="center"/>
          </w:tcPr>
          <w:p w14:paraId="5821CF01">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详见招标文件第一章《招标公告》</w:t>
            </w:r>
          </w:p>
        </w:tc>
      </w:tr>
      <w:tr w14:paraId="1822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F0FDF1F">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19</w:t>
            </w:r>
          </w:p>
        </w:tc>
        <w:tc>
          <w:tcPr>
            <w:tcW w:w="850" w:type="dxa"/>
            <w:vAlign w:val="center"/>
          </w:tcPr>
          <w:p w14:paraId="475276A2">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28.1</w:t>
            </w:r>
          </w:p>
        </w:tc>
        <w:tc>
          <w:tcPr>
            <w:tcW w:w="2726" w:type="dxa"/>
            <w:vAlign w:val="center"/>
          </w:tcPr>
          <w:p w14:paraId="304F2BAC">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开标时间、地点</w:t>
            </w:r>
          </w:p>
        </w:tc>
        <w:tc>
          <w:tcPr>
            <w:tcW w:w="5091" w:type="dxa"/>
            <w:vAlign w:val="center"/>
          </w:tcPr>
          <w:p w14:paraId="161D8BCD">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详见招标文件第一章《招标公告》</w:t>
            </w:r>
          </w:p>
        </w:tc>
      </w:tr>
      <w:tr w14:paraId="2433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F197379">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20</w:t>
            </w:r>
          </w:p>
        </w:tc>
        <w:tc>
          <w:tcPr>
            <w:tcW w:w="850" w:type="dxa"/>
            <w:vAlign w:val="center"/>
          </w:tcPr>
          <w:p w14:paraId="37B0DE99">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29.4</w:t>
            </w:r>
          </w:p>
        </w:tc>
        <w:tc>
          <w:tcPr>
            <w:tcW w:w="2726" w:type="dxa"/>
            <w:vAlign w:val="center"/>
          </w:tcPr>
          <w:p w14:paraId="32A785D1">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信用查询</w:t>
            </w:r>
          </w:p>
        </w:tc>
        <w:tc>
          <w:tcPr>
            <w:tcW w:w="5091" w:type="dxa"/>
            <w:vAlign w:val="center"/>
          </w:tcPr>
          <w:p w14:paraId="6AB79411">
            <w:pPr>
              <w:pStyle w:val="80"/>
              <w:spacing w:line="360" w:lineRule="auto"/>
              <w:rPr>
                <w:rFonts w:hint="eastAsia" w:asciiTheme="minorEastAsia" w:hAnsiTheme="minorEastAsia" w:eastAsiaTheme="minorEastAsia" w:cstheme="minorEastAsia"/>
                <w:bCs/>
                <w:color w:val="000000" w:themeColor="text1"/>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采购人或采购代理机构将通过“信用中国”网站(www.creditchina.gov.cn)、中国政府采购网(www.ccgp.gov.cn)查询相关主体信用记录。本次查询的信用记录打印的网页版将留存在评标报告中。截止时点：投标截止时间以后、资格审查阶段采购人或采购代理机构的实际查询时间。</w:t>
            </w:r>
          </w:p>
        </w:tc>
      </w:tr>
      <w:tr w14:paraId="7C38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restart"/>
            <w:vAlign w:val="center"/>
          </w:tcPr>
          <w:p w14:paraId="4D4B9D07">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21</w:t>
            </w:r>
          </w:p>
        </w:tc>
        <w:tc>
          <w:tcPr>
            <w:tcW w:w="850" w:type="dxa"/>
            <w:vMerge w:val="restart"/>
            <w:vAlign w:val="center"/>
          </w:tcPr>
          <w:p w14:paraId="4A2F6067">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30.1.1</w:t>
            </w:r>
          </w:p>
        </w:tc>
        <w:tc>
          <w:tcPr>
            <w:tcW w:w="2726" w:type="dxa"/>
            <w:vMerge w:val="restart"/>
            <w:vAlign w:val="center"/>
          </w:tcPr>
          <w:p w14:paraId="5D4B1709">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评标委员会</w:t>
            </w:r>
          </w:p>
        </w:tc>
        <w:tc>
          <w:tcPr>
            <w:tcW w:w="5091" w:type="dxa"/>
            <w:vAlign w:val="center"/>
          </w:tcPr>
          <w:p w14:paraId="4D325E55">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5人及以上单数。</w:t>
            </w:r>
          </w:p>
        </w:tc>
      </w:tr>
      <w:tr w14:paraId="6931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continue"/>
            <w:vAlign w:val="center"/>
          </w:tcPr>
          <w:p w14:paraId="09AE832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850" w:type="dxa"/>
            <w:vMerge w:val="continue"/>
            <w:vAlign w:val="center"/>
          </w:tcPr>
          <w:p w14:paraId="6BFD2C75">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2726" w:type="dxa"/>
            <w:vMerge w:val="continue"/>
            <w:vAlign w:val="center"/>
          </w:tcPr>
          <w:p w14:paraId="36EC6A23">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p>
        </w:tc>
        <w:tc>
          <w:tcPr>
            <w:tcW w:w="5091" w:type="dxa"/>
            <w:vAlign w:val="center"/>
          </w:tcPr>
          <w:p w14:paraId="42577361">
            <w:pPr>
              <w:pStyle w:val="73"/>
              <w:keepNext w:val="0"/>
              <w:keepLines w:val="0"/>
              <w:suppressLineNumbers w:val="0"/>
              <w:spacing w:before="0" w:beforeAutospacing="0" w:after="0" w:afterAutospacing="0" w:line="360" w:lineRule="auto"/>
              <w:ind w:left="0" w:right="0" w:firstLine="0" w:firstLineChars="0"/>
              <w:jc w:val="left"/>
              <w:rPr>
                <w:rFonts w:hint="default" w:ascii="Times New Roman" w:hAnsi="Times New Roman" w:eastAsia="宋体" w:cs="Times New Roman"/>
                <w:bCs/>
                <w:color w:val="000000" w:themeColor="text1"/>
                <w:sz w:val="21"/>
                <w:highlight w:val="none"/>
                <w14:textFill>
                  <w14:solidFill>
                    <w14:schemeClr w14:val="tx1"/>
                  </w14:solidFill>
                </w14:textFill>
              </w:rPr>
            </w:pPr>
            <w:r>
              <w:rPr>
                <w:rFonts w:hint="eastAsia" w:ascii="Times New Roman" w:hAnsi="Times New Roman" w:cs="Times New Roman"/>
                <w:bCs/>
                <w:color w:val="000000" w:themeColor="text1"/>
                <w:sz w:val="21"/>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sz w:val="21"/>
                <w:highlight w:val="none"/>
                <w14:textFill>
                  <w14:solidFill>
                    <w14:schemeClr w14:val="tx1"/>
                  </w14:solidFill>
                </w14:textFill>
              </w:rPr>
              <w:t>评标专家劳务报酬（专家评审费）由采购人全额承担、据实支付，不计入投标报价范畴，不转嫁中标供应商承担；费用标准按照《江苏省政府采购评审专家劳务报酬管理办法》、江苏省财政厅现行政府采购专家费用相关管理规定执行，由采购人在项目结束后按规定流程直接结算支付。</w:t>
            </w:r>
          </w:p>
          <w:p w14:paraId="5CF23D41">
            <w:pPr>
              <w:pStyle w:val="80"/>
              <w:spacing w:line="360" w:lineRule="auto"/>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imes New Roman" w:hAnsi="Times New Roman" w:cs="Times New Roman"/>
                <w:bCs/>
                <w:color w:val="000000" w:themeColor="text1"/>
                <w:sz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1"/>
                <w:highlight w:val="none"/>
                <w14:textFill>
                  <w14:solidFill>
                    <w14:schemeClr w14:val="tx1"/>
                  </w14:solidFill>
                </w14:textFill>
              </w:rPr>
              <w:t>. 采购代理机构协助采购人办理专家费用核算、申领发放相关配套手续，不承担专家费用支付义务。</w:t>
            </w:r>
          </w:p>
        </w:tc>
      </w:tr>
      <w:tr w14:paraId="116B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7158542">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22</w:t>
            </w:r>
          </w:p>
        </w:tc>
        <w:tc>
          <w:tcPr>
            <w:tcW w:w="850" w:type="dxa"/>
            <w:vAlign w:val="center"/>
          </w:tcPr>
          <w:p w14:paraId="312A31A9">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30.5.3</w:t>
            </w:r>
          </w:p>
        </w:tc>
        <w:tc>
          <w:tcPr>
            <w:tcW w:w="2726" w:type="dxa"/>
            <w:vAlign w:val="center"/>
          </w:tcPr>
          <w:p w14:paraId="58010FE5">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核心产品</w:t>
            </w: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ab/>
            </w:r>
          </w:p>
        </w:tc>
        <w:tc>
          <w:tcPr>
            <w:tcW w:w="5091" w:type="dxa"/>
            <w:vAlign w:val="center"/>
          </w:tcPr>
          <w:p w14:paraId="5A933986">
            <w:pPr>
              <w:pStyle w:val="80"/>
              <w:spacing w:line="360" w:lineRule="auto"/>
              <w:rPr>
                <w:rFonts w:hint="eastAsia" w:asciiTheme="minorEastAsia" w:hAnsiTheme="minorEastAsia" w:eastAsiaTheme="minorEastAsia" w:cstheme="minorEastAsia"/>
                <w:bCs/>
                <w:color w:val="000000" w:themeColor="text1"/>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2"/>
                <w:sz w:val="21"/>
                <w:highlight w:val="none"/>
                <w:lang w:val="en-US" w:eastAsia="zh-CN"/>
                <w14:textFill>
                  <w14:solidFill>
                    <w14:schemeClr w14:val="tx1"/>
                  </w14:solidFill>
                </w14:textFill>
              </w:rPr>
              <w:t>货物</w:t>
            </w:r>
            <w:r>
              <w:rPr>
                <w:rFonts w:hint="eastAsia" w:asciiTheme="minorEastAsia" w:hAnsiTheme="minorEastAsia" w:eastAsiaTheme="minorEastAsia" w:cstheme="minorEastAsia"/>
                <w:bCs/>
                <w:color w:val="000000" w:themeColor="text1"/>
                <w:sz w:val="21"/>
                <w:highlight w:val="none"/>
                <w14:textFill>
                  <w14:solidFill>
                    <w14:schemeClr w14:val="tx1"/>
                  </w14:solidFill>
                </w14:textFill>
              </w:rPr>
              <w:t>类，详见第四章采购需求</w:t>
            </w:r>
          </w:p>
        </w:tc>
      </w:tr>
      <w:tr w14:paraId="7EC6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75" w:type="dxa"/>
            <w:vAlign w:val="center"/>
          </w:tcPr>
          <w:p w14:paraId="34912D11">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23</w:t>
            </w:r>
          </w:p>
        </w:tc>
        <w:tc>
          <w:tcPr>
            <w:tcW w:w="850" w:type="dxa"/>
            <w:vAlign w:val="center"/>
          </w:tcPr>
          <w:p w14:paraId="1344B570">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31.3</w:t>
            </w:r>
          </w:p>
        </w:tc>
        <w:tc>
          <w:tcPr>
            <w:tcW w:w="2726" w:type="dxa"/>
            <w:vAlign w:val="center"/>
          </w:tcPr>
          <w:p w14:paraId="14F247E9">
            <w:pPr>
              <w:pStyle w:val="80"/>
              <w:jc w:val="left"/>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确定中标单位</w:t>
            </w:r>
          </w:p>
        </w:tc>
        <w:tc>
          <w:tcPr>
            <w:tcW w:w="5091" w:type="dxa"/>
            <w:vAlign w:val="center"/>
          </w:tcPr>
          <w:p w14:paraId="57AB7CA7">
            <w:pPr>
              <w:adjustRightInd w:val="0"/>
              <w:snapToGrid w:val="0"/>
              <w:spacing w:before="156" w:beforeLines="50" w:line="360" w:lineRule="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1.评委会根据本采购文件规定评分办法与评分标准综合打分，并按综合得分由高到低顺序向项目采购人推荐3名中标候选人。</w:t>
            </w:r>
          </w:p>
          <w:p w14:paraId="37BF89C7">
            <w:pPr>
              <w:spacing w:line="360" w:lineRule="auto"/>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2.采购人根据评委会推荐的中标候选人按规定确定中标</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。中标</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因不可抗力或者自身原因不能履行采购合同的，采购人可以与排位在中标</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之后第一位的中标候选</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签订采购合同，以此类推；采购人也可以重新开展采购活动。</w:t>
            </w:r>
          </w:p>
        </w:tc>
      </w:tr>
      <w:tr w14:paraId="3FE5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4CEB6BF">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24</w:t>
            </w:r>
          </w:p>
        </w:tc>
        <w:tc>
          <w:tcPr>
            <w:tcW w:w="850" w:type="dxa"/>
            <w:vAlign w:val="center"/>
          </w:tcPr>
          <w:p w14:paraId="1F2FDB6E">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31.4</w:t>
            </w:r>
          </w:p>
        </w:tc>
        <w:tc>
          <w:tcPr>
            <w:tcW w:w="2726" w:type="dxa"/>
            <w:vAlign w:val="center"/>
          </w:tcPr>
          <w:p w14:paraId="6F1815F4">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公告媒体</w:t>
            </w:r>
          </w:p>
        </w:tc>
        <w:tc>
          <w:tcPr>
            <w:tcW w:w="5091" w:type="dxa"/>
            <w:vAlign w:val="center"/>
          </w:tcPr>
          <w:p w14:paraId="008346C0">
            <w:pPr>
              <w:adjustRightInd w:val="0"/>
              <w:snapToGrid w:val="0"/>
              <w:spacing w:before="156" w:beforeLines="50" w:line="276" w:lineRule="auto"/>
              <w:rPr>
                <w:rFonts w:hint="eastAsia" w:eastAsia="宋体" w:asciiTheme="minorEastAsia" w:hAnsiTheme="minorEastAsia" w:cs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0"/>
                <w:sz w:val="22"/>
                <w:szCs w:val="22"/>
                <w:highlight w:val="none"/>
                <w:lang w:eastAsia="zh-CN"/>
                <w14:textFill>
                  <w14:solidFill>
                    <w14:schemeClr w14:val="tx1"/>
                  </w14:solidFill>
                </w14:textFill>
              </w:rPr>
              <w:t>中国医学科学院皮肤病医院（中国医学科学院皮肤病研究所）</w:t>
            </w:r>
            <w:r>
              <w:rPr>
                <w:rFonts w:hint="eastAsia" w:ascii="宋体" w:hAnsi="宋体" w:cs="宋体"/>
                <w:color w:val="000000" w:themeColor="text1"/>
                <w:kern w:val="0"/>
                <w:sz w:val="22"/>
                <w:szCs w:val="22"/>
                <w:highlight w:val="none"/>
                <w:lang w:val="en-US" w:eastAsia="zh-CN"/>
                <w14:textFill>
                  <w14:solidFill>
                    <w14:schemeClr w14:val="tx1"/>
                  </w14:solidFill>
                </w14:textFill>
              </w:rPr>
              <w:t>院内网站</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（http://www.pumcskin.cn/）</w:t>
            </w:r>
          </w:p>
        </w:tc>
      </w:tr>
      <w:tr w14:paraId="2AE1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AE4196C">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25</w:t>
            </w:r>
          </w:p>
        </w:tc>
        <w:tc>
          <w:tcPr>
            <w:tcW w:w="850" w:type="dxa"/>
            <w:vAlign w:val="center"/>
          </w:tcPr>
          <w:p w14:paraId="590D969C">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35.1</w:t>
            </w:r>
          </w:p>
        </w:tc>
        <w:tc>
          <w:tcPr>
            <w:tcW w:w="2726" w:type="dxa"/>
            <w:vAlign w:val="center"/>
          </w:tcPr>
          <w:p w14:paraId="7DC045B1">
            <w:pPr>
              <w:pStyle w:val="80"/>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履约保证金</w:t>
            </w:r>
          </w:p>
        </w:tc>
        <w:tc>
          <w:tcPr>
            <w:tcW w:w="5091" w:type="dxa"/>
            <w:vAlign w:val="center"/>
          </w:tcPr>
          <w:p w14:paraId="439FC8B0">
            <w:pPr>
              <w:pStyle w:val="80"/>
              <w:spacing w:line="360" w:lineRule="auto"/>
              <w:rPr>
                <w:rFonts w:hint="default" w:asciiTheme="minorEastAsia" w:hAnsiTheme="minorEastAsia" w:eastAsiaTheme="minorEastAsia" w:cstheme="minorEastAsia"/>
                <w:bCs/>
                <w:color w:val="000000" w:themeColor="text1"/>
                <w:kern w:val="2"/>
                <w:sz w:val="21"/>
                <w:highlight w:val="none"/>
                <w:lang w:val="en-US"/>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■合同签订前，供应商支付合同金额的10%作为履约保证金，验收合格一年后无息退还。</w:t>
            </w:r>
          </w:p>
        </w:tc>
      </w:tr>
      <w:tr w14:paraId="44A4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571145F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26</w:t>
            </w:r>
          </w:p>
        </w:tc>
        <w:tc>
          <w:tcPr>
            <w:tcW w:w="850" w:type="dxa"/>
            <w:vAlign w:val="center"/>
          </w:tcPr>
          <w:p w14:paraId="5D0D3758">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36.1</w:t>
            </w:r>
          </w:p>
        </w:tc>
        <w:tc>
          <w:tcPr>
            <w:tcW w:w="2726" w:type="dxa"/>
            <w:vAlign w:val="center"/>
          </w:tcPr>
          <w:p w14:paraId="4E72AC94">
            <w:pPr>
              <w:adjustRightInd w:val="0"/>
              <w:snapToGrid w:val="0"/>
              <w:spacing w:before="156" w:beforeLines="50" w:line="276" w:lineRule="auto"/>
              <w:ind w:left="-533" w:leftChars="-254" w:firstLine="533" w:firstLineChars="254"/>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对采购文件的</w:t>
            </w:r>
          </w:p>
          <w:p w14:paraId="7AC77D8D">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询问</w:t>
            </w:r>
          </w:p>
        </w:tc>
        <w:tc>
          <w:tcPr>
            <w:tcW w:w="5091" w:type="dxa"/>
            <w:vAlign w:val="center"/>
          </w:tcPr>
          <w:p w14:paraId="787E439F">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时间： 2026 年 </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8</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月</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 xml:space="preserve"> 25</w:t>
            </w:r>
            <w:r>
              <w:rPr>
                <w:rFonts w:hint="eastAsia" w:asciiTheme="minorEastAsia" w:hAnsiTheme="minorEastAsia" w:eastAsiaTheme="minorEastAsia" w:cstheme="minorEastAsia"/>
                <w:bCs/>
                <w:color w:val="000000" w:themeColor="text1"/>
                <w:highlight w:val="none"/>
                <w14:textFill>
                  <w14:solidFill>
                    <w14:schemeClr w14:val="tx1"/>
                  </w14:solidFill>
                </w14:textFill>
              </w:rPr>
              <w:t>日1</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7</w:t>
            </w:r>
            <w:r>
              <w:rPr>
                <w:rFonts w:hint="eastAsia" w:asciiTheme="minorEastAsia" w:hAnsiTheme="minorEastAsia" w:eastAsiaTheme="minorEastAsia" w:cstheme="minorEastAsia"/>
                <w:bCs/>
                <w:color w:val="000000" w:themeColor="text1"/>
                <w:highlight w:val="none"/>
                <w14:textFill>
                  <w14:solidFill>
                    <w14:schemeClr w14:val="tx1"/>
                  </w14:solidFill>
                </w14:textFill>
              </w:rPr>
              <w:t>:00前</w:t>
            </w:r>
          </w:p>
          <w:p w14:paraId="78F321FE">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形式：以书面形式（盖章扫描件及WPS兼容格式文件发至</w:t>
            </w:r>
            <w:r>
              <w:rPr>
                <w:rFonts w:hint="eastAsia" w:asciiTheme="minorEastAsia" w:hAnsiTheme="minorEastAsia" w:eastAsiaTheme="minorEastAsia" w:cstheme="minorEastAsia"/>
                <w:bCs/>
                <w:color w:val="000000" w:themeColor="text1"/>
                <w:highlight w:val="none"/>
                <w:u w:val="single"/>
                <w:lang w:eastAsia="zh-CN"/>
                <w14:textFill>
                  <w14:solidFill>
                    <w14:schemeClr w14:val="tx1"/>
                  </w14:solidFill>
                </w14:textFill>
              </w:rPr>
              <w:t>myr@jstcc.cn</w:t>
            </w:r>
            <w:r>
              <w:rPr>
                <w:rFonts w:hint="eastAsia" w:asciiTheme="minorEastAsia" w:hAnsiTheme="minorEastAsia" w:eastAsiaTheme="minorEastAsia" w:cstheme="minorEastAsia"/>
                <w:bCs/>
                <w:color w:val="000000" w:themeColor="text1"/>
                <w:highlight w:val="none"/>
                <w14:textFill>
                  <w14:solidFill>
                    <w14:schemeClr w14:val="tx1"/>
                  </w14:solidFill>
                </w14:textFill>
              </w:rPr>
              <w:t>邮箱）通知采购代理机构。</w:t>
            </w:r>
          </w:p>
        </w:tc>
      </w:tr>
      <w:tr w14:paraId="0C5D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675" w:type="dxa"/>
            <w:vAlign w:val="center"/>
          </w:tcPr>
          <w:p w14:paraId="708AE0B9">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27</w:t>
            </w:r>
          </w:p>
        </w:tc>
        <w:tc>
          <w:tcPr>
            <w:tcW w:w="850" w:type="dxa"/>
            <w:vAlign w:val="center"/>
          </w:tcPr>
          <w:p w14:paraId="0AEC72B5">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37.1</w:t>
            </w:r>
          </w:p>
        </w:tc>
        <w:tc>
          <w:tcPr>
            <w:tcW w:w="2726" w:type="dxa"/>
            <w:vAlign w:val="center"/>
          </w:tcPr>
          <w:p w14:paraId="5439E7AE">
            <w:pPr>
              <w:adjustRightInd w:val="0"/>
              <w:snapToGrid w:val="0"/>
              <w:spacing w:before="156" w:beforeLines="50" w:line="276" w:lineRule="auto"/>
              <w:ind w:left="-533" w:leftChars="-254" w:firstLine="533" w:firstLineChars="254"/>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对采购文件提出的</w:t>
            </w:r>
          </w:p>
          <w:p w14:paraId="2EC0670D">
            <w:pPr>
              <w:adjustRightInd w:val="0"/>
              <w:snapToGrid w:val="0"/>
              <w:spacing w:before="156" w:beforeLines="50" w:line="276" w:lineRule="auto"/>
              <w:ind w:left="-533" w:leftChars="-254" w:firstLine="533" w:firstLineChars="254"/>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质疑</w:t>
            </w:r>
          </w:p>
        </w:tc>
        <w:tc>
          <w:tcPr>
            <w:tcW w:w="5091" w:type="dxa"/>
            <w:vAlign w:val="center"/>
          </w:tcPr>
          <w:p w14:paraId="2CB57D3B">
            <w:pPr>
              <w:pStyle w:val="2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形式：以书面形式通知采购人或采购代理机构。如采用邮件形式（盖章扫描件及WPS兼容格式文件发至</w:t>
            </w:r>
            <w:r>
              <w:rPr>
                <w:rFonts w:hint="eastAsia" w:asciiTheme="minorEastAsia" w:hAnsiTheme="minorEastAsia" w:eastAsiaTheme="minorEastAsia" w:cstheme="minorEastAsia"/>
                <w:bCs/>
                <w:color w:val="000000" w:themeColor="text1"/>
                <w:highlight w:val="none"/>
                <w:u w:val="single"/>
                <w:lang w:eastAsia="zh-CN"/>
                <w14:textFill>
                  <w14:solidFill>
                    <w14:schemeClr w14:val="tx1"/>
                  </w14:solidFill>
                </w14:textFill>
              </w:rPr>
              <w:t>myr@jstcc.cn</w:t>
            </w:r>
            <w:r>
              <w:rPr>
                <w:rFonts w:hint="eastAsia" w:asciiTheme="minorEastAsia" w:hAnsiTheme="minorEastAsia" w:eastAsiaTheme="minorEastAsia" w:cstheme="minorEastAsia"/>
                <w:bCs/>
                <w:color w:val="000000" w:themeColor="text1"/>
                <w:highlight w:val="none"/>
                <w14:textFill>
                  <w14:solidFill>
                    <w14:schemeClr w14:val="tx1"/>
                  </w14:solidFill>
                </w14:textFill>
              </w:rPr>
              <w:t>邮箱）通知，采购人或采购代理机构将以邮件形式进行答复。</w:t>
            </w:r>
          </w:p>
        </w:tc>
      </w:tr>
      <w:tr w14:paraId="39F1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vAlign w:val="center"/>
          </w:tcPr>
          <w:p w14:paraId="5E2F8830">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28</w:t>
            </w:r>
          </w:p>
        </w:tc>
        <w:tc>
          <w:tcPr>
            <w:tcW w:w="850" w:type="dxa"/>
            <w:vAlign w:val="center"/>
          </w:tcPr>
          <w:p w14:paraId="39D3BD23">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38.1</w:t>
            </w:r>
          </w:p>
        </w:tc>
        <w:tc>
          <w:tcPr>
            <w:tcW w:w="2726" w:type="dxa"/>
            <w:vAlign w:val="center"/>
          </w:tcPr>
          <w:p w14:paraId="6696C82E">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招标代理服务费</w:t>
            </w:r>
          </w:p>
        </w:tc>
        <w:tc>
          <w:tcPr>
            <w:tcW w:w="5091" w:type="dxa"/>
            <w:vAlign w:val="center"/>
          </w:tcPr>
          <w:p w14:paraId="7D275DB6">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成交供应商在领取成交通知书前按计价格[2002]1980号文件</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货物</w:t>
            </w:r>
            <w:r>
              <w:rPr>
                <w:rFonts w:hint="eastAsia" w:asciiTheme="minorEastAsia" w:hAnsiTheme="minorEastAsia" w:eastAsiaTheme="minorEastAsia" w:cstheme="minorEastAsia"/>
                <w:bCs/>
                <w:color w:val="000000" w:themeColor="text1"/>
                <w:highlight w:val="none"/>
                <w14:textFill>
                  <w14:solidFill>
                    <w14:schemeClr w14:val="tx1"/>
                  </w14:solidFill>
                </w14:textFill>
              </w:rPr>
              <w:t>类44%一次性足额向采购代理机构缴纳采购代理服务费用。</w:t>
            </w:r>
          </w:p>
          <w:p w14:paraId="2F953F40">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代理服务费汇入账户：</w:t>
            </w:r>
          </w:p>
          <w:p w14:paraId="54CC63A1">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收款人：江苏省招标中心有限公司</w:t>
            </w:r>
          </w:p>
          <w:p w14:paraId="07501231">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人民币帐号为：7321810182600023404</w:t>
            </w:r>
          </w:p>
          <w:p w14:paraId="0D8BD666">
            <w:pPr>
              <w:pStyle w:val="20"/>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开户银行：中信银行南京江苏路支行</w:t>
            </w:r>
          </w:p>
        </w:tc>
      </w:tr>
      <w:tr w14:paraId="691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1" w:hRule="atLeast"/>
          <w:jc w:val="center"/>
        </w:trPr>
        <w:tc>
          <w:tcPr>
            <w:tcW w:w="675" w:type="dxa"/>
            <w:vAlign w:val="center"/>
          </w:tcPr>
          <w:p w14:paraId="717927F1">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29</w:t>
            </w:r>
          </w:p>
        </w:tc>
        <w:tc>
          <w:tcPr>
            <w:tcW w:w="850" w:type="dxa"/>
            <w:vAlign w:val="center"/>
          </w:tcPr>
          <w:p w14:paraId="2738613D">
            <w:pPr>
              <w:pStyle w:val="80"/>
              <w:jc w:val="cente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39</w:t>
            </w:r>
          </w:p>
        </w:tc>
        <w:tc>
          <w:tcPr>
            <w:tcW w:w="2726" w:type="dxa"/>
            <w:vAlign w:val="center"/>
          </w:tcPr>
          <w:p w14:paraId="3B1F6F2B">
            <w:pPr>
              <w:pStyle w:val="80"/>
              <w:spacing w:line="360" w:lineRule="auto"/>
              <w:jc w:val="left"/>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14:textFill>
                  <w14:solidFill>
                    <w14:schemeClr w14:val="tx1"/>
                  </w14:solidFill>
                </w14:textFill>
              </w:rPr>
              <w:t>其它规定</w:t>
            </w:r>
          </w:p>
        </w:tc>
        <w:tc>
          <w:tcPr>
            <w:tcW w:w="5091" w:type="dxa"/>
            <w:vAlign w:val="center"/>
          </w:tcPr>
          <w:p w14:paraId="509CCF82">
            <w:pPr>
              <w:pStyle w:val="2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异常低价认定及处理程序：</w:t>
            </w:r>
          </w:p>
          <w:p w14:paraId="056E6544">
            <w:pPr>
              <w:pStyle w:val="2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（一）采购人应当在采购文件中明确，评审中出现下列情形之一的，评审委员会应当启动异常低价投标（响应）审查程序：</w:t>
            </w:r>
          </w:p>
          <w:p w14:paraId="273F07BB">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ACF5B0A">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4976AB72">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3.投标（响应）报价低于采购项目最高限价45%的，即投标（响应）报价&lt;采购项目最高限价×45%；</w:t>
            </w:r>
          </w:p>
          <w:p w14:paraId="0AF0DFC8">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4.评审委员会基于专业判断，认为供应商报价过低，有可能影响产品质量或者不能诚信履约的其他情形。</w:t>
            </w:r>
          </w:p>
          <w:p w14:paraId="06D81351">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相关法律法规对供应商报价有规定的，从其规定。</w:t>
            </w:r>
          </w:p>
          <w:p w14:paraId="0623969F">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27EA430">
            <w:pPr>
              <w:pStyle w:val="8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color w:val="000000" w:themeColor="text1"/>
                <w:highlight w:val="none"/>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5B5319EC">
            <w:pPr>
              <w:pStyle w:val="2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多标段说明：</w:t>
            </w:r>
          </w:p>
          <w:p w14:paraId="5E82DEA2">
            <w:pPr>
              <w:pStyle w:val="20"/>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如本招标项目包含多个标段（如有），则除非招标文件特别说明，各项条款均为各标段通用内容。</w:t>
            </w:r>
          </w:p>
        </w:tc>
      </w:tr>
    </w:tbl>
    <w:p w14:paraId="58758222">
      <w:pP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p>
    <w:p w14:paraId="1BD3FCA5">
      <w:pPr>
        <w:pStyle w:val="34"/>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4" w:name="_Toc30166"/>
      <w:bookmarkStart w:id="35" w:name="_Toc104560837"/>
      <w:bookmarkStart w:id="36" w:name="_Toc107246213"/>
      <w:bookmarkStart w:id="37" w:name="_Toc103848526"/>
      <w:bookmarkStart w:id="38" w:name="_Toc28571"/>
      <w:bookmarkStart w:id="39" w:name="_Toc100905199"/>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须知</w:t>
      </w:r>
      <w:bookmarkEnd w:id="34"/>
      <w:bookmarkEnd w:id="35"/>
      <w:bookmarkEnd w:id="36"/>
      <w:bookmarkEnd w:id="37"/>
      <w:bookmarkEnd w:id="38"/>
      <w:bookmarkEnd w:id="39"/>
    </w:p>
    <w:p w14:paraId="530ECE54">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0" w:name="_Toc80264706"/>
      <w:bookmarkStart w:id="41" w:name="_Toc19642"/>
      <w:bookmarkStart w:id="42" w:name="_Toc102011190"/>
      <w:bookmarkStart w:id="43" w:name="_Toc26412"/>
      <w:bookmarkStart w:id="44" w:name="_Toc13046"/>
      <w:r>
        <w:rPr>
          <w:rFonts w:hint="eastAsia" w:asciiTheme="minorEastAsia" w:hAnsiTheme="minorEastAsia" w:eastAsiaTheme="minorEastAsia" w:cstheme="minorEastAsia"/>
          <w:color w:val="000000" w:themeColor="text1"/>
          <w:highlight w:val="none"/>
          <w14:textFill>
            <w14:solidFill>
              <w14:schemeClr w14:val="tx1"/>
            </w14:solidFill>
          </w14:textFill>
        </w:rPr>
        <w:t>一．</w:t>
      </w:r>
      <w:bookmarkEnd w:id="40"/>
      <w:r>
        <w:rPr>
          <w:rFonts w:hint="eastAsia" w:asciiTheme="minorEastAsia" w:hAnsiTheme="minorEastAsia" w:eastAsiaTheme="minorEastAsia" w:cstheme="minorEastAsia"/>
          <w:color w:val="000000" w:themeColor="text1"/>
          <w:highlight w:val="none"/>
          <w14:textFill>
            <w14:solidFill>
              <w14:schemeClr w14:val="tx1"/>
            </w14:solidFill>
          </w14:textFill>
        </w:rPr>
        <w:t>总则</w:t>
      </w:r>
      <w:bookmarkEnd w:id="41"/>
      <w:bookmarkEnd w:id="42"/>
      <w:bookmarkEnd w:id="43"/>
      <w:bookmarkEnd w:id="44"/>
    </w:p>
    <w:p w14:paraId="52BDF509">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5" w:name="_Toc30642"/>
      <w:bookmarkStart w:id="46" w:name="_Toc810120024"/>
      <w:bookmarkStart w:id="47" w:name="_Toc4246"/>
      <w:bookmarkStart w:id="48" w:name="_Toc96347862"/>
      <w:bookmarkStart w:id="49" w:name="_Toc103848528"/>
      <w:bookmarkStart w:id="50" w:name="_Toc107246215"/>
      <w:bookmarkStart w:id="51" w:name="_Toc4318"/>
      <w:bookmarkStart w:id="52" w:name="_Toc100905201"/>
      <w:bookmarkStart w:id="53" w:name="_Toc104560839"/>
      <w:r>
        <w:rPr>
          <w:rFonts w:hint="eastAsia" w:asciiTheme="minorEastAsia" w:hAnsiTheme="minorEastAsia" w:eastAsiaTheme="minorEastAsia" w:cstheme="minorEastAsia"/>
          <w:color w:val="000000" w:themeColor="text1"/>
          <w:highlight w:val="none"/>
          <w14:textFill>
            <w14:solidFill>
              <w14:schemeClr w14:val="tx1"/>
            </w14:solidFill>
          </w14:textFill>
        </w:rPr>
        <w:t>1.采购方式</w:t>
      </w:r>
      <w:bookmarkEnd w:id="45"/>
      <w:bookmarkEnd w:id="46"/>
      <w:bookmarkEnd w:id="47"/>
      <w:bookmarkEnd w:id="48"/>
      <w:bookmarkEnd w:id="49"/>
      <w:bookmarkEnd w:id="50"/>
      <w:bookmarkEnd w:id="51"/>
      <w:bookmarkEnd w:id="52"/>
      <w:bookmarkEnd w:id="53"/>
    </w:p>
    <w:p w14:paraId="10B140B2">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1.1</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本次招标采取公开招标方式，本招标文件仅适用于招标公告中所述项目。</w:t>
      </w:r>
    </w:p>
    <w:p w14:paraId="2C78B132">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54" w:name="_Toc104560840"/>
      <w:bookmarkStart w:id="55" w:name="_Toc103848529"/>
      <w:bookmarkStart w:id="56" w:name="_Toc96347863"/>
      <w:bookmarkStart w:id="57" w:name="_Toc29704"/>
      <w:bookmarkStart w:id="58" w:name="_Toc100905202"/>
      <w:bookmarkStart w:id="59" w:name="_Toc640921388"/>
      <w:bookmarkStart w:id="60" w:name="_Toc107246216"/>
      <w:bookmarkStart w:id="61" w:name="_Toc257"/>
      <w:bookmarkStart w:id="62" w:name="_Toc3347"/>
      <w:r>
        <w:rPr>
          <w:rFonts w:hint="eastAsia" w:asciiTheme="minorEastAsia" w:hAnsiTheme="minorEastAsia" w:eastAsiaTheme="minorEastAsia" w:cstheme="minorEastAsia"/>
          <w:color w:val="000000" w:themeColor="text1"/>
          <w:highlight w:val="none"/>
          <w14:textFill>
            <w14:solidFill>
              <w14:schemeClr w14:val="tx1"/>
            </w14:solidFill>
          </w14:textFill>
        </w:rPr>
        <w:t>2.定义</w:t>
      </w:r>
      <w:bookmarkEnd w:id="54"/>
      <w:bookmarkEnd w:id="55"/>
      <w:bookmarkEnd w:id="56"/>
      <w:bookmarkEnd w:id="57"/>
      <w:bookmarkEnd w:id="58"/>
      <w:bookmarkEnd w:id="59"/>
      <w:bookmarkEnd w:id="60"/>
      <w:bookmarkEnd w:id="61"/>
      <w:bookmarkEnd w:id="62"/>
    </w:p>
    <w:p w14:paraId="0EE7BDFF">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2.1“采购人”是指依法进行采购的国家机关、事业单位、团体组织。本次采购的采购人名称、地址、电话、联系人见</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10C15D3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2.2</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采购代理机构</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是指负责本项目的采购代理机构。本次采购的采购代理机构名称、地址、电话、联系人见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45F30CC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2.3“采购方”是指采购人和</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采购代理机构的合称。</w:t>
      </w:r>
    </w:p>
    <w:p w14:paraId="49676F9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2.4</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是指向采购人提供货物、工程或者服务的法人、其他组织或者自然人。</w:t>
      </w:r>
    </w:p>
    <w:p w14:paraId="0F43CA0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2.5</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中标</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是指在投标过程中获得采购项目合同签订资格的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。中标</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是由专家经过评审后推荐并经采购人确认的。本招标文件中中标</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也称中标人。</w:t>
      </w:r>
    </w:p>
    <w:p w14:paraId="37DCC4F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2.6</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评标委员会</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是依据采购相关法律法规规定组建，依法履行评审采购活动职责的评审成员。</w:t>
      </w:r>
    </w:p>
    <w:p w14:paraId="18B7915C">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2.7</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货物</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是指各种形态和种类的物品，包括原材料、燃料、设备、产品等。</w:t>
      </w:r>
    </w:p>
    <w:p w14:paraId="3AE381F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2.8</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工程</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是指建设工程，包括建筑物和构筑物的新建、改建、扩建、装修、拆除、修缮等。</w:t>
      </w:r>
    </w:p>
    <w:p w14:paraId="661F2B2C">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2.9</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服务</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是指除货物和工程以外的其他采购对象。</w:t>
      </w:r>
    </w:p>
    <w:p w14:paraId="0212B31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2.10</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节能产品</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或者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环保产品</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是指国务院有关部门对政府采购节能产品、环境标志产品实施品目清单和认证证书。</w:t>
      </w:r>
    </w:p>
    <w:p w14:paraId="2858DE8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2.11</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进口产品</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是指通过中国海关报关验放进入中国境内且产自关境外的产品。</w:t>
      </w:r>
    </w:p>
    <w:p w14:paraId="2479FAD3">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63" w:name="_Toc104560841"/>
      <w:bookmarkStart w:id="64" w:name="_Toc187794764"/>
      <w:bookmarkStart w:id="65" w:name="_Toc96347864"/>
      <w:bookmarkStart w:id="66" w:name="_Toc28483"/>
      <w:bookmarkStart w:id="67" w:name="_Toc107246217"/>
      <w:bookmarkStart w:id="68" w:name="_Toc30197"/>
      <w:bookmarkStart w:id="69" w:name="_Toc100905203"/>
      <w:bookmarkStart w:id="70" w:name="_Toc14990"/>
      <w:bookmarkStart w:id="71" w:name="_Toc103848530"/>
      <w:r>
        <w:rPr>
          <w:rFonts w:hint="eastAsia" w:asciiTheme="minorEastAsia" w:hAnsiTheme="minorEastAsia" w:eastAsiaTheme="minorEastAsia" w:cstheme="minorEastAsia"/>
          <w:color w:val="000000" w:themeColor="text1"/>
          <w:highlight w:val="none"/>
          <w14:textFill>
            <w14:solidFill>
              <w14:schemeClr w14:val="tx1"/>
            </w14:solidFill>
          </w14:textFill>
        </w:rPr>
        <w:t>3.适用法律</w:t>
      </w:r>
      <w:bookmarkEnd w:id="63"/>
      <w:bookmarkEnd w:id="64"/>
      <w:bookmarkEnd w:id="65"/>
      <w:bookmarkEnd w:id="66"/>
      <w:bookmarkEnd w:id="67"/>
      <w:bookmarkEnd w:id="68"/>
      <w:bookmarkEnd w:id="69"/>
      <w:bookmarkEnd w:id="70"/>
      <w:bookmarkEnd w:id="71"/>
    </w:p>
    <w:p w14:paraId="53FB612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72" w:name="_Toc100905204"/>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3.1本次招标参照采购相关法律、法规执行。</w:t>
      </w:r>
    </w:p>
    <w:p w14:paraId="23C5DC0A">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73" w:name="_Toc103848531"/>
      <w:bookmarkStart w:id="74" w:name="_Toc107246218"/>
      <w:bookmarkStart w:id="75" w:name="_Toc104560842"/>
      <w:bookmarkStart w:id="76" w:name="_Toc15400"/>
      <w:bookmarkStart w:id="77" w:name="_Toc24117"/>
      <w:bookmarkStart w:id="78" w:name="_Toc1613121105"/>
      <w:bookmarkStart w:id="79" w:name="_Toc23194"/>
      <w:r>
        <w:rPr>
          <w:rFonts w:hint="eastAsia" w:asciiTheme="minorEastAsia" w:hAnsiTheme="minorEastAsia" w:eastAsiaTheme="minorEastAsia" w:cstheme="minorEastAsia"/>
          <w:color w:val="000000" w:themeColor="text1"/>
          <w:highlight w:val="none"/>
          <w14:textFill>
            <w14:solidFill>
              <w14:schemeClr w14:val="tx1"/>
            </w14:solidFill>
          </w14:textFill>
        </w:rPr>
        <w:t>4.</w:t>
      </w:r>
      <w:bookmarkEnd w:id="73"/>
      <w:r>
        <w:rPr>
          <w:rFonts w:hint="eastAsia" w:asciiTheme="minorEastAsia" w:hAnsiTheme="minorEastAsia" w:eastAsiaTheme="minorEastAsia" w:cstheme="minorEastAsia"/>
          <w:color w:val="000000" w:themeColor="text1"/>
          <w:highlight w:val="none"/>
          <w14:textFill>
            <w14:solidFill>
              <w14:schemeClr w14:val="tx1"/>
            </w14:solidFill>
          </w14:textFill>
        </w:rPr>
        <w:t>政府采购政策（包括但不限于下列具体政策要求）</w:t>
      </w:r>
      <w:bookmarkEnd w:id="74"/>
      <w:bookmarkEnd w:id="75"/>
      <w:r>
        <w:rPr>
          <w:rFonts w:hint="eastAsia" w:asciiTheme="minorEastAsia" w:hAnsiTheme="minorEastAsia" w:eastAsiaTheme="minorEastAsia" w:cstheme="minorEastAsia"/>
          <w:color w:val="000000" w:themeColor="text1"/>
          <w:highlight w:val="none"/>
          <w14:textFill>
            <w14:solidFill>
              <w14:schemeClr w14:val="tx1"/>
            </w14:solidFill>
          </w14:textFill>
        </w:rPr>
        <w:t>（本项目不适用）</w:t>
      </w:r>
      <w:bookmarkEnd w:id="76"/>
      <w:bookmarkEnd w:id="77"/>
      <w:bookmarkEnd w:id="78"/>
      <w:bookmarkEnd w:id="79"/>
    </w:p>
    <w:p w14:paraId="4F1F3C5F">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4.1中小企业、监狱企业及残疾人福利性单位</w:t>
      </w:r>
    </w:p>
    <w:p w14:paraId="2EB8745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4.1.1中小企业定义：</w:t>
      </w:r>
    </w:p>
    <w:p w14:paraId="3DF4FD8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14:paraId="3F38150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4.1.1.2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提供的货物、工程或者服务符合下列情形的，享受中小企业扶持政策：</w:t>
      </w:r>
    </w:p>
    <w:p w14:paraId="675E9085">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（1）在货物采购项目中，货物由中小企业制造，即货物由中小企业生产且使用该中小企业商号或者注册商标；</w:t>
      </w:r>
    </w:p>
    <w:p w14:paraId="1CC493A7">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（2）在工程采购项目中，工程由中小企业承建，即工程施工单位为中小企业；</w:t>
      </w:r>
    </w:p>
    <w:p w14:paraId="614C00A0">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6C4F946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4.1.1.3在货物采购项目中，</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提供的货物既有中小企业制造货物，也有大型企业制造货物的，不享受中小企业扶持政策。</w:t>
      </w:r>
    </w:p>
    <w:p w14:paraId="1AB0D79B">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4.1.1.4以联合体形式参加政府采购活动，联合体各方均为中小企业的，联合体视同中小企业。其中，联合体各方均为小微企业的，联合体视同小微企业。</w:t>
      </w:r>
    </w:p>
    <w:p w14:paraId="397EB2D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4.1.2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4D3725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4.1.3残疾人福利单位定义：享受政府采购支持政策的残疾人福利性单位应当同时满足以下条件：</w:t>
      </w:r>
    </w:p>
    <w:p w14:paraId="494A278E">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（1）安置的残疾人占本单位在职职工人数的比例不低于25%（含25%），并且安置的残疾人人数不少于10 人（含10 人）；</w:t>
      </w:r>
    </w:p>
    <w:p w14:paraId="7A24BF6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（2）依法与安置的每位残疾人签订了一年以上（含一年）的劳动合同或服务协议；</w:t>
      </w:r>
    </w:p>
    <w:p w14:paraId="6DEC9B72">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（3）为安置的每位残疾人按月足额缴纳了基本养老保险、基本医疗保险、失业保险、工伤保险和生育保险等社会保险费；</w:t>
      </w:r>
    </w:p>
    <w:p w14:paraId="336759C4">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（4）通过银行等金融机构向安置的每位残疾人，按月支付了不低于单位所在区县适用的经省级人民政府批准的月最低工资标准的工资；</w:t>
      </w:r>
    </w:p>
    <w:p w14:paraId="610F7D51">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14:paraId="15DFA4A3">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（6）前款所称残疾人是指法定劳动年龄内，持有《中华人民共和国残疾人证》或者《中华人民共和国残疾军人证（1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4E0D9736">
      <w:pPr>
        <w:adjustRightInd w:val="0"/>
        <w:snapToGrid w:val="0"/>
        <w:spacing w:before="156" w:beforeLines="50" w:line="360" w:lineRule="auto"/>
        <w:ind w:firstLine="420"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4.1.4小微企业价格评审优惠的政策调整：见第五章《评标方法与评标标准》（如涉及）。</w:t>
      </w:r>
    </w:p>
    <w:p w14:paraId="682FF8C9">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4.2政府采购节能产品、环境标志产品</w:t>
      </w:r>
    </w:p>
    <w:p w14:paraId="53DF3A4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4.2.1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E3018C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4.2.2采购人拟采购的产品属于品目清单范围的，采购方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B74DC1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4.2.3如本项目采购产品属于实施政府强制采购品目清单范围的节能产品，则</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所报产品必须获得国家确定的认证机构出具的、处于有效期之内的节能产品认证证书，否则投标无效；</w:t>
      </w:r>
    </w:p>
    <w:p w14:paraId="1C947FB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4.2.4非政府强制采购的节能产品或环境标志产品，依据品目清单和认证证书实施政府优先采购。优先采购的具体规定见第五章《评标方法与评标标准》（如涉及）。</w:t>
      </w:r>
    </w:p>
    <w:p w14:paraId="00649229">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4.3信息安全产品</w:t>
      </w:r>
    </w:p>
    <w:p w14:paraId="691B374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4.3.1依据《关于信息安全产品实施政府采购的通知》（财库〔2010〕48 号），所投产品属于《关于调整信息安全产品强制性认证实施要求的公告》（2009 年第33 号）范围的，应采用经国家认证的信息安全产品，否则投标无效。</w:t>
      </w:r>
    </w:p>
    <w:p w14:paraId="491FF2A8">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4.4对本国产品的支持政策：</w:t>
      </w:r>
    </w:p>
    <w:p w14:paraId="32C1F1F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4.4.1.政府采购活动中既有本国产品又有非本国产品参与竞争的，依法对本国产品给予价格评审优惠，对本国产品的报价给予20%的价格扣除，用扣除后的价格参与评审。</w:t>
      </w:r>
    </w:p>
    <w:p w14:paraId="13ACCC1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4.4.2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EB251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4.4.3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EC10D6F">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注：</w:t>
      </w:r>
    </w:p>
    <w:p w14:paraId="4D724611">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①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E5A3CD5">
      <w:pPr>
        <w:adjustRightInd w:val="0"/>
        <w:snapToGrid w:val="0"/>
        <w:spacing w:before="156" w:beforeLines="50" w:line="360" w:lineRule="auto"/>
        <w:ind w:firstLine="422"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②评审中发现《符合本国产品标准的声明函》内容含义不明确、同类事项与投标（响应）文件表述不一致或者有明显文字错误等情况的，应当以书面形式要求供应商作出必要的澄清、说明或者补正。经澄清、说明或者补正的《符合本国产品标准的声明函》仍然不符合《国务院办公厅关于在政府采购中实施本国产品标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及相关政策的通知》规定要求的，供应商提供的相关产品视为不符合本国产品标准。</w:t>
      </w:r>
    </w:p>
    <w:p w14:paraId="4985225C">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4.5未按要求提供相关材料的，不享受相关政策。</w:t>
      </w:r>
    </w:p>
    <w:bookmarkEnd w:id="72"/>
    <w:p w14:paraId="4715C7CD">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80" w:name="_Toc1892852007"/>
      <w:bookmarkStart w:id="81" w:name="_Toc103848532"/>
      <w:bookmarkStart w:id="82" w:name="_Toc3345"/>
      <w:bookmarkStart w:id="83" w:name="_Toc104560843"/>
      <w:bookmarkStart w:id="84" w:name="_Toc100905205"/>
      <w:bookmarkStart w:id="85" w:name="_Toc19089"/>
      <w:bookmarkStart w:id="86" w:name="_Toc11210"/>
      <w:bookmarkStart w:id="87" w:name="_Toc107246219"/>
      <w:bookmarkStart w:id="88" w:name="_Toc96347865"/>
      <w:r>
        <w:rPr>
          <w:rFonts w:hint="eastAsia" w:asciiTheme="minorEastAsia" w:hAnsiTheme="minorEastAsia" w:eastAsiaTheme="minorEastAsia" w:cstheme="minorEastAsia"/>
          <w:color w:val="000000" w:themeColor="text1"/>
          <w:highlight w:val="none"/>
          <w14:textFill>
            <w14:solidFill>
              <w14:schemeClr w14:val="tx1"/>
            </w14:solidFill>
          </w14:textFill>
        </w:rPr>
        <w:t>5.相关费用</w:t>
      </w:r>
      <w:bookmarkEnd w:id="80"/>
      <w:bookmarkEnd w:id="81"/>
      <w:bookmarkEnd w:id="82"/>
      <w:bookmarkEnd w:id="83"/>
      <w:bookmarkEnd w:id="84"/>
      <w:bookmarkEnd w:id="85"/>
      <w:bookmarkEnd w:id="86"/>
      <w:bookmarkEnd w:id="87"/>
      <w:bookmarkEnd w:id="88"/>
    </w:p>
    <w:p w14:paraId="06CEEC4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5.1</w:t>
      </w:r>
      <w:bookmarkStart w:id="89" w:name="_Toc80264707"/>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参加投标活动的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应自行承担所有与参加投标有关的费用，无论投标过程中的做法和结果如何，采购人在任何情况下均无义务和责任承担这些费用。</w:t>
      </w:r>
    </w:p>
    <w:p w14:paraId="3E486D83">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90" w:name="_Toc2013"/>
      <w:bookmarkStart w:id="91" w:name="_Toc100905206"/>
      <w:bookmarkStart w:id="92" w:name="_Toc104560844"/>
      <w:bookmarkStart w:id="93" w:name="_Toc96347866"/>
      <w:bookmarkStart w:id="94" w:name="_Toc107246220"/>
      <w:bookmarkStart w:id="95" w:name="_Toc103848533"/>
      <w:bookmarkStart w:id="96" w:name="_Toc26326"/>
      <w:bookmarkStart w:id="97" w:name="_Toc340934991"/>
      <w:bookmarkStart w:id="98" w:name="_Toc13709"/>
      <w:r>
        <w:rPr>
          <w:rFonts w:hint="eastAsia" w:asciiTheme="minorEastAsia" w:hAnsiTheme="minorEastAsia" w:eastAsiaTheme="minorEastAsia" w:cstheme="minorEastAsia"/>
          <w:color w:val="000000" w:themeColor="text1"/>
          <w:highlight w:val="none"/>
          <w14:textFill>
            <w14:solidFill>
              <w14:schemeClr w14:val="tx1"/>
            </w14:solidFill>
          </w14:textFill>
        </w:rPr>
        <w:t>6.保密</w:t>
      </w:r>
      <w:bookmarkEnd w:id="90"/>
      <w:bookmarkEnd w:id="91"/>
      <w:bookmarkEnd w:id="92"/>
      <w:bookmarkEnd w:id="93"/>
      <w:bookmarkEnd w:id="94"/>
      <w:bookmarkEnd w:id="95"/>
      <w:bookmarkEnd w:id="96"/>
      <w:bookmarkEnd w:id="97"/>
      <w:bookmarkEnd w:id="98"/>
    </w:p>
    <w:p w14:paraId="0F6218C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99" w:name="_Toc96347867"/>
      <w:bookmarkStart w:id="100" w:name="_Toc100905207"/>
      <w:r>
        <w:rPr>
          <w:rFonts w:hint="eastAsia" w:asciiTheme="minorEastAsia" w:hAnsiTheme="minorEastAsia" w:eastAsiaTheme="minorEastAsia" w:cstheme="minorEastAsia"/>
          <w:color w:val="000000" w:themeColor="text1"/>
          <w:szCs w:val="21"/>
          <w:highlight w:val="none"/>
          <w14:textFill>
            <w14:solidFill>
              <w14:schemeClr w14:val="tx1"/>
            </w14:solidFill>
          </w14:textFill>
        </w:rPr>
        <w:t>6.1本招标文件所包含的信息属于保密信息，无采购人书面许可，任何单位或个人都无权披露、复制、使用、转让或者允许他人使用。获取招标文件的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被视为无条件对本招标文件的内容负有保密义务。</w:t>
      </w:r>
    </w:p>
    <w:p w14:paraId="1F5B153D">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01" w:name="_Toc10479"/>
      <w:bookmarkStart w:id="102" w:name="_Toc15336"/>
      <w:bookmarkStart w:id="103" w:name="_Toc608023541"/>
      <w:bookmarkStart w:id="104" w:name="_Toc107246221"/>
      <w:bookmarkStart w:id="105" w:name="_Toc21861"/>
      <w:bookmarkStart w:id="106" w:name="_Toc104560845"/>
      <w:bookmarkStart w:id="107" w:name="_Toc103848534"/>
      <w:r>
        <w:rPr>
          <w:rFonts w:hint="eastAsia" w:asciiTheme="minorEastAsia" w:hAnsiTheme="minorEastAsia" w:eastAsiaTheme="minorEastAsia" w:cstheme="minorEastAsia"/>
          <w:color w:val="000000" w:themeColor="text1"/>
          <w:highlight w:val="none"/>
          <w14:textFill>
            <w14:solidFill>
              <w14:schemeClr w14:val="tx1"/>
            </w14:solidFill>
          </w14:textFill>
        </w:rPr>
        <w:t>7.语言文字、计量单位</w:t>
      </w:r>
      <w:bookmarkEnd w:id="99"/>
      <w:bookmarkEnd w:id="100"/>
      <w:bookmarkEnd w:id="101"/>
      <w:bookmarkEnd w:id="102"/>
      <w:bookmarkEnd w:id="103"/>
      <w:bookmarkEnd w:id="104"/>
      <w:bookmarkEnd w:id="105"/>
      <w:bookmarkEnd w:id="106"/>
      <w:bookmarkEnd w:id="107"/>
    </w:p>
    <w:p w14:paraId="5027CB3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7.1所有文件使用的语言文字为中文。专用术语使用外文的，应附有中文注释。</w:t>
      </w:r>
    </w:p>
    <w:p w14:paraId="5AC40F0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7.2所有文件中的计量单位，除招标文件有特殊要求外，应采用国家法定计量单位。</w:t>
      </w:r>
    </w:p>
    <w:p w14:paraId="7D893D25">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08" w:name="_Toc96347868"/>
      <w:bookmarkStart w:id="109" w:name="_Toc17230"/>
      <w:bookmarkStart w:id="110" w:name="_Toc5442"/>
      <w:bookmarkStart w:id="111" w:name="_Toc1324461161"/>
      <w:bookmarkStart w:id="112" w:name="_Toc107246222"/>
      <w:bookmarkStart w:id="113" w:name="_Toc103848535"/>
      <w:bookmarkStart w:id="114" w:name="_Toc100905208"/>
      <w:bookmarkStart w:id="115" w:name="_Toc104560846"/>
      <w:bookmarkStart w:id="116" w:name="_Toc24362"/>
      <w:r>
        <w:rPr>
          <w:rFonts w:hint="eastAsia" w:asciiTheme="minorEastAsia" w:hAnsiTheme="minorEastAsia" w:eastAsiaTheme="minorEastAsia" w:cstheme="minorEastAsia"/>
          <w:color w:val="000000" w:themeColor="text1"/>
          <w:highlight w:val="none"/>
          <w14:textFill>
            <w14:solidFill>
              <w14:schemeClr w14:val="tx1"/>
            </w14:solidFill>
          </w14:textFill>
        </w:rPr>
        <w:t>8.现场考察</w:t>
      </w:r>
      <w:bookmarkEnd w:id="108"/>
      <w:bookmarkEnd w:id="109"/>
      <w:bookmarkEnd w:id="110"/>
      <w:bookmarkEnd w:id="111"/>
      <w:bookmarkEnd w:id="112"/>
      <w:bookmarkEnd w:id="113"/>
      <w:bookmarkEnd w:id="114"/>
      <w:bookmarkEnd w:id="115"/>
      <w:bookmarkEnd w:id="116"/>
    </w:p>
    <w:p w14:paraId="7D69ED5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8.1</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规定现场考察的，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须按照</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规定的时间、地点参加踏勘，以获得有关编制投标文件和签署合同所涉及现场的资料。</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承担现场考察所发生的自身费用、责任和风险。</w:t>
      </w:r>
    </w:p>
    <w:p w14:paraId="0D1BB818">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8.2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不按照</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本须知的规定</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参加项目现场考察的，视同放弃现场考察，采购方将不再另行组织现场考察。以此为由，影响后期投标文件相关的投标、签约、履约条件的，是</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自身的风险，采购方对此不承担责任。</w:t>
      </w:r>
    </w:p>
    <w:p w14:paraId="6E36CCD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8.3除非有特殊要求，招标文件不提供项目所在地的自然环境、气候条件、公用设施等情况，</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被视为熟悉上述与履行合同有关的一切情况。</w:t>
      </w:r>
    </w:p>
    <w:p w14:paraId="70A37229">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17" w:name="_Toc107246223"/>
      <w:bookmarkStart w:id="118" w:name="_Toc15603"/>
      <w:bookmarkStart w:id="119" w:name="_Toc1550731772"/>
      <w:bookmarkStart w:id="120" w:name="_Toc9825"/>
      <w:bookmarkStart w:id="121" w:name="_Toc102117275"/>
      <w:bookmarkStart w:id="122" w:name="_Toc16344"/>
      <w:r>
        <w:rPr>
          <w:rFonts w:hint="eastAsia" w:asciiTheme="minorEastAsia" w:hAnsiTheme="minorEastAsia" w:eastAsiaTheme="minorEastAsia" w:cstheme="minorEastAsia"/>
          <w:color w:val="000000" w:themeColor="text1"/>
          <w:highlight w:val="none"/>
          <w14:textFill>
            <w14:solidFill>
              <w14:schemeClr w14:val="tx1"/>
            </w14:solidFill>
          </w14:textFill>
        </w:rPr>
        <w:t>9.开标前答疑会</w:t>
      </w:r>
      <w:bookmarkEnd w:id="117"/>
      <w:bookmarkEnd w:id="118"/>
      <w:bookmarkEnd w:id="119"/>
      <w:bookmarkEnd w:id="120"/>
      <w:bookmarkEnd w:id="121"/>
      <w:bookmarkEnd w:id="122"/>
    </w:p>
    <w:p w14:paraId="002F1A8C">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9.1</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规定召开开标前答疑会的，采购方按</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规定的时间和地点召开开标前答疑会，澄清</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提出的询问。</w:t>
      </w:r>
    </w:p>
    <w:p w14:paraId="22D7BEA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9.2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应按</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规定的时间和形式将提出的询问送达采购方，以便采购方在会议期间澄清，逾期的询问将不被接受。</w:t>
      </w:r>
    </w:p>
    <w:p w14:paraId="4819486C">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23" w:name="_Toc12885"/>
      <w:bookmarkStart w:id="124" w:name="_Toc6753"/>
      <w:bookmarkStart w:id="125" w:name="_Toc104560847"/>
      <w:bookmarkStart w:id="126" w:name="_Toc469"/>
      <w:bookmarkStart w:id="127" w:name="_Toc103848536"/>
      <w:bookmarkStart w:id="128" w:name="_Toc100905210"/>
      <w:bookmarkStart w:id="129" w:name="_Toc1287352012"/>
      <w:bookmarkStart w:id="130" w:name="_Toc107246224"/>
      <w:bookmarkStart w:id="131" w:name="_Toc96347869"/>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10.联合体投标</w:t>
      </w:r>
      <w:bookmarkEnd w:id="123"/>
      <w:bookmarkEnd w:id="124"/>
      <w:bookmarkEnd w:id="125"/>
      <w:bookmarkEnd w:id="126"/>
      <w:bookmarkEnd w:id="127"/>
      <w:bookmarkEnd w:id="128"/>
      <w:bookmarkEnd w:id="129"/>
      <w:bookmarkEnd w:id="130"/>
    </w:p>
    <w:p w14:paraId="7148BE0B">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10.1本项目是否接受联合体形式参与详见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0DFF3FF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10.2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为联合体形式的，应遵守以下规定：</w:t>
      </w:r>
    </w:p>
    <w:p w14:paraId="46542B8A">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（1）联合体各方必须签订联合体协议书，明确联合体牵头人和各方权利、义务及分工、合同工作量比例；</w:t>
      </w:r>
    </w:p>
    <w:p w14:paraId="4F835A59">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（2）联合体各方均应当</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符合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采购文件规定的条件；</w:t>
      </w:r>
    </w:p>
    <w:p w14:paraId="6B8DDC26">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（3）除另有规定外，联合体各方中至少有一方应当符合采购人规定的特定资格条件；</w:t>
      </w:r>
    </w:p>
    <w:p w14:paraId="6E2097A4">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（4）联合体中有同类资质的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按照联合体分工承担相同工作的，应当按照资质等级较低的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确定资质等级；</w:t>
      </w:r>
    </w:p>
    <w:p w14:paraId="09654A29">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（5）以联合体形式参加采购活动的，联合体各方不得再单独参加或者与其他</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另外组成联合体参加同一合同项下的采购活动。</w:t>
      </w:r>
    </w:p>
    <w:p w14:paraId="0654312A">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32" w:name="_Toc103848537"/>
      <w:bookmarkStart w:id="133" w:name="_Toc13759"/>
      <w:bookmarkStart w:id="134" w:name="_Toc627522159"/>
      <w:bookmarkStart w:id="135" w:name="_Toc2314"/>
      <w:bookmarkStart w:id="136" w:name="_Toc104560848"/>
      <w:bookmarkStart w:id="137" w:name="_Toc100905213"/>
      <w:bookmarkStart w:id="138" w:name="_Toc107246225"/>
      <w:bookmarkStart w:id="139" w:name="_Toc31"/>
      <w:bookmarkStart w:id="140" w:name="_Toc100905211"/>
      <w:r>
        <w:rPr>
          <w:rFonts w:hint="eastAsia" w:asciiTheme="minorEastAsia" w:hAnsiTheme="minorEastAsia" w:eastAsiaTheme="minorEastAsia" w:cstheme="minorEastAsia"/>
          <w:color w:val="000000" w:themeColor="text1"/>
          <w:highlight w:val="none"/>
          <w14:textFill>
            <w14:solidFill>
              <w14:schemeClr w14:val="tx1"/>
            </w14:solidFill>
          </w14:textFill>
        </w:rPr>
        <w:t>11.分包</w:t>
      </w:r>
      <w:bookmarkEnd w:id="132"/>
      <w:bookmarkEnd w:id="133"/>
      <w:bookmarkEnd w:id="134"/>
      <w:bookmarkEnd w:id="135"/>
      <w:bookmarkEnd w:id="136"/>
      <w:bookmarkEnd w:id="137"/>
      <w:bookmarkEnd w:id="138"/>
      <w:bookmarkEnd w:id="139"/>
    </w:p>
    <w:p w14:paraId="0817B41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11.1</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采购人允许采用分包方式履行合同的，中标人可以依法在中标后将中标项目的非主体、非关键性工作采取分包方式履行合同。本项目的非主体、非关键性工作是否允许分包，见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5179B922">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11.2采购合同分包履行的，应当在投标文件中载明分包承担主体，分包承担主体应当具备相应资质条件且不得再次分包，否则投标无效。中标人就采购项目和分包项目向采购人负责，分包</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就分包项目承担责任。</w:t>
      </w:r>
    </w:p>
    <w:p w14:paraId="33F59040">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41" w:name="_Toc4340"/>
      <w:bookmarkStart w:id="142" w:name="_Toc107246226"/>
      <w:bookmarkStart w:id="143" w:name="_Toc10108"/>
      <w:bookmarkStart w:id="144" w:name="_Toc104560849"/>
      <w:bookmarkStart w:id="145" w:name="_Toc17921"/>
      <w:bookmarkStart w:id="146" w:name="_Toc472735896"/>
      <w:r>
        <w:rPr>
          <w:rFonts w:hint="eastAsia" w:asciiTheme="minorEastAsia" w:hAnsiTheme="minorEastAsia" w:eastAsiaTheme="minorEastAsia" w:cstheme="minorEastAsia"/>
          <w:color w:val="000000" w:themeColor="text1"/>
          <w:highlight w:val="none"/>
          <w14:textFill>
            <w14:solidFill>
              <w14:schemeClr w14:val="tx1"/>
            </w14:solidFill>
          </w14:textFill>
        </w:rPr>
        <w:t>12.样品</w:t>
      </w:r>
      <w:bookmarkEnd w:id="141"/>
      <w:bookmarkEnd w:id="142"/>
      <w:bookmarkEnd w:id="143"/>
      <w:bookmarkEnd w:id="144"/>
      <w:bookmarkEnd w:id="145"/>
      <w:bookmarkEnd w:id="146"/>
    </w:p>
    <w:p w14:paraId="36C3860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12.1本项目是否要求</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提供样品，以及样品制作的标准和要求、是否需要随样品提交相关检测报告、样品的提交要求等详见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23B9E93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12.2样品的评审方法以及评审标准等内容见第五章《评标方法与评标标准》。</w:t>
      </w:r>
    </w:p>
    <w:bookmarkEnd w:id="131"/>
    <w:bookmarkEnd w:id="140"/>
    <w:p w14:paraId="0B704ECB">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47" w:name="_Toc13864"/>
      <w:bookmarkStart w:id="148" w:name="_Toc3623"/>
      <w:bookmarkStart w:id="149" w:name="_Toc104560850"/>
      <w:bookmarkStart w:id="150" w:name="_Toc20858"/>
      <w:bookmarkStart w:id="151" w:name="_Toc103848538"/>
      <w:bookmarkStart w:id="152" w:name="_Toc100905214"/>
      <w:bookmarkStart w:id="153" w:name="_Toc107246227"/>
      <w:bookmarkStart w:id="154" w:name="_Toc1730193819"/>
      <w:r>
        <w:rPr>
          <w:rFonts w:hint="eastAsia" w:asciiTheme="minorEastAsia" w:hAnsiTheme="minorEastAsia" w:eastAsiaTheme="minorEastAsia" w:cstheme="minorEastAsia"/>
          <w:color w:val="000000" w:themeColor="text1"/>
          <w:highlight w:val="none"/>
          <w14:textFill>
            <w14:solidFill>
              <w14:schemeClr w14:val="tx1"/>
            </w14:solidFill>
          </w14:textFill>
        </w:rPr>
        <w:t>13.采购进口产品</w:t>
      </w:r>
      <w:bookmarkEnd w:id="147"/>
      <w:bookmarkEnd w:id="148"/>
      <w:bookmarkEnd w:id="149"/>
      <w:bookmarkEnd w:id="150"/>
      <w:bookmarkEnd w:id="151"/>
      <w:bookmarkEnd w:id="152"/>
      <w:bookmarkEnd w:id="153"/>
      <w:bookmarkEnd w:id="154"/>
    </w:p>
    <w:p w14:paraId="1B92324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13.1本项目是否采购进口产品及相关要求见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513AE0B1">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55" w:name="_Toc19278"/>
      <w:bookmarkStart w:id="156" w:name="_Toc14738"/>
      <w:bookmarkStart w:id="157" w:name="_Toc29087"/>
      <w:bookmarkStart w:id="158" w:name="_Toc104560851"/>
      <w:bookmarkStart w:id="159" w:name="_Toc107246228"/>
      <w:bookmarkStart w:id="160" w:name="_Toc291451906"/>
      <w:r>
        <w:rPr>
          <w:rFonts w:hint="eastAsia" w:asciiTheme="minorEastAsia" w:hAnsiTheme="minorEastAsia" w:eastAsiaTheme="minorEastAsia" w:cstheme="minorEastAsia"/>
          <w:color w:val="000000" w:themeColor="text1"/>
          <w:highlight w:val="none"/>
          <w14:textFill>
            <w14:solidFill>
              <w14:schemeClr w14:val="tx1"/>
            </w14:solidFill>
          </w14:textFill>
        </w:rPr>
        <w:t>14.采购项目预算及最高限价</w:t>
      </w:r>
      <w:bookmarkEnd w:id="155"/>
      <w:bookmarkEnd w:id="156"/>
      <w:bookmarkEnd w:id="157"/>
      <w:bookmarkEnd w:id="158"/>
      <w:bookmarkEnd w:id="159"/>
      <w:bookmarkEnd w:id="160"/>
    </w:p>
    <w:p w14:paraId="568B30D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14.1本项目采购资金已列入采购预算，预算金额见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105DC80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14.2本项目最高限价要求见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7FA1AA24">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61" w:name="_Toc21985335"/>
      <w:bookmarkStart w:id="162" w:name="_Toc104560852"/>
      <w:bookmarkStart w:id="163" w:name="_Toc7951"/>
      <w:bookmarkStart w:id="164" w:name="_Toc30719"/>
      <w:bookmarkStart w:id="165" w:name="_Toc107246229"/>
      <w:bookmarkStart w:id="166" w:name="_Toc3942"/>
      <w:r>
        <w:rPr>
          <w:rFonts w:hint="eastAsia" w:asciiTheme="minorEastAsia" w:hAnsiTheme="minorEastAsia" w:eastAsiaTheme="minorEastAsia" w:cstheme="minorEastAsia"/>
          <w:color w:val="000000" w:themeColor="text1"/>
          <w:highlight w:val="none"/>
          <w14:textFill>
            <w14:solidFill>
              <w14:schemeClr w14:val="tx1"/>
            </w14:solidFill>
          </w14:textFill>
        </w:rPr>
        <w:t>15.</w:t>
      </w:r>
      <w:r>
        <w:rPr>
          <w:rFonts w:hint="eastAsia" w:asciiTheme="minorEastAsia" w:hAnsiTheme="minorEastAsia" w:eastAsiaTheme="minorEastAsia" w:cstheme="minorEastAsia"/>
          <w:bCs w:val="0"/>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cstheme="minorEastAsia"/>
          <w:bCs w:val="0"/>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资格条件</w:t>
      </w:r>
      <w:bookmarkEnd w:id="161"/>
      <w:bookmarkEnd w:id="162"/>
      <w:bookmarkEnd w:id="163"/>
      <w:bookmarkEnd w:id="164"/>
      <w:bookmarkEnd w:id="165"/>
      <w:bookmarkEnd w:id="166"/>
    </w:p>
    <w:p w14:paraId="1F870BA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15.1</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资格条件见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159BCFA3">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67" w:name="_Toc10686"/>
      <w:bookmarkStart w:id="168" w:name="_Toc140338061"/>
      <w:bookmarkStart w:id="169" w:name="_Toc7643"/>
      <w:bookmarkStart w:id="170" w:name="_Toc17857"/>
      <w:r>
        <w:rPr>
          <w:rFonts w:hint="eastAsia" w:asciiTheme="minorEastAsia" w:hAnsiTheme="minorEastAsia" w:eastAsiaTheme="minorEastAsia" w:cstheme="minorEastAsia"/>
          <w:color w:val="000000" w:themeColor="text1"/>
          <w:highlight w:val="none"/>
          <w14:textFill>
            <w14:solidFill>
              <w14:schemeClr w14:val="tx1"/>
            </w14:solidFill>
          </w14:textFill>
        </w:rPr>
        <w:t>二．招标文件</w:t>
      </w:r>
      <w:bookmarkEnd w:id="89"/>
      <w:bookmarkEnd w:id="167"/>
      <w:bookmarkEnd w:id="168"/>
      <w:bookmarkEnd w:id="169"/>
      <w:bookmarkEnd w:id="170"/>
    </w:p>
    <w:p w14:paraId="49D2C6CA">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71" w:name="_Toc96347871"/>
      <w:bookmarkStart w:id="172" w:name="_Toc31415"/>
      <w:bookmarkStart w:id="173" w:name="_Toc107246231"/>
      <w:bookmarkStart w:id="174" w:name="_Toc103848540"/>
      <w:bookmarkStart w:id="175" w:name="_Toc4893"/>
      <w:bookmarkStart w:id="176" w:name="_Toc100905217"/>
      <w:bookmarkStart w:id="177" w:name="_Toc24398"/>
      <w:bookmarkStart w:id="178" w:name="_Toc724746821"/>
      <w:bookmarkStart w:id="179" w:name="_Toc104560854"/>
      <w:r>
        <w:rPr>
          <w:rFonts w:hint="eastAsia" w:asciiTheme="minorEastAsia" w:hAnsiTheme="minorEastAsia" w:eastAsiaTheme="minorEastAsia" w:cstheme="minorEastAsia"/>
          <w:color w:val="000000" w:themeColor="text1"/>
          <w:highlight w:val="none"/>
          <w14:textFill>
            <w14:solidFill>
              <w14:schemeClr w14:val="tx1"/>
            </w14:solidFill>
          </w14:textFill>
        </w:rPr>
        <w:t>16.招标文件的构成</w:t>
      </w:r>
      <w:bookmarkEnd w:id="171"/>
      <w:bookmarkEnd w:id="172"/>
      <w:bookmarkEnd w:id="173"/>
      <w:bookmarkEnd w:id="174"/>
      <w:bookmarkEnd w:id="175"/>
      <w:bookmarkEnd w:id="176"/>
      <w:bookmarkEnd w:id="177"/>
      <w:bookmarkEnd w:id="178"/>
      <w:bookmarkEnd w:id="179"/>
    </w:p>
    <w:p w14:paraId="071C06BB">
      <w:pPr>
        <w:pStyle w:val="80"/>
        <w:ind w:firstLine="420" w:firstLineChars="200"/>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sz w:val="21"/>
          <w:highlight w:val="none"/>
          <w14:textFill>
            <w14:solidFill>
              <w14:schemeClr w14:val="tx1"/>
            </w14:solidFill>
          </w14:textFill>
        </w:rPr>
        <w:t>16.1招标文件各章节的内容如下：</w:t>
      </w:r>
    </w:p>
    <w:p w14:paraId="411E241A">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第一章：招标公告</w:t>
      </w:r>
    </w:p>
    <w:p w14:paraId="763ECFF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第二章：</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须知</w:t>
      </w:r>
    </w:p>
    <w:p w14:paraId="0B97905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第三章：评标方法与评标标准</w:t>
      </w:r>
    </w:p>
    <w:p w14:paraId="77BF1A5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第四章：采购需求</w:t>
      </w:r>
    </w:p>
    <w:p w14:paraId="61F2780E">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第五章：采购合同条款及格式</w:t>
      </w:r>
    </w:p>
    <w:p w14:paraId="7DE91EF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第六章：</w:t>
      </w:r>
      <w:bookmarkStart w:id="180" w:name="_Toc96347872"/>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投标文件格式</w:t>
      </w:r>
    </w:p>
    <w:p w14:paraId="6DCDBDD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对招标文件所作的澄清、修改，构成招标文件的组成部分。</w:t>
      </w:r>
    </w:p>
    <w:p w14:paraId="72F934DC">
      <w:pPr>
        <w:adjustRightInd w:val="0"/>
        <w:snapToGrid w:val="0"/>
        <w:spacing w:before="156" w:beforeLines="50" w:line="360" w:lineRule="auto"/>
        <w:ind w:firstLine="422"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★招标文件中标注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符号的条款或</w:t>
      </w:r>
      <w:r>
        <w:rPr>
          <w:rFonts w:hint="eastAsia" w:asciiTheme="minorEastAsia" w:hAnsiTheme="minorEastAsia" w:eastAsiaTheme="minorEastAsia" w:cstheme="minorEastAsia"/>
          <w:b/>
          <w:i/>
          <w:iCs/>
          <w:color w:val="000000" w:themeColor="text1"/>
          <w:szCs w:val="21"/>
          <w:highlight w:val="none"/>
          <w:u w:val="single"/>
          <w14:textFill>
            <w14:solidFill>
              <w14:schemeClr w14:val="tx1"/>
            </w14:solidFill>
          </w14:textFill>
        </w:rPr>
        <w:t>斜体加粗下划线</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条款均为实质性要求条款（即重要条款）。</w:t>
      </w:r>
    </w:p>
    <w:p w14:paraId="645E908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16.2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应仔细阅读和检查招标文件的全部内容。如发现招标文件内容不全，应及时向采购方提出，以便补齐。</w:t>
      </w:r>
    </w:p>
    <w:p w14:paraId="134934C7">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16.3</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按照招标文件要求编制投标文件。任何对招标文件的忽略或误解，不能作为投标文件存在缺陷或瑕疵的理由，其风险由</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承担。</w:t>
      </w:r>
    </w:p>
    <w:p w14:paraId="7800058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16.4本项目招标文件如包括多个分包，则除非特别说明，招标文件所列各项要求均为各分包通用要求。</w:t>
      </w:r>
    </w:p>
    <w:bookmarkEnd w:id="180"/>
    <w:p w14:paraId="6B124F04">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81" w:name="_Toc29669"/>
      <w:bookmarkStart w:id="182" w:name="_Toc103848541"/>
      <w:bookmarkStart w:id="183" w:name="_Toc107246232"/>
      <w:bookmarkStart w:id="184" w:name="_Toc16016"/>
      <w:bookmarkStart w:id="185" w:name="_Toc100905218"/>
      <w:bookmarkStart w:id="186" w:name="_Toc13183"/>
      <w:bookmarkStart w:id="187" w:name="_Toc104560855"/>
      <w:bookmarkStart w:id="188" w:name="_Toc96347873"/>
      <w:bookmarkStart w:id="189" w:name="_Toc292574763"/>
      <w:r>
        <w:rPr>
          <w:rFonts w:hint="eastAsia" w:asciiTheme="minorEastAsia" w:hAnsiTheme="minorEastAsia" w:eastAsiaTheme="minorEastAsia" w:cstheme="minorEastAsia"/>
          <w:color w:val="000000" w:themeColor="text1"/>
          <w:highlight w:val="none"/>
          <w14:textFill>
            <w14:solidFill>
              <w14:schemeClr w14:val="tx1"/>
            </w14:solidFill>
          </w14:textFill>
        </w:rPr>
        <w:t>17.招标文件的澄清或者修改</w:t>
      </w:r>
      <w:bookmarkEnd w:id="181"/>
      <w:bookmarkEnd w:id="182"/>
      <w:bookmarkEnd w:id="183"/>
      <w:bookmarkEnd w:id="184"/>
      <w:bookmarkEnd w:id="185"/>
      <w:bookmarkEnd w:id="186"/>
      <w:bookmarkEnd w:id="187"/>
      <w:bookmarkEnd w:id="188"/>
      <w:bookmarkEnd w:id="189"/>
    </w:p>
    <w:p w14:paraId="61D8075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190" w:name="_Toc100905219"/>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17.1采购方可以对已发出的招标文件进行必要的澄清或者修改，澄清或者修改应当在原公告发布媒体上发布澄清公告，任何口头答复、通知无效。澄清或者修改的内容为招标文件的组成部分并具有法律效力，招标文件、澄清或修改在同一内容表述上不一致的，以日期后者的为准。</w:t>
      </w:r>
    </w:p>
    <w:p w14:paraId="40F8632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17.2澄清或者修改的内容可能影响投标文件编制的，采购方应当在投标截止时间至少15日前，以书面形式通知所有获取招标文件的潜在</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；不足15日的，采购方应当顺延提交投标文件的截止时间。</w:t>
      </w:r>
    </w:p>
    <w:bookmarkEnd w:id="190"/>
    <w:p w14:paraId="595D42C7">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91" w:name="_Toc18078"/>
      <w:bookmarkStart w:id="192" w:name="_Toc27594"/>
      <w:bookmarkStart w:id="193" w:name="_Toc1713973758"/>
      <w:bookmarkStart w:id="194" w:name="_Toc91836558"/>
      <w:bookmarkStart w:id="195" w:name="_Toc16362"/>
      <w:bookmarkStart w:id="196" w:name="_Toc104560856"/>
      <w:bookmarkStart w:id="197" w:name="_Toc80264708"/>
      <w:r>
        <w:rPr>
          <w:rFonts w:hint="eastAsia" w:asciiTheme="minorEastAsia" w:hAnsiTheme="minorEastAsia" w:eastAsiaTheme="minorEastAsia" w:cstheme="minorEastAsia"/>
          <w:color w:val="000000" w:themeColor="text1"/>
          <w:highlight w:val="none"/>
          <w14:textFill>
            <w14:solidFill>
              <w14:schemeClr w14:val="tx1"/>
            </w14:solidFill>
          </w14:textFill>
        </w:rPr>
        <w:t>三．投标文件</w:t>
      </w:r>
      <w:bookmarkEnd w:id="191"/>
      <w:bookmarkEnd w:id="192"/>
      <w:bookmarkEnd w:id="193"/>
      <w:bookmarkEnd w:id="194"/>
      <w:bookmarkEnd w:id="195"/>
      <w:bookmarkEnd w:id="196"/>
    </w:p>
    <w:p w14:paraId="0B5CF354">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98" w:name="_Toc10689"/>
      <w:bookmarkStart w:id="199" w:name="_Toc103848543"/>
      <w:bookmarkStart w:id="200" w:name="_Toc107246234"/>
      <w:bookmarkStart w:id="201" w:name="_Toc164"/>
      <w:bookmarkStart w:id="202" w:name="_Toc411309848"/>
      <w:bookmarkStart w:id="203" w:name="_Toc16472"/>
      <w:bookmarkStart w:id="204" w:name="_Toc104560857"/>
      <w:bookmarkStart w:id="205" w:name="_Toc100905221"/>
      <w:bookmarkStart w:id="206" w:name="_Toc96347875"/>
      <w:r>
        <w:rPr>
          <w:rFonts w:hint="eastAsia" w:asciiTheme="minorEastAsia" w:hAnsiTheme="minorEastAsia" w:eastAsiaTheme="minorEastAsia" w:cstheme="minorEastAsia"/>
          <w:color w:val="000000" w:themeColor="text1"/>
          <w:highlight w:val="none"/>
          <w14:textFill>
            <w14:solidFill>
              <w14:schemeClr w14:val="tx1"/>
            </w14:solidFill>
          </w14:textFill>
        </w:rPr>
        <w:t>18.投标文件的组成</w:t>
      </w:r>
      <w:bookmarkEnd w:id="198"/>
      <w:bookmarkEnd w:id="199"/>
      <w:bookmarkEnd w:id="200"/>
      <w:bookmarkEnd w:id="201"/>
      <w:bookmarkEnd w:id="202"/>
      <w:bookmarkEnd w:id="203"/>
      <w:bookmarkEnd w:id="204"/>
    </w:p>
    <w:p w14:paraId="5609219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18.1投标文件由价格及商务部分、技术部分以及其他部分组成，格式见招标文件第六章《投标文件格式》。</w:t>
      </w:r>
    </w:p>
    <w:p w14:paraId="3D563683">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18.2</w:t>
      </w:r>
      <w:r>
        <w:rPr>
          <w:rFonts w:hint="eastAsia" w:asciiTheme="minorEastAsia" w:hAnsiTheme="minorEastAsia" w:eastAsiaTheme="minorEastAsia" w:cstheme="minorEastAsia"/>
          <w:b/>
          <w:color w:val="000000" w:themeColor="text1"/>
          <w:kern w:val="0"/>
          <w:sz w:val="22"/>
          <w:szCs w:val="22"/>
          <w:highlight w:val="none"/>
          <w14:textFill>
            <w14:solidFill>
              <w14:schemeClr w14:val="tx1"/>
            </w14:solidFill>
          </w14:textFill>
        </w:rPr>
        <w:t>投标文件的价格及商务部分，包括但不限于下列文件：</w:t>
      </w:r>
    </w:p>
    <w:p w14:paraId="7286453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（1）投标函，格式见附件。</w:t>
      </w:r>
    </w:p>
    <w:p w14:paraId="180EF409">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（2）法定代表人（单位负责人）身份证明，格式见附件。</w:t>
      </w:r>
    </w:p>
    <w:p w14:paraId="06DD0CA0">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（3-1）法定代表人（单位负责人）授权委托书（适用于法人/非法人），格式见附件。</w:t>
      </w:r>
    </w:p>
    <w:p w14:paraId="586AA537">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（3-2）授权委托书（适用于自然人），格式见附件。</w:t>
      </w:r>
    </w:p>
    <w:p w14:paraId="2189C08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（4）开标一览表，格式见附件。</w:t>
      </w:r>
    </w:p>
    <w:p w14:paraId="5C187EC2">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（5）分项报价表，格式见附件。</w:t>
      </w:r>
    </w:p>
    <w:p w14:paraId="5BBA4B1C">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（6）商务条款偏离表，格式见附件。</w:t>
      </w:r>
    </w:p>
    <w:p w14:paraId="02938AE5">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具备投标资格的证明文件：</w:t>
      </w:r>
    </w:p>
    <w:p w14:paraId="5F3EFA78">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（7-1-1）营业执照复印件或自然人的身份证明复印件（或具有同等法律效力的证照）。</w:t>
      </w:r>
    </w:p>
    <w:p w14:paraId="68559BB7">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（a）</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为企业（包括合伙企业）的，应提供有效的“营业执照”。</w:t>
      </w:r>
    </w:p>
    <w:p w14:paraId="5BAFD361">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（b）</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为事业单位的，应提供有效的“事业单位法人证书”。</w:t>
      </w:r>
    </w:p>
    <w:p w14:paraId="148D8433">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（c）</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是非企业机构的，应提供有效的“执业许可证”、“登记证书”等证明文件。</w:t>
      </w:r>
    </w:p>
    <w:p w14:paraId="391333D5">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（d）</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是个体工商户的，应提供有效的“个体工商户营业执照”。</w:t>
      </w:r>
    </w:p>
    <w:p w14:paraId="55D292E7">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（e）</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是自然人的，应提供有效的自然人身份证明。</w:t>
      </w:r>
    </w:p>
    <w:p w14:paraId="4868A8DC">
      <w:pPr>
        <w:spacing w:line="360" w:lineRule="auto"/>
        <w:ind w:firstLine="525" w:firstLineChars="2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（f）若本项目允许分支机构参加投标，则分支机构参加投标的，此处可提供该分支机构或其所属法人或其他组织的相应证明文件。</w:t>
      </w:r>
    </w:p>
    <w:p w14:paraId="5B25CC06">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（7-1-2）工商变更登记文件（如需），如发生了单位名称等变更的，需提供工商变更登记文件。</w:t>
      </w:r>
    </w:p>
    <w:p w14:paraId="67DDA1EC">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（7-2）财务报表。</w:t>
      </w:r>
    </w:p>
    <w:p w14:paraId="5F34A8D2">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（7-3）具有履行合同所必需的设备和专业技术能力的相关证明材料，格式见附件。</w:t>
      </w:r>
    </w:p>
    <w:p w14:paraId="6E13566F">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（7-4）依法缴纳税收的相关材料。</w:t>
      </w:r>
    </w:p>
    <w:p w14:paraId="3548D20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（7-5）依法缴纳社会保障资金的相关材料。</w:t>
      </w:r>
    </w:p>
    <w:p w14:paraId="1ABF49D1">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（7-6）参加采购活动前三年内，在经营活动中没有重大违法记录，格式见附件。</w:t>
      </w:r>
    </w:p>
    <w:p w14:paraId="427433FC">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（7-7）无不良信用记录承诺函（</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自行查询适用），格式见附件。</w:t>
      </w:r>
    </w:p>
    <w:p w14:paraId="36250D23">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（7-8）招标文件要求的其它实质性资格资信证明文件。</w:t>
      </w:r>
    </w:p>
    <w:p w14:paraId="4E24B14B">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（8）采购文件要求的相关承诺书（如有）。</w:t>
      </w:r>
    </w:p>
    <w:p w14:paraId="6BF8EB25">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（9）投标保证金（如需），格式见附件。</w:t>
      </w:r>
    </w:p>
    <w:p w14:paraId="6B7E97A5">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（10）联合体协议书（如需），格式见附件。</w:t>
      </w:r>
    </w:p>
    <w:p w14:paraId="30DF9E2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（11）分包意向协议（如需），格式见附件。</w:t>
      </w:r>
    </w:p>
    <w:p w14:paraId="4AFAEC81">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（12）公章授权书（如需），格式见附件。</w:t>
      </w:r>
    </w:p>
    <w:p w14:paraId="48E2D8E6">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（13）</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参加远程异地开标仪式须知（如需），格式见附件。</w:t>
      </w:r>
    </w:p>
    <w:p w14:paraId="3004F413">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18.3</w:t>
      </w:r>
      <w:r>
        <w:rPr>
          <w:rFonts w:hint="eastAsia" w:asciiTheme="minorEastAsia" w:hAnsiTheme="minorEastAsia" w:eastAsiaTheme="minorEastAsia" w:cstheme="minorEastAsia"/>
          <w:b/>
          <w:color w:val="000000" w:themeColor="text1"/>
          <w:sz w:val="22"/>
          <w:szCs w:val="22"/>
          <w:highlight w:val="none"/>
          <w:lang w:val="zh-CN"/>
          <w14:textFill>
            <w14:solidFill>
              <w14:schemeClr w14:val="tx1"/>
            </w14:solidFill>
          </w14:textFill>
        </w:rPr>
        <w:t>投标文件的技术部分，包括但不限于下列文件：</w:t>
      </w:r>
    </w:p>
    <w:p w14:paraId="2FAF13CB">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（1）技术方案或服务方案。</w:t>
      </w:r>
    </w:p>
    <w:p w14:paraId="51344E88">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（2）技术条款偏离表，格式见附件。</w:t>
      </w:r>
    </w:p>
    <w:p w14:paraId="0ABAE198">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售后服务承诺（如需）。</w:t>
      </w:r>
    </w:p>
    <w:p w14:paraId="5689BCCC">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（4）用于本项目人员简历表（如需），格式见附件。</w:t>
      </w:r>
    </w:p>
    <w:p w14:paraId="1A91ACEB">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（5）投标标的物符合招标文件规定的证明文件（如需）。</w:t>
      </w:r>
    </w:p>
    <w:p w14:paraId="7AFDBE9C">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18.4投标文件的其他部分</w:t>
      </w:r>
    </w:p>
    <w:p w14:paraId="79D4F59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18.4.1投标文件的其他部分由</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根据编制投标文件需要提供的其他相关文件组成。</w:t>
      </w:r>
    </w:p>
    <w:p w14:paraId="31DF6E09">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207" w:name="_Toc25032"/>
      <w:bookmarkStart w:id="208" w:name="_Toc134755643"/>
      <w:bookmarkStart w:id="209" w:name="_Toc107246235"/>
      <w:bookmarkStart w:id="210" w:name="_Toc14186"/>
      <w:bookmarkStart w:id="211" w:name="_Toc18832"/>
      <w:bookmarkStart w:id="212" w:name="_Toc104560858"/>
      <w:r>
        <w:rPr>
          <w:rFonts w:hint="eastAsia" w:asciiTheme="minorEastAsia" w:hAnsiTheme="minorEastAsia" w:eastAsiaTheme="minorEastAsia" w:cstheme="minorEastAsia"/>
          <w:color w:val="000000" w:themeColor="text1"/>
          <w:highlight w:val="none"/>
          <w14:textFill>
            <w14:solidFill>
              <w14:schemeClr w14:val="tx1"/>
            </w14:solidFill>
          </w14:textFill>
        </w:rPr>
        <w:t>19.投标文件编制的原则</w:t>
      </w:r>
      <w:bookmarkEnd w:id="207"/>
      <w:bookmarkEnd w:id="208"/>
      <w:bookmarkEnd w:id="209"/>
      <w:bookmarkEnd w:id="210"/>
      <w:bookmarkEnd w:id="211"/>
    </w:p>
    <w:bookmarkEnd w:id="212"/>
    <w:p w14:paraId="07364C1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19.1</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应在认真阅读招标文件所有内容的基础上，按照招标文件的要求编制完整的投标文件。招标文件中对投标文件格式有要求的，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应按格式逐项填写内容。</w:t>
      </w:r>
    </w:p>
    <w:p w14:paraId="5741364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19.2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必须保证投标文件所提供的全部资料真实可靠。</w:t>
      </w:r>
    </w:p>
    <w:p w14:paraId="4D5CEA2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19.3</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投标文件须对招标文件中的内容做出实质性和完整的响应。</w:t>
      </w:r>
    </w:p>
    <w:p w14:paraId="34F62D79">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213" w:name="_Toc12449"/>
      <w:bookmarkStart w:id="214" w:name="_Toc305"/>
      <w:bookmarkStart w:id="215" w:name="_Toc107246236"/>
      <w:bookmarkStart w:id="216" w:name="_Toc14247"/>
      <w:bookmarkStart w:id="217" w:name="_Toc1390327963"/>
      <w:r>
        <w:rPr>
          <w:rFonts w:hint="eastAsia" w:asciiTheme="minorEastAsia" w:hAnsiTheme="minorEastAsia" w:eastAsiaTheme="minorEastAsia" w:cstheme="minorEastAsia"/>
          <w:color w:val="000000" w:themeColor="text1"/>
          <w:highlight w:val="none"/>
          <w14:textFill>
            <w14:solidFill>
              <w14:schemeClr w14:val="tx1"/>
            </w14:solidFill>
          </w14:textFill>
        </w:rPr>
        <w:t>20.投标报价</w:t>
      </w:r>
      <w:bookmarkEnd w:id="213"/>
      <w:bookmarkEnd w:id="214"/>
      <w:bookmarkEnd w:id="215"/>
      <w:bookmarkEnd w:id="216"/>
      <w:bookmarkEnd w:id="217"/>
    </w:p>
    <w:p w14:paraId="3A3483C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20.1</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所有投标均以人民币报价，应包括国家规定的增值税税金。</w:t>
      </w:r>
    </w:p>
    <w:p w14:paraId="647CE81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2"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20.2</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投标文件的价格部分是对采购标的价格构成的说明，招标文件如无特别说明，每项货物、服务或工程等只允许有一个报价，任何有选择的报价将不予接受，将作为无效投标文件处理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69F560E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20.3</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的让利行为。</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估算错误的风险一律由</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自行承担。</w:t>
      </w:r>
    </w:p>
    <w:p w14:paraId="5EA25275">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20.4</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要按开标一览表、分项报价表的内容填写投标报价及其它事项，并由法定代表人（单位负责人）或授权代表签署。分项报价表的总价应和开标一览表的投标总价相一致，包括</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为完成本项目所发生的一切费用相关的所有税费。如分项报价表的总价和开标一览表的投标总价不一致的，按照本须知规定的内容执行。</w:t>
      </w:r>
    </w:p>
    <w:p w14:paraId="054AA29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20.5</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投标报价的其他要求见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bookmarkEnd w:id="205"/>
    <w:bookmarkEnd w:id="206"/>
    <w:p w14:paraId="61FC340F">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18" w:name="_Toc472511134"/>
      <w:bookmarkStart w:id="219" w:name="_Toc14653"/>
      <w:bookmarkStart w:id="220" w:name="_Toc18450"/>
      <w:bookmarkStart w:id="221" w:name="_Toc104560859"/>
      <w:bookmarkStart w:id="222" w:name="_Toc107246237"/>
      <w:bookmarkStart w:id="223" w:name="_Toc103848545"/>
      <w:bookmarkStart w:id="224" w:name="_Toc100905224"/>
      <w:bookmarkStart w:id="225" w:name="_Toc4101"/>
      <w:bookmarkStart w:id="226" w:name="_Toc100905223"/>
      <w:bookmarkStart w:id="227" w:name="_Toc96347878"/>
      <w:bookmarkStart w:id="228" w:name="_Toc103848544"/>
      <w:r>
        <w:rPr>
          <w:rFonts w:hint="eastAsia" w:asciiTheme="minorEastAsia" w:hAnsiTheme="minorEastAsia" w:eastAsiaTheme="minorEastAsia" w:cstheme="minorEastAsia"/>
          <w:color w:val="000000" w:themeColor="text1"/>
          <w:highlight w:val="none"/>
          <w14:textFill>
            <w14:solidFill>
              <w14:schemeClr w14:val="tx1"/>
            </w14:solidFill>
          </w14:textFill>
        </w:rPr>
        <w:t>21.投标有效期</w:t>
      </w:r>
      <w:bookmarkEnd w:id="218"/>
      <w:bookmarkEnd w:id="219"/>
      <w:bookmarkEnd w:id="220"/>
      <w:bookmarkEnd w:id="221"/>
      <w:bookmarkEnd w:id="222"/>
      <w:bookmarkEnd w:id="223"/>
      <w:bookmarkEnd w:id="224"/>
      <w:bookmarkEnd w:id="225"/>
    </w:p>
    <w:p w14:paraId="3C45FA82">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21.1投标有效期见</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，在此期间投标文件对</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具有法律约束力，以保证采购人有足够的时间完成评标、定标以及签订合同。投标有效期从</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规定的投标截止之日起计算。</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投标有效期不足的，在评标时将其视为无效投标。</w:t>
      </w:r>
    </w:p>
    <w:p w14:paraId="4A4BACF6">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21.2特殊情况需延长投标有效期的，采购方可于投标有效期届满之前，要求</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同意延长有效期，采购方的要求与</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的答复均应为书面形式。</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拒绝延长的，其投标在原投标有效期届满后将不再有效，但有权收回其投标保证金；</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同意延长的，应相应延长其投标保证金的有效期，但不允许修改或撤回投标文件。</w:t>
      </w:r>
    </w:p>
    <w:p w14:paraId="4AE6FD4D">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29" w:name="_Toc107246238"/>
      <w:bookmarkStart w:id="230" w:name="_Toc8027"/>
      <w:bookmarkStart w:id="231" w:name="_Toc100102532"/>
      <w:bookmarkStart w:id="232" w:name="_Toc104560860"/>
      <w:bookmarkStart w:id="233" w:name="_Toc29218"/>
      <w:bookmarkStart w:id="234" w:name="_Toc31576"/>
      <w:r>
        <w:rPr>
          <w:rFonts w:hint="eastAsia" w:asciiTheme="minorEastAsia" w:hAnsiTheme="minorEastAsia" w:eastAsiaTheme="minorEastAsia" w:cstheme="minorEastAsia"/>
          <w:color w:val="000000" w:themeColor="text1"/>
          <w:highlight w:val="none"/>
          <w14:textFill>
            <w14:solidFill>
              <w14:schemeClr w14:val="tx1"/>
            </w14:solidFill>
          </w14:textFill>
        </w:rPr>
        <w:t>22.投标保证金</w:t>
      </w:r>
      <w:bookmarkEnd w:id="226"/>
      <w:bookmarkEnd w:id="227"/>
      <w:bookmarkEnd w:id="228"/>
      <w:bookmarkEnd w:id="229"/>
      <w:bookmarkEnd w:id="230"/>
      <w:bookmarkEnd w:id="231"/>
      <w:bookmarkEnd w:id="232"/>
      <w:bookmarkEnd w:id="233"/>
      <w:bookmarkEnd w:id="234"/>
    </w:p>
    <w:p w14:paraId="44B05977">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235" w:name="_Toc68159552"/>
      <w:bookmarkStart w:id="236" w:name="_Toc420657357"/>
      <w:bookmarkStart w:id="237" w:name="_Toc466452044"/>
      <w:bookmarkStart w:id="238" w:name="_Toc96347879"/>
      <w:bookmarkStart w:id="239" w:name="_Toc420487862"/>
      <w:bookmarkStart w:id="240" w:name="_Toc519241651"/>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22.1本项目是否交纳投标保证金见</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3B2179CE">
      <w:pPr>
        <w:adjustRightInd w:val="0"/>
        <w:snapToGrid w:val="0"/>
        <w:spacing w:before="156" w:beforeLines="50" w:line="360" w:lineRule="auto"/>
        <w:ind w:firstLine="422"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22.2</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按照</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要求的形式，在</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规定的投标截止时间前，向采购方提交</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规定的投标保证金(数额采用四舍五入，计算至元)。投标保证金有效期应与</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规定的投标有效期一致。</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未按规定缴纳投标保证金的或</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由于到账时间晚于投标截止时间的，或者票据错误、印鉴不清等原因导致不能到账的，其投标无效。</w:t>
      </w:r>
    </w:p>
    <w:p w14:paraId="2B762420">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22.3联合体投标的，可以由联合体中的一方或者共同提交投标保证金。以一方名义提交投标保证金的，对联合体各方均具有约束力。</w:t>
      </w:r>
    </w:p>
    <w:p w14:paraId="37E89EBA">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22.4未中标的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的投标保证金，将在中标通知书发出后5个工作日内退还，但因</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自身原因导致无法及时退还的除外。</w:t>
      </w:r>
    </w:p>
    <w:p w14:paraId="04A8E295">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22.5中标的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的投标保证金，将在采购合同签订后5个工作日内退还中标人。</w:t>
      </w:r>
    </w:p>
    <w:p w14:paraId="5B1806B3">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22.6</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有以下情形之一的，投标保证金可以不予退还：</w:t>
      </w:r>
    </w:p>
    <w:bookmarkEnd w:id="235"/>
    <w:bookmarkEnd w:id="236"/>
    <w:bookmarkEnd w:id="237"/>
    <w:bookmarkEnd w:id="238"/>
    <w:bookmarkEnd w:id="239"/>
    <w:bookmarkEnd w:id="240"/>
    <w:p w14:paraId="79E9EFBE">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241" w:name="_Toc104560861"/>
      <w:bookmarkStart w:id="242" w:name="_Toc96347880"/>
      <w:bookmarkStart w:id="243" w:name="_Toc100905225"/>
      <w:bookmarkStart w:id="244" w:name="_Toc103848546"/>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在招标文件规定的投标有效期内撤销其投标文件；</w:t>
      </w:r>
    </w:p>
    <w:p w14:paraId="2157D528">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在投标文件中提供虚假材料的；</w:t>
      </w:r>
    </w:p>
    <w:p w14:paraId="650F618F">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在本次采购活动中存在恶意串通行为的；</w:t>
      </w:r>
    </w:p>
    <w:p w14:paraId="04D00BBC">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（4）中标人未能按规定交纳采购代理服务费；</w:t>
      </w:r>
    </w:p>
    <w:p w14:paraId="2D93BC8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（5）中标人在收到中标通知书后，无正当理由不与采购人订立合同，在签订合同时向采购人提出附加条件，或者不按照招标文件要求提交履约保证金（如有）；</w:t>
      </w:r>
    </w:p>
    <w:p w14:paraId="6819545A">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（6）招标文件规定的其他可以不予退还投标保证金的情形。</w:t>
      </w:r>
    </w:p>
    <w:p w14:paraId="49A072E1">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45" w:name="_Toc31991"/>
      <w:bookmarkStart w:id="246" w:name="_Toc5692"/>
      <w:bookmarkStart w:id="247" w:name="_Toc107246239"/>
      <w:bookmarkStart w:id="248" w:name="_Toc943559723"/>
      <w:bookmarkStart w:id="249" w:name="_Toc30897"/>
      <w:r>
        <w:rPr>
          <w:rFonts w:hint="eastAsia" w:asciiTheme="minorEastAsia" w:hAnsiTheme="minorEastAsia" w:eastAsiaTheme="minorEastAsia" w:cstheme="minorEastAsia"/>
          <w:color w:val="000000" w:themeColor="text1"/>
          <w:highlight w:val="none"/>
          <w14:textFill>
            <w14:solidFill>
              <w14:schemeClr w14:val="tx1"/>
            </w14:solidFill>
          </w14:textFill>
        </w:rPr>
        <w:t>23.投标文件的制作和签署</w:t>
      </w:r>
      <w:bookmarkEnd w:id="241"/>
      <w:bookmarkEnd w:id="242"/>
      <w:bookmarkEnd w:id="243"/>
      <w:bookmarkEnd w:id="244"/>
      <w:bookmarkEnd w:id="245"/>
      <w:bookmarkEnd w:id="246"/>
      <w:bookmarkEnd w:id="247"/>
      <w:bookmarkEnd w:id="248"/>
      <w:bookmarkEnd w:id="249"/>
    </w:p>
    <w:p w14:paraId="257E0FB0">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23.1</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应严格按照</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要求的份数准备投标文件。纸质文件的正本和副本应装订成册。正本和副本的封面应注明“正本”或“副本”的字样，当正本和副本、电子版不一致时，以正本为准。</w:t>
      </w:r>
    </w:p>
    <w:p w14:paraId="68F2164C">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23.2投标文件的正本需打印或用不退色墨水书写，副本可为正本文件的复印件，电子文档应为正本的扫描件。</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正本应加盖公章并由</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法定代表人（单位负责人）或其授权代表签字。授权代表须提供法定代表人以书面形式出具的</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法定代表人授权书”（原件，由法定代表人签章并加盖企业公章。）授权其负责本项目投标。授权书原件须放入正本投标文件中。</w:t>
      </w:r>
    </w:p>
    <w:p w14:paraId="3338D6C6">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23.3投标文件规定盖章的地方，应盖单位公章（文件中的单位盖章、印章、公章等处均仅指与</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名称全称相一致的标准公章，如</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为自然人可不加盖公章，仅由本人签字）。</w:t>
      </w:r>
    </w:p>
    <w:p w14:paraId="13C2D7A8">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23.4如投标过程中</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使用其他形式的印章（如电子印章、带有“专用章”等字样的印章），须提供“公章授权书”</w:t>
      </w:r>
      <w:r>
        <w:rPr>
          <w:rFonts w:hint="eastAsia" w:asciiTheme="minorEastAsia" w:hAnsiTheme="minorEastAsia" w:eastAsiaTheme="minorEastAsia" w:cstheme="minorEastAsia"/>
          <w:color w:val="000000" w:themeColor="text1"/>
          <w:highlight w:val="none"/>
          <w14:textFill>
            <w14:solidFill>
              <w14:schemeClr w14:val="tx1"/>
            </w14:solidFill>
          </w14:textFill>
        </w:rPr>
        <w:t>（见附件）</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，明确“针对本次项目，该</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电子印章或专用章作为直接参与投标时相关文件的签章，其效力等同于公章”，特别说明函须同时加盖</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公章及电子印章或专用章。</w:t>
      </w:r>
    </w:p>
    <w:p w14:paraId="22FDFA65">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23.5除</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对错处做必要修改外，投标文件不得行间插字、涂改或增删。如有修改错漏处，必须由法定代表人或其授权代表签字或盖章方有效。</w:t>
      </w:r>
    </w:p>
    <w:p w14:paraId="24FC8530">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23.6</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投标文件建议采用A4软面胶装，建议不要使用硬壳封面。投标文件须逐页编制页码并插入目录，便于采购人查阅文件。为节约纸张，建议尽量双面打印并装订成册。</w:t>
      </w:r>
    </w:p>
    <w:p w14:paraId="6D97134D">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50" w:name="_Toc537"/>
      <w:bookmarkStart w:id="251" w:name="_Toc633"/>
      <w:bookmarkStart w:id="252" w:name="_Toc5374"/>
      <w:bookmarkStart w:id="253" w:name="_Toc1389015013"/>
      <w:r>
        <w:rPr>
          <w:rFonts w:hint="eastAsia" w:asciiTheme="minorEastAsia" w:hAnsiTheme="minorEastAsia" w:eastAsiaTheme="minorEastAsia" w:cstheme="minorEastAsia"/>
          <w:color w:val="000000" w:themeColor="text1"/>
          <w:highlight w:val="none"/>
          <w14:textFill>
            <w14:solidFill>
              <w14:schemeClr w14:val="tx1"/>
            </w14:solidFill>
          </w14:textFill>
        </w:rPr>
        <w:t>四．投标文件的递交</w:t>
      </w:r>
      <w:bookmarkEnd w:id="250"/>
      <w:bookmarkEnd w:id="251"/>
      <w:bookmarkEnd w:id="252"/>
      <w:bookmarkEnd w:id="253"/>
    </w:p>
    <w:p w14:paraId="63EDD199">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54" w:name="_Toc100905226"/>
      <w:bookmarkStart w:id="255" w:name="_Toc4966"/>
      <w:bookmarkStart w:id="256" w:name="_Toc107246241"/>
      <w:bookmarkStart w:id="257" w:name="_Toc103848548"/>
      <w:bookmarkStart w:id="258" w:name="_Toc14545"/>
      <w:bookmarkStart w:id="259" w:name="_Toc104560863"/>
      <w:bookmarkStart w:id="260" w:name="_Toc2028080601"/>
      <w:bookmarkStart w:id="261" w:name="_Toc9500"/>
      <w:bookmarkStart w:id="262" w:name="_Toc96347881"/>
      <w:r>
        <w:rPr>
          <w:rFonts w:hint="eastAsia" w:asciiTheme="minorEastAsia" w:hAnsiTheme="minorEastAsia" w:eastAsiaTheme="minorEastAsia" w:cstheme="minorEastAsia"/>
          <w:color w:val="000000" w:themeColor="text1"/>
          <w:highlight w:val="none"/>
          <w14:textFill>
            <w14:solidFill>
              <w14:schemeClr w14:val="tx1"/>
            </w14:solidFill>
          </w14:textFill>
        </w:rPr>
        <w:t>24.投标文件的密封和标记</w:t>
      </w:r>
      <w:bookmarkEnd w:id="254"/>
      <w:bookmarkEnd w:id="255"/>
      <w:bookmarkEnd w:id="256"/>
      <w:bookmarkEnd w:id="257"/>
      <w:bookmarkEnd w:id="258"/>
      <w:bookmarkEnd w:id="259"/>
      <w:bookmarkEnd w:id="260"/>
      <w:bookmarkEnd w:id="261"/>
      <w:bookmarkEnd w:id="262"/>
    </w:p>
    <w:p w14:paraId="34C7BC58">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263" w:name="_Toc48151397"/>
      <w:bookmarkStart w:id="264" w:name="_Toc46939510"/>
      <w:bookmarkStart w:id="265" w:name="_Toc11952"/>
      <w:bookmarkStart w:id="266" w:name="_Toc38933357"/>
      <w:bookmarkStart w:id="267" w:name="_Toc469850063"/>
      <w:bookmarkStart w:id="268" w:name="_Toc5042"/>
      <w:bookmarkStart w:id="269" w:name="_Toc46960670"/>
      <w:bookmarkStart w:id="270" w:name="_Toc11464"/>
      <w:bookmarkStart w:id="271" w:name="_Toc50528805"/>
      <w:bookmarkStart w:id="272" w:name="_Toc46219699"/>
      <w:bookmarkStart w:id="273" w:name="_Toc51928343"/>
      <w:bookmarkStart w:id="274" w:name="_Toc4536"/>
      <w:bookmarkStart w:id="275" w:name="_Toc40202948"/>
      <w:bookmarkStart w:id="276" w:name="_Toc38931800"/>
      <w:bookmarkStart w:id="277" w:name="_Toc97561941"/>
      <w:bookmarkStart w:id="278" w:name="_Toc103848549"/>
      <w:bookmarkStart w:id="279" w:name="_Toc100905227"/>
      <w:bookmarkStart w:id="280" w:name="_Toc19963"/>
      <w:bookmarkStart w:id="281" w:name="_Toc91399404"/>
      <w:bookmarkStart w:id="282" w:name="_Toc38931614"/>
      <w:bookmarkStart w:id="283" w:name="_Toc96347882"/>
      <w:bookmarkStart w:id="284" w:name="_Toc89586904"/>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24.1</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投标文件的正本、副本以及电子文档均应密封送达投标地点，密封包装上按照</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的要求标记信息。若正本、副本以及电子文档等分别进行密封的，还应在封套上注明“正本”、“副本”、“电子文档”等字样。</w:t>
      </w:r>
    </w:p>
    <w:p w14:paraId="644C51D2">
      <w:pPr>
        <w:spacing w:line="360" w:lineRule="auto"/>
        <w:ind w:firstLine="422" w:firstLineChars="20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24.2</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未密封的投标文件，将被拒绝。</w:t>
      </w:r>
    </w:p>
    <w:p w14:paraId="6B1774F9">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24.3未按要求密封和标记，采购代理机构对误投或过早启封概不负责。</w:t>
      </w:r>
    </w:p>
    <w:p w14:paraId="52A9FE9B">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24.</w:t>
      </w:r>
      <w:bookmarkStart w:id="285" w:name="_Toc104560864"/>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4开标后，不论</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中标与否，投标文件均不予退回。</w:t>
      </w:r>
    </w:p>
    <w:p w14:paraId="74F04A08">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86" w:name="_Toc107246242"/>
      <w:bookmarkStart w:id="287" w:name="_Toc9951"/>
      <w:bookmarkStart w:id="288" w:name="_Toc1090215823"/>
      <w:bookmarkStart w:id="289" w:name="_Toc18166"/>
      <w:bookmarkStart w:id="290" w:name="_Toc21998"/>
      <w:r>
        <w:rPr>
          <w:rFonts w:hint="eastAsia" w:asciiTheme="minorEastAsia" w:hAnsiTheme="minorEastAsia" w:eastAsiaTheme="minorEastAsia" w:cstheme="minorEastAsia"/>
          <w:color w:val="000000" w:themeColor="text1"/>
          <w:highlight w:val="none"/>
          <w14:textFill>
            <w14:solidFill>
              <w14:schemeClr w14:val="tx1"/>
            </w14:solidFill>
          </w14:textFill>
        </w:rPr>
        <w:t>25.</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Fonts w:hint="eastAsia" w:asciiTheme="minorEastAsia" w:hAnsiTheme="minorEastAsia" w:eastAsiaTheme="minorEastAsia" w:cstheme="minorEastAsia"/>
          <w:color w:val="000000" w:themeColor="text1"/>
          <w:highlight w:val="none"/>
          <w14:textFill>
            <w14:solidFill>
              <w14:schemeClr w14:val="tx1"/>
            </w14:solidFill>
          </w14:textFill>
        </w:rPr>
        <w:t>投标截止时间</w:t>
      </w:r>
      <w:bookmarkEnd w:id="286"/>
      <w:bookmarkEnd w:id="287"/>
      <w:bookmarkEnd w:id="288"/>
      <w:bookmarkEnd w:id="289"/>
      <w:bookmarkEnd w:id="290"/>
    </w:p>
    <w:p w14:paraId="76ECE224">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291" w:name="_Toc96347883"/>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25.1投标文件应在</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规定的投标截止时间之前密封送到</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指定的地点。</w:t>
      </w:r>
    </w:p>
    <w:p w14:paraId="62FF8275">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25.2采购方将拒绝并退回在其规定的投标截止时间后收到的任何投标文件。</w:t>
      </w:r>
    </w:p>
    <w:p w14:paraId="575F91FE">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292" w:name="_Toc926860957"/>
      <w:bookmarkStart w:id="293" w:name="_Toc22830"/>
      <w:bookmarkStart w:id="294" w:name="_Toc27191"/>
      <w:bookmarkStart w:id="295" w:name="_Toc107246243"/>
      <w:bookmarkStart w:id="296" w:name="_Toc10161"/>
      <w:bookmarkStart w:id="297" w:name="_Toc100905228"/>
      <w:bookmarkStart w:id="298" w:name="_Toc103848550"/>
      <w:bookmarkStart w:id="299" w:name="_Toc104560865"/>
      <w:r>
        <w:rPr>
          <w:rFonts w:hint="eastAsia" w:asciiTheme="minorEastAsia" w:hAnsiTheme="minorEastAsia" w:eastAsiaTheme="minorEastAsia" w:cstheme="minorEastAsia"/>
          <w:color w:val="000000" w:themeColor="text1"/>
          <w:highlight w:val="none"/>
          <w14:textFill>
            <w14:solidFill>
              <w14:schemeClr w14:val="tx1"/>
            </w14:solidFill>
          </w14:textFill>
        </w:rPr>
        <w:t>26.投标文件的修改和撤回</w:t>
      </w:r>
      <w:bookmarkEnd w:id="291"/>
      <w:bookmarkEnd w:id="292"/>
      <w:bookmarkEnd w:id="293"/>
      <w:bookmarkEnd w:id="294"/>
      <w:bookmarkEnd w:id="295"/>
      <w:bookmarkEnd w:id="296"/>
      <w:bookmarkEnd w:id="297"/>
      <w:bookmarkEnd w:id="298"/>
      <w:bookmarkEnd w:id="299"/>
    </w:p>
    <w:bookmarkEnd w:id="197"/>
    <w:p w14:paraId="03E774EA">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300" w:name="_Toc80264714"/>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26.1</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在递交投标文件后，可以修改或撤回其投标文件，但这种修改和撤回，必须在规定的投标截止时间前，以书面形式通知采购方。</w:t>
      </w:r>
    </w:p>
    <w:p w14:paraId="7604E1A8">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26.2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对投标文件的补充、修改的内容应当按照采购文件要求签署、盖章、密封后，作为投标文件的组成部分。</w:t>
      </w:r>
    </w:p>
    <w:p w14:paraId="4F5A6D48">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26.3 在投标截止时间之后，</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不得对其投标文件作任何修改。</w:t>
      </w:r>
    </w:p>
    <w:p w14:paraId="00D03C9E">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26.4 在投标截止时间至采购文件中规定的投标有效期满之间的这段时间内，</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不得撤回其投标。</w:t>
      </w:r>
    </w:p>
    <w:p w14:paraId="3A24E7B4">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01" w:name="_Toc32155"/>
      <w:bookmarkStart w:id="302" w:name="_Toc2053212608"/>
      <w:bookmarkStart w:id="303" w:name="_Toc7210"/>
      <w:bookmarkStart w:id="304" w:name="_Toc15351"/>
      <w:bookmarkStart w:id="305" w:name="_Toc103848551"/>
      <w:bookmarkStart w:id="306" w:name="_Toc104560866"/>
      <w:bookmarkStart w:id="307" w:name="_Toc107246244"/>
      <w:r>
        <w:rPr>
          <w:rFonts w:hint="eastAsia" w:asciiTheme="minorEastAsia" w:hAnsiTheme="minorEastAsia" w:eastAsiaTheme="minorEastAsia" w:cstheme="minorEastAsia"/>
          <w:color w:val="000000" w:themeColor="text1"/>
          <w:highlight w:val="none"/>
          <w14:textFill>
            <w14:solidFill>
              <w14:schemeClr w14:val="tx1"/>
            </w14:solidFill>
          </w14:textFill>
        </w:rPr>
        <w:t>27.诚实信用</w:t>
      </w:r>
      <w:bookmarkEnd w:id="301"/>
      <w:bookmarkEnd w:id="302"/>
      <w:bookmarkEnd w:id="303"/>
      <w:bookmarkEnd w:id="304"/>
      <w:bookmarkEnd w:id="305"/>
      <w:bookmarkEnd w:id="306"/>
      <w:bookmarkEnd w:id="307"/>
    </w:p>
    <w:p w14:paraId="5C720AAD">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27.1</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应当遵循公平竞争的原则，不得恶意串通，不得妨碍其他</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的竞争行为，不得损害采购人或者其他</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的合法权益。</w:t>
      </w:r>
    </w:p>
    <w:p w14:paraId="110436D5">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27.2在评标过程中发现</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有上述情形的，评标委员会应当认定其投标无效，并书面报告本级财政部门。</w:t>
      </w:r>
    </w:p>
    <w:p w14:paraId="7137686B">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08" w:name="_Toc25815"/>
      <w:bookmarkStart w:id="309" w:name="_Toc429579013"/>
      <w:bookmarkStart w:id="310" w:name="_Toc9913"/>
      <w:bookmarkStart w:id="311" w:name="_Toc29359"/>
      <w:r>
        <w:rPr>
          <w:rFonts w:hint="eastAsia" w:asciiTheme="minorEastAsia" w:hAnsiTheme="minorEastAsia" w:eastAsiaTheme="minorEastAsia" w:cstheme="minorEastAsia"/>
          <w:color w:val="000000" w:themeColor="text1"/>
          <w:highlight w:val="none"/>
          <w14:textFill>
            <w14:solidFill>
              <w14:schemeClr w14:val="tx1"/>
            </w14:solidFill>
          </w14:textFill>
        </w:rPr>
        <w:t>五．开标和评标</w:t>
      </w:r>
      <w:bookmarkEnd w:id="308"/>
      <w:bookmarkEnd w:id="309"/>
      <w:bookmarkEnd w:id="310"/>
      <w:bookmarkEnd w:id="311"/>
      <w:bookmarkStart w:id="312" w:name="_Toc96347885"/>
    </w:p>
    <w:p w14:paraId="21875860">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13" w:name="_Toc28460"/>
      <w:bookmarkStart w:id="314" w:name="_Toc104560868"/>
      <w:bookmarkStart w:id="315" w:name="_Toc94450277"/>
      <w:bookmarkStart w:id="316" w:name="_Toc100905230"/>
      <w:bookmarkStart w:id="317" w:name="_Toc11886"/>
      <w:bookmarkStart w:id="318" w:name="_Toc103848553"/>
      <w:bookmarkStart w:id="319" w:name="_Toc20173"/>
      <w:bookmarkStart w:id="320" w:name="_Toc107246246"/>
      <w:r>
        <w:rPr>
          <w:rFonts w:hint="eastAsia" w:asciiTheme="minorEastAsia" w:hAnsiTheme="minorEastAsia" w:eastAsiaTheme="minorEastAsia" w:cstheme="minorEastAsia"/>
          <w:color w:val="000000" w:themeColor="text1"/>
          <w:highlight w:val="none"/>
          <w14:textFill>
            <w14:solidFill>
              <w14:schemeClr w14:val="tx1"/>
            </w14:solidFill>
          </w14:textFill>
        </w:rPr>
        <w:t>28.开标</w:t>
      </w:r>
      <w:bookmarkEnd w:id="312"/>
      <w:bookmarkEnd w:id="313"/>
      <w:bookmarkEnd w:id="314"/>
      <w:bookmarkEnd w:id="315"/>
      <w:bookmarkEnd w:id="316"/>
      <w:bookmarkEnd w:id="317"/>
      <w:bookmarkEnd w:id="318"/>
      <w:bookmarkEnd w:id="319"/>
      <w:bookmarkEnd w:id="320"/>
    </w:p>
    <w:p w14:paraId="681DA15D">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321" w:name="_Toc96347886"/>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28.1采购方在</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规定的开标时间和开标地点组织公开开标，邀请</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参加。</w:t>
      </w:r>
    </w:p>
    <w:p w14:paraId="6A5693B3">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28.2采购方在</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中规定采用远程异地开标形式的，采购代理机构将提前通知，具体操作流程详见招标文件附件《</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参加远程异地开标仪式须知》。</w:t>
      </w:r>
    </w:p>
    <w:p w14:paraId="07CABDBB">
      <w:pPr>
        <w:spacing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28.3开标时，应当由</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或者其推选的代表检查投标文件的密封情况；经确认无误后，由采购方工作人员当众拆封，宣布</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名称、投标价格和招标文件规定的需要宣布的其他内容并进行记录，并由参加开标的各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代表确认。</w:t>
      </w:r>
    </w:p>
    <w:p w14:paraId="30F1247F">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28.4</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不足3家的，不得开标。</w:t>
      </w:r>
    </w:p>
    <w:bookmarkEnd w:id="321"/>
    <w:p w14:paraId="63304C7A">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322" w:name="_Toc100905231"/>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28.5</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代表对开标过程和开标记录有疑义，以及认为采购方相关工作人员有需要回避的情形的，应当场提出询问或者回避申请。采购方对</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代表提出的询问或者回避申请及时处理。</w:t>
      </w:r>
    </w:p>
    <w:p w14:paraId="6D7BE4F5">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28.6</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未参加开标的，视同认可开标结果。</w:t>
      </w:r>
    </w:p>
    <w:p w14:paraId="7B010C2C">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23" w:name="_Toc26105"/>
      <w:bookmarkStart w:id="324" w:name="_Toc107246247"/>
      <w:bookmarkStart w:id="325" w:name="_Toc435390406"/>
      <w:bookmarkStart w:id="326" w:name="_Toc30835"/>
      <w:bookmarkStart w:id="327" w:name="_Toc26945"/>
      <w:r>
        <w:rPr>
          <w:rFonts w:hint="eastAsia" w:asciiTheme="minorEastAsia" w:hAnsiTheme="minorEastAsia" w:eastAsiaTheme="minorEastAsia" w:cstheme="minorEastAsia"/>
          <w:color w:val="000000" w:themeColor="text1"/>
          <w:highlight w:val="none"/>
          <w14:textFill>
            <w14:solidFill>
              <w14:schemeClr w14:val="tx1"/>
            </w14:solidFill>
          </w14:textFill>
        </w:rPr>
        <w:t>29.资格性审查</w:t>
      </w:r>
      <w:bookmarkEnd w:id="323"/>
      <w:bookmarkEnd w:id="324"/>
      <w:bookmarkEnd w:id="325"/>
      <w:bookmarkEnd w:id="326"/>
      <w:bookmarkEnd w:id="327"/>
    </w:p>
    <w:p w14:paraId="16DCD396">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328" w:name="_Toc104560869"/>
      <w:bookmarkStart w:id="329" w:name="_Toc103848554"/>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29.1投标文件的资格性检查。公开招标采购项目开标结束后，采购人或采购代理机构应依法对</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的资格进行审查。资格审查合格的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不足3家的，不进行评标。</w:t>
      </w:r>
    </w:p>
    <w:p w14:paraId="4705270C">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29.2</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不具备招标文件规定的</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资格条件的</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，应在资格审查时按照无效投标处理。</w:t>
      </w:r>
    </w:p>
    <w:p w14:paraId="39AC74F4">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29.3已经进行资格预审的，可以不再对</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资格进行审查，资格预审合格的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在评标阶段资格发生变化的，应当通知采购方。</w:t>
      </w:r>
    </w:p>
    <w:p w14:paraId="11BBE08C">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bookmarkStart w:id="330" w:name="_Toc107246248"/>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29.4本项目信用记录查询截止时点见</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657B5F3C">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31" w:name="_Toc32371"/>
      <w:bookmarkStart w:id="332" w:name="_Toc17676"/>
      <w:bookmarkStart w:id="333" w:name="_Toc10931"/>
      <w:bookmarkStart w:id="334" w:name="_Toc1129768313"/>
      <w:r>
        <w:rPr>
          <w:rFonts w:hint="eastAsia" w:asciiTheme="minorEastAsia" w:hAnsiTheme="minorEastAsia" w:eastAsiaTheme="minorEastAsia" w:cstheme="minorEastAsia"/>
          <w:color w:val="000000" w:themeColor="text1"/>
          <w:highlight w:val="none"/>
          <w14:textFill>
            <w14:solidFill>
              <w14:schemeClr w14:val="tx1"/>
            </w14:solidFill>
          </w14:textFill>
        </w:rPr>
        <w:t>30.评标</w:t>
      </w:r>
      <w:bookmarkEnd w:id="328"/>
      <w:bookmarkEnd w:id="329"/>
      <w:bookmarkEnd w:id="330"/>
      <w:bookmarkEnd w:id="331"/>
      <w:bookmarkEnd w:id="332"/>
      <w:bookmarkEnd w:id="333"/>
      <w:bookmarkEnd w:id="334"/>
    </w:p>
    <w:p w14:paraId="19756220">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35" w:name="_Toc104560870"/>
      <w:bookmarkStart w:id="336" w:name="_Toc2113113464"/>
      <w:bookmarkStart w:id="337" w:name="_Toc9864"/>
      <w:bookmarkStart w:id="338" w:name="_Toc14672"/>
      <w:bookmarkStart w:id="339" w:name="_Toc107246249"/>
      <w:bookmarkStart w:id="340" w:name="_Toc13588"/>
      <w:bookmarkStart w:id="341" w:name="_Toc103848555"/>
      <w:r>
        <w:rPr>
          <w:rFonts w:hint="eastAsia" w:asciiTheme="minorEastAsia" w:hAnsiTheme="minorEastAsia" w:eastAsiaTheme="minorEastAsia" w:cstheme="minorEastAsia"/>
          <w:color w:val="000000" w:themeColor="text1"/>
          <w:highlight w:val="none"/>
          <w14:textFill>
            <w14:solidFill>
              <w14:schemeClr w14:val="tx1"/>
            </w14:solidFill>
          </w14:textFill>
        </w:rPr>
        <w:t>30.1评标委员会</w:t>
      </w:r>
      <w:bookmarkEnd w:id="335"/>
      <w:bookmarkEnd w:id="336"/>
      <w:bookmarkEnd w:id="337"/>
      <w:bookmarkEnd w:id="338"/>
      <w:bookmarkEnd w:id="339"/>
      <w:bookmarkEnd w:id="340"/>
      <w:bookmarkEnd w:id="341"/>
    </w:p>
    <w:p w14:paraId="75CB979B">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30.1.1评标委员会成员组成见</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，负责具体评标事务，并独立履行职责。</w:t>
      </w:r>
    </w:p>
    <w:p w14:paraId="2E5B3285">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42" w:name="_Toc104560871"/>
      <w:bookmarkStart w:id="343" w:name="_Toc103848556"/>
      <w:bookmarkStart w:id="344" w:name="_Toc13435362"/>
      <w:bookmarkStart w:id="345" w:name="_Toc19210"/>
      <w:bookmarkStart w:id="346" w:name="_Toc3123"/>
      <w:bookmarkStart w:id="347" w:name="_Toc107246250"/>
      <w:bookmarkStart w:id="348" w:name="_Toc28859"/>
      <w:r>
        <w:rPr>
          <w:rFonts w:hint="eastAsia" w:asciiTheme="minorEastAsia" w:hAnsiTheme="minorEastAsia" w:eastAsiaTheme="minorEastAsia" w:cstheme="minorEastAsia"/>
          <w:color w:val="000000" w:themeColor="text1"/>
          <w:highlight w:val="none"/>
          <w14:textFill>
            <w14:solidFill>
              <w14:schemeClr w14:val="tx1"/>
            </w14:solidFill>
          </w14:textFill>
        </w:rPr>
        <w:t>30.2</w:t>
      </w:r>
      <w:bookmarkEnd w:id="342"/>
      <w:bookmarkEnd w:id="343"/>
      <w:r>
        <w:rPr>
          <w:rFonts w:hint="eastAsia" w:asciiTheme="minorEastAsia" w:hAnsiTheme="minorEastAsia" w:eastAsiaTheme="minorEastAsia" w:cstheme="minorEastAsia"/>
          <w:color w:val="000000" w:themeColor="text1"/>
          <w:highlight w:val="none"/>
          <w14:textFill>
            <w14:solidFill>
              <w14:schemeClr w14:val="tx1"/>
            </w14:solidFill>
          </w14:textFill>
        </w:rPr>
        <w:t>符合性审查</w:t>
      </w:r>
      <w:bookmarkEnd w:id="344"/>
      <w:bookmarkEnd w:id="345"/>
      <w:bookmarkEnd w:id="346"/>
      <w:bookmarkEnd w:id="347"/>
      <w:bookmarkEnd w:id="348"/>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p>
    <w:p w14:paraId="78B97EBA">
      <w:pPr>
        <w:adjustRightInd w:val="0"/>
        <w:snapToGrid w:val="0"/>
        <w:spacing w:before="156" w:beforeLines="50" w:line="360" w:lineRule="auto"/>
        <w:ind w:firstLine="420" w:firstLineChars="200"/>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30.2.1投标文件的符合性审查。评标委员会对通过资格性检查的</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的投标文件进行符合性审查，以确定其是否满足招标文件的实质性要求。实质性响应的投标应该是与采购文件要求的全部实质性条款、条件和规格相符，没有重大偏离或保留的投标。</w:t>
      </w:r>
    </w:p>
    <w:p w14:paraId="2413BA90">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30.2.2如果投标文件没有响应招标文件实质性要求，评标委员会将予以拒绝，</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不得通过修改或撤销不合要求的偏离或保留而使其投标成为实质性响应的投标。</w:t>
      </w:r>
    </w:p>
    <w:p w14:paraId="4F6ADBA7">
      <w:pPr>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30.2.3投标文件有下列情况之一的，在符合性检查时按照无效投标处理：</w:t>
      </w:r>
    </w:p>
    <w:p w14:paraId="6192645F">
      <w:pPr>
        <w:numPr>
          <w:ilvl w:val="0"/>
          <w:numId w:val="3"/>
        </w:num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未按照招标文件规定要求签署的；</w:t>
      </w:r>
    </w:p>
    <w:p w14:paraId="42C998E7">
      <w:pPr>
        <w:numPr>
          <w:ilvl w:val="0"/>
          <w:numId w:val="3"/>
        </w:num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未按照招标文件规定要求盖章的；</w:t>
      </w:r>
    </w:p>
    <w:p w14:paraId="4801BCD8">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（3）报价超过招标文件中规定的预算金额或者最高限价的；</w:t>
      </w:r>
    </w:p>
    <w:p w14:paraId="381EB60F">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（4）投标文件中承诺的投标有效期不满足招标文件中载明的投标有效期的；</w:t>
      </w:r>
    </w:p>
    <w:p w14:paraId="6A68BB53">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（5）未按照招标文件规定提交投标保证金的；</w:t>
      </w:r>
    </w:p>
    <w:p w14:paraId="459B988F">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（6）投标文件含有采购人不能接受的附加条件的；</w:t>
      </w:r>
    </w:p>
    <w:p w14:paraId="2E068A72">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（7）投标文件不符合招标文件中规定的其它实质性要求的；</w:t>
      </w:r>
    </w:p>
    <w:p w14:paraId="3BF059CC">
      <w:pPr>
        <w:spacing w:line="360" w:lineRule="auto"/>
        <w:ind w:firstLine="316" w:firstLineChars="150"/>
        <w:jc w:val="lef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（8）现行法律、法规、规章和招标文件规定的其他无效情形。</w:t>
      </w:r>
    </w:p>
    <w:bookmarkEnd w:id="322"/>
    <w:p w14:paraId="23A5A615">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49" w:name="_Toc107246251"/>
      <w:bookmarkStart w:id="350" w:name="_Toc8535"/>
      <w:bookmarkStart w:id="351" w:name="_Toc104560872"/>
      <w:bookmarkStart w:id="352" w:name="_Toc103848557"/>
      <w:bookmarkStart w:id="353" w:name="_Toc322346199"/>
      <w:bookmarkStart w:id="354" w:name="_Toc22300"/>
      <w:bookmarkStart w:id="355" w:name="_Toc7802"/>
      <w:r>
        <w:rPr>
          <w:rFonts w:hint="eastAsia" w:asciiTheme="minorEastAsia" w:hAnsiTheme="minorEastAsia" w:eastAsiaTheme="minorEastAsia" w:cstheme="minorEastAsia"/>
          <w:color w:val="000000" w:themeColor="text1"/>
          <w:highlight w:val="none"/>
          <w14:textFill>
            <w14:solidFill>
              <w14:schemeClr w14:val="tx1"/>
            </w14:solidFill>
          </w14:textFill>
        </w:rPr>
        <w:t>30.3投标文件澄清</w:t>
      </w:r>
      <w:bookmarkEnd w:id="349"/>
      <w:bookmarkEnd w:id="350"/>
      <w:bookmarkEnd w:id="351"/>
      <w:bookmarkEnd w:id="352"/>
      <w:bookmarkEnd w:id="353"/>
      <w:bookmarkEnd w:id="354"/>
      <w:bookmarkEnd w:id="355"/>
    </w:p>
    <w:p w14:paraId="0DD74547">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30.3.1对于投标文件中含义不明确、同类问题表述不一致或者有明显文字和计算错误的内容，评标委员会应当以书面形式要求</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作出必要的澄清、说明或者补正。</w:t>
      </w:r>
    </w:p>
    <w:p w14:paraId="2A793455">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30.3.2</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的澄清、说明或者补正应当采用书面形式，并加盖公章，或者由法定代表人或其授权的代表签字。</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的澄清、说明或者补正不得超出投标文件的范围或者改变投标文件的实质性内容。</w:t>
      </w:r>
    </w:p>
    <w:p w14:paraId="213C1E74">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30.3.3评标委员会不接受</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主动提出的澄清、说明。</w:t>
      </w:r>
    </w:p>
    <w:p w14:paraId="210886AA">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30.3.4有效的书面澄清材料，是投标文件的补充材料，成为投标文件的组成部分。</w:t>
      </w:r>
    </w:p>
    <w:p w14:paraId="23A107FF">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56" w:name="_Toc107246252"/>
      <w:bookmarkStart w:id="357" w:name="_Toc24548"/>
      <w:bookmarkStart w:id="358" w:name="_Toc1718808859"/>
      <w:bookmarkStart w:id="359" w:name="_Toc17585"/>
      <w:bookmarkStart w:id="360" w:name="_Toc29631"/>
      <w:r>
        <w:rPr>
          <w:rFonts w:hint="eastAsia" w:asciiTheme="minorEastAsia" w:hAnsiTheme="minorEastAsia" w:eastAsiaTheme="minorEastAsia" w:cstheme="minorEastAsia"/>
          <w:color w:val="000000" w:themeColor="text1"/>
          <w:highlight w:val="none"/>
          <w14:textFill>
            <w14:solidFill>
              <w14:schemeClr w14:val="tx1"/>
            </w14:solidFill>
          </w14:textFill>
        </w:rPr>
        <w:t>30.4</w:t>
      </w:r>
      <w:bookmarkEnd w:id="356"/>
      <w:r>
        <w:rPr>
          <w:rFonts w:hint="eastAsia" w:asciiTheme="minorEastAsia" w:hAnsiTheme="minorEastAsia" w:eastAsiaTheme="minorEastAsia" w:cstheme="minorEastAsia"/>
          <w:color w:val="000000" w:themeColor="text1"/>
          <w:highlight w:val="none"/>
          <w14:textFill>
            <w14:solidFill>
              <w14:schemeClr w14:val="tx1"/>
            </w14:solidFill>
          </w14:textFill>
        </w:rPr>
        <w:t>报价修正</w:t>
      </w:r>
      <w:bookmarkEnd w:id="357"/>
      <w:bookmarkEnd w:id="358"/>
      <w:bookmarkEnd w:id="359"/>
      <w:bookmarkEnd w:id="360"/>
    </w:p>
    <w:p w14:paraId="3DB816DF">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30.4.1投标文件报价出现前后不一致的，除招标文件另有规定外，按照下列规定修正：</w:t>
      </w:r>
    </w:p>
    <w:p w14:paraId="7EF8D44D">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（1）投标文件中开标一览表（报价表）内容与投标文件中相应内容不一致的，以开标一览表（报价表）为准；</w:t>
      </w:r>
    </w:p>
    <w:p w14:paraId="70E03A69">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（2）大写金额和小写金额不一致的，以大写金额为准；</w:t>
      </w:r>
    </w:p>
    <w:p w14:paraId="1411C6EE">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（3）单价金额小数点或者百分比有明显错位的，以开标一览表的总价为准，并修改单价；</w:t>
      </w:r>
    </w:p>
    <w:p w14:paraId="0CF074D9">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（4）总价金额与按单价汇总金额不一致的，以单价金额计算结果为准。</w:t>
      </w:r>
    </w:p>
    <w:p w14:paraId="21A181C5">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★同时出现两种以上不一致的，按照前款规定的顺序修正。修正后的报价按照上述规定经</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确认后产生约束力，</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不确认的，其投标无效。</w:t>
      </w:r>
    </w:p>
    <w:p w14:paraId="19B48511">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61" w:name="_Toc107246253"/>
      <w:bookmarkStart w:id="362" w:name="_Toc6954"/>
      <w:bookmarkStart w:id="363" w:name="_Toc11424"/>
      <w:bookmarkStart w:id="364" w:name="_Toc103848558"/>
      <w:bookmarkStart w:id="365" w:name="_Toc104560873"/>
      <w:bookmarkStart w:id="366" w:name="_Toc19920"/>
      <w:bookmarkStart w:id="367" w:name="_Toc70473769"/>
      <w:r>
        <w:rPr>
          <w:rFonts w:hint="eastAsia" w:asciiTheme="minorEastAsia" w:hAnsiTheme="minorEastAsia" w:eastAsiaTheme="minorEastAsia" w:cstheme="minorEastAsia"/>
          <w:color w:val="000000" w:themeColor="text1"/>
          <w:highlight w:val="none"/>
          <w14:textFill>
            <w14:solidFill>
              <w14:schemeClr w14:val="tx1"/>
            </w14:solidFill>
          </w14:textFill>
        </w:rPr>
        <w:t>30.5同品牌多家</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处理原则</w:t>
      </w:r>
      <w:bookmarkEnd w:id="361"/>
      <w:bookmarkEnd w:id="362"/>
      <w:bookmarkEnd w:id="363"/>
      <w:bookmarkEnd w:id="364"/>
      <w:bookmarkEnd w:id="365"/>
      <w:bookmarkEnd w:id="366"/>
      <w:bookmarkEnd w:id="367"/>
    </w:p>
    <w:p w14:paraId="7B9EC03A">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30.5.1采用最低评标价法的采购项目，提供相同品牌产品的不同</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参加同一合同项下投标的，以其中通过资格审查、符合性审查且报价最低的参加评标；报价相同的，由采购人或者采购人委托评标委员会按照招标文件规定的方式确定一个参加评标的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，招标文件未规定的采取随机抽取方式确定，其他投标无效。</w:t>
      </w:r>
    </w:p>
    <w:p w14:paraId="40B22EA6">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30.5.2使用综合评分法的采购项目，提供相同品牌产品且通过资格审查、符合性审查的不同</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参加同一合同项下投标的，按一家</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计算，评审后得分最高的同品牌</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获得中标人推荐资格；评审得分相同的，由采购人或者采购人委托评标委员会按照招标文件规定的方式确定一个</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获得中标人推荐资格，招标文件未规定的采取随机抽取方式确定，其他同品牌</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不作为中标候选人。</w:t>
      </w:r>
    </w:p>
    <w:p w14:paraId="101C5B69">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30.5.3非单一产品采购项目，根据采购项目技术构成、产品价格比重等合理确定核心产品，核心产品见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。多家</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提供的核心产品品牌相同的，按前两款规定处理。</w:t>
      </w:r>
    </w:p>
    <w:p w14:paraId="2CFCE1DD">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68" w:name="_Toc3229"/>
      <w:bookmarkStart w:id="369" w:name="_Toc176"/>
      <w:bookmarkStart w:id="370" w:name="_Toc104560874"/>
      <w:bookmarkStart w:id="371" w:name="_Toc1189146086"/>
      <w:bookmarkStart w:id="372" w:name="_Toc103848559"/>
      <w:bookmarkStart w:id="373" w:name="_Toc26395"/>
      <w:bookmarkStart w:id="374" w:name="_Toc107246254"/>
      <w:r>
        <w:rPr>
          <w:rFonts w:hint="eastAsia" w:asciiTheme="minorEastAsia" w:hAnsiTheme="minorEastAsia" w:eastAsiaTheme="minorEastAsia" w:cstheme="minorEastAsia"/>
          <w:color w:val="000000" w:themeColor="text1"/>
          <w:highlight w:val="none"/>
          <w14:textFill>
            <w14:solidFill>
              <w14:schemeClr w14:val="tx1"/>
            </w14:solidFill>
          </w14:textFill>
        </w:rPr>
        <w:t>30.6比较与评价</w:t>
      </w:r>
      <w:bookmarkEnd w:id="368"/>
      <w:bookmarkEnd w:id="369"/>
      <w:bookmarkEnd w:id="370"/>
      <w:bookmarkEnd w:id="371"/>
      <w:bookmarkEnd w:id="372"/>
      <w:bookmarkEnd w:id="373"/>
      <w:bookmarkEnd w:id="374"/>
    </w:p>
    <w:p w14:paraId="204AF369">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30.6.1评标委员会应当按照招标文件中第五章《评标方法和评标标准》，对符合性审查合格的投标文件进行比较与评价。</w:t>
      </w:r>
    </w:p>
    <w:p w14:paraId="6241DB8A">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75" w:name="_Toc4789"/>
      <w:bookmarkStart w:id="376" w:name="_Toc8731"/>
      <w:bookmarkStart w:id="377" w:name="_Toc20005"/>
      <w:bookmarkStart w:id="378" w:name="_Toc1495448420"/>
      <w:bookmarkStart w:id="379" w:name="_Toc107246255"/>
      <w:r>
        <w:rPr>
          <w:rFonts w:hint="eastAsia" w:asciiTheme="minorEastAsia" w:hAnsiTheme="minorEastAsia" w:eastAsiaTheme="minorEastAsia" w:cstheme="minorEastAsia"/>
          <w:color w:val="000000" w:themeColor="text1"/>
          <w:highlight w:val="none"/>
          <w14:textFill>
            <w14:solidFill>
              <w14:schemeClr w14:val="tx1"/>
            </w14:solidFill>
          </w14:textFill>
        </w:rPr>
        <w:t>30.7编写评标报告</w:t>
      </w:r>
      <w:bookmarkEnd w:id="375"/>
      <w:bookmarkEnd w:id="376"/>
      <w:bookmarkEnd w:id="377"/>
      <w:bookmarkEnd w:id="378"/>
      <w:bookmarkEnd w:id="379"/>
    </w:p>
    <w:p w14:paraId="1701DA1D">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30.7.1评标委员会根据全体评标成员签字的原始评标记录和评标结果编写评标报告。</w:t>
      </w:r>
    </w:p>
    <w:p w14:paraId="15408AF5">
      <w:pPr>
        <w:pStyle w:val="2"/>
        <w:tabs>
          <w:tab w:val="left" w:pos="5882"/>
        </w:tabs>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80" w:name="_Toc336"/>
      <w:bookmarkStart w:id="381" w:name="_Toc24454"/>
      <w:bookmarkStart w:id="382" w:name="_Toc10531"/>
      <w:bookmarkStart w:id="383" w:name="_Toc104560876"/>
      <w:bookmarkStart w:id="384" w:name="_Toc2000474099"/>
      <w:bookmarkStart w:id="385" w:name="_Toc103848561"/>
      <w:bookmarkStart w:id="386" w:name="_Toc107246256"/>
      <w:r>
        <w:rPr>
          <w:rFonts w:hint="eastAsia" w:asciiTheme="minorEastAsia" w:hAnsiTheme="minorEastAsia" w:eastAsiaTheme="minorEastAsia" w:cstheme="minorEastAsia"/>
          <w:color w:val="000000" w:themeColor="text1"/>
          <w:highlight w:val="none"/>
          <w14:textFill>
            <w14:solidFill>
              <w14:schemeClr w14:val="tx1"/>
            </w14:solidFill>
          </w14:textFill>
        </w:rPr>
        <w:t>30.8评标过程的保密</w:t>
      </w:r>
      <w:bookmarkEnd w:id="380"/>
      <w:bookmarkEnd w:id="381"/>
      <w:bookmarkEnd w:id="382"/>
      <w:bookmarkEnd w:id="383"/>
      <w:bookmarkEnd w:id="384"/>
      <w:bookmarkEnd w:id="385"/>
      <w:bookmarkEnd w:id="386"/>
      <w:r>
        <w:rPr>
          <w:rFonts w:hint="eastAsia" w:asciiTheme="minorEastAsia" w:hAnsiTheme="minorEastAsia" w:eastAsiaTheme="minorEastAsia" w:cstheme="minorEastAsia"/>
          <w:color w:val="000000" w:themeColor="text1"/>
          <w:highlight w:val="none"/>
          <w14:textFill>
            <w14:solidFill>
              <w14:schemeClr w14:val="tx1"/>
            </w14:solidFill>
          </w14:textFill>
        </w:rPr>
        <w:tab/>
      </w:r>
    </w:p>
    <w:p w14:paraId="5B0BCF18">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30.8.1评标委员会成员名单在评标结果公示前应当保密。</w:t>
      </w:r>
    </w:p>
    <w:p w14:paraId="299D3B43">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30.8.2采购方应当采取必要的措施，保证评标在严格保密的情况下进行。</w:t>
      </w:r>
    </w:p>
    <w:p w14:paraId="02E05BCF">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30.8.3有关人员对评标情况以及在评标过程中获悉的国家秘密、商业秘密负有保密责任。</w:t>
      </w:r>
    </w:p>
    <w:p w14:paraId="40241E4F">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87" w:name="_Toc11539"/>
      <w:bookmarkStart w:id="388" w:name="_Toc964204461"/>
      <w:bookmarkStart w:id="389" w:name="_Toc31257"/>
      <w:bookmarkStart w:id="390" w:name="_Toc23318"/>
      <w:r>
        <w:rPr>
          <w:rFonts w:hint="eastAsia" w:asciiTheme="minorEastAsia" w:hAnsiTheme="minorEastAsia" w:eastAsiaTheme="minorEastAsia" w:cstheme="minorEastAsia"/>
          <w:color w:val="000000" w:themeColor="text1"/>
          <w:highlight w:val="none"/>
          <w14:textFill>
            <w14:solidFill>
              <w14:schemeClr w14:val="tx1"/>
            </w14:solidFill>
          </w14:textFill>
        </w:rPr>
        <w:t>六．确定中标</w:t>
      </w:r>
      <w:bookmarkEnd w:id="387"/>
      <w:bookmarkEnd w:id="388"/>
      <w:bookmarkEnd w:id="389"/>
      <w:bookmarkEnd w:id="390"/>
    </w:p>
    <w:p w14:paraId="4519AE32">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91" w:name="_Toc103848563"/>
      <w:bookmarkStart w:id="392" w:name="_Toc104560878"/>
      <w:bookmarkStart w:id="393" w:name="_Toc472775765"/>
      <w:bookmarkStart w:id="394" w:name="_Toc25269"/>
      <w:bookmarkStart w:id="395" w:name="_Toc19055"/>
      <w:bookmarkStart w:id="396" w:name="_Toc5206"/>
      <w:bookmarkStart w:id="397" w:name="_Toc107246258"/>
      <w:r>
        <w:rPr>
          <w:rFonts w:hint="eastAsia" w:asciiTheme="minorEastAsia" w:hAnsiTheme="minorEastAsia" w:eastAsiaTheme="minorEastAsia" w:cstheme="minorEastAsia"/>
          <w:color w:val="000000" w:themeColor="text1"/>
          <w:highlight w:val="none"/>
          <w14:textFill>
            <w14:solidFill>
              <w14:schemeClr w14:val="tx1"/>
            </w14:solidFill>
          </w14:textFill>
        </w:rPr>
        <w:t>31.确定中标</w:t>
      </w:r>
      <w:bookmarkEnd w:id="391"/>
      <w:bookmarkEnd w:id="392"/>
      <w:r>
        <w:rPr>
          <w:rFonts w:hint="eastAsia" w:asciiTheme="minorEastAsia" w:hAnsiTheme="minorEastAsia" w:eastAsiaTheme="minorEastAsia" w:cstheme="minorEastAsia"/>
          <w:color w:val="000000" w:themeColor="text1"/>
          <w:highlight w:val="none"/>
          <w14:textFill>
            <w14:solidFill>
              <w14:schemeClr w14:val="tx1"/>
            </w14:solidFill>
          </w14:textFill>
        </w:rPr>
        <w:t>人</w:t>
      </w:r>
      <w:bookmarkEnd w:id="393"/>
      <w:bookmarkEnd w:id="394"/>
      <w:bookmarkEnd w:id="395"/>
      <w:bookmarkEnd w:id="396"/>
      <w:bookmarkEnd w:id="397"/>
    </w:p>
    <w:p w14:paraId="0FAC2F71">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31.1采用最低评标价法的，评标结果按投标报价由低到高顺序排列。投标报价相同的并列。投标文件满足招标文件全部实质性要求且投标报价最低的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为排名第一的中标候选人。</w:t>
      </w:r>
    </w:p>
    <w:p w14:paraId="1F56FE5E">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31.2采用综合评分法的，评标结果按评审后得分由高到低顺序排列。得分相同的，按投标报价由低到高顺序排列。得分且投标报价相同的并列。投标文件满足招标文件全部实质性要求，且按照评审因素的量化指标评审得分最高的</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为排名第一的中标候选人。</w:t>
      </w:r>
    </w:p>
    <w:p w14:paraId="2865C4F3">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31.3中标候选人并列的，由采购人或者采购人委托评标委员会按照</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规定的方式确定中标人。</w:t>
      </w:r>
    </w:p>
    <w:p w14:paraId="6E73DA8F">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31.4评审结束后，中标人名单将省级以上财政部门指定的媒体上公告中标结果，中标公告期为1个工作日，公告媒体见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p>
    <w:p w14:paraId="67CDB2BF">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98" w:name="_Toc15331"/>
      <w:bookmarkStart w:id="399" w:name="_Toc107246259"/>
      <w:bookmarkStart w:id="400" w:name="_Toc5291"/>
      <w:bookmarkStart w:id="401" w:name="_Toc2781"/>
      <w:bookmarkStart w:id="402" w:name="_Toc252788455"/>
      <w:bookmarkStart w:id="403" w:name="_Toc104560879"/>
      <w:bookmarkStart w:id="404" w:name="_Toc103848564"/>
      <w:r>
        <w:rPr>
          <w:rFonts w:hint="eastAsia" w:asciiTheme="minorEastAsia" w:hAnsiTheme="minorEastAsia" w:eastAsiaTheme="minorEastAsia" w:cstheme="minorEastAsia"/>
          <w:color w:val="000000" w:themeColor="text1"/>
          <w:highlight w:val="none"/>
          <w14:textFill>
            <w14:solidFill>
              <w14:schemeClr w14:val="tx1"/>
            </w14:solidFill>
          </w14:textFill>
        </w:rPr>
        <w:t>32.中标通知书</w:t>
      </w:r>
      <w:bookmarkEnd w:id="398"/>
      <w:bookmarkEnd w:id="399"/>
      <w:bookmarkEnd w:id="400"/>
      <w:bookmarkEnd w:id="401"/>
      <w:bookmarkEnd w:id="402"/>
      <w:bookmarkEnd w:id="403"/>
      <w:bookmarkEnd w:id="404"/>
    </w:p>
    <w:p w14:paraId="0209C72F">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32.1采购代理机构将在中标公告发布的同时向中标人发出中标通知书。</w:t>
      </w:r>
    </w:p>
    <w:p w14:paraId="4D1817C9">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32.2中标通知书将是合同的组成部分。对采购人和中标人均具有法律效力。</w:t>
      </w:r>
    </w:p>
    <w:p w14:paraId="5132C9A7">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32.3</w:t>
      </w:r>
      <w:bookmarkStart w:id="405" w:name="_Toc104560875"/>
      <w:bookmarkStart w:id="406" w:name="_Toc103848560"/>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中标通知书发出后，中标人无正当理由不得放弃中标，否则将依法承担法律责任。</w:t>
      </w:r>
    </w:p>
    <w:p w14:paraId="555C4C63">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07" w:name="_Toc7812"/>
      <w:bookmarkStart w:id="408" w:name="_Toc892909419"/>
      <w:bookmarkStart w:id="409" w:name="_Toc18156"/>
      <w:bookmarkStart w:id="410" w:name="_Toc107246260"/>
      <w:bookmarkStart w:id="411" w:name="_Toc29161"/>
      <w:r>
        <w:rPr>
          <w:rFonts w:hint="eastAsia" w:asciiTheme="minorEastAsia" w:hAnsiTheme="minorEastAsia" w:eastAsiaTheme="minorEastAsia" w:cstheme="minorEastAsia"/>
          <w:color w:val="000000" w:themeColor="text1"/>
          <w:highlight w:val="none"/>
          <w14:textFill>
            <w14:solidFill>
              <w14:schemeClr w14:val="tx1"/>
            </w14:solidFill>
          </w14:textFill>
        </w:rPr>
        <w:t>33.废标</w:t>
      </w:r>
      <w:bookmarkEnd w:id="405"/>
      <w:bookmarkEnd w:id="406"/>
      <w:bookmarkEnd w:id="407"/>
      <w:bookmarkEnd w:id="408"/>
      <w:bookmarkEnd w:id="409"/>
      <w:bookmarkEnd w:id="410"/>
      <w:bookmarkEnd w:id="411"/>
    </w:p>
    <w:p w14:paraId="0974DBCD">
      <w:pPr>
        <w:spacing w:line="360" w:lineRule="auto"/>
        <w:ind w:firstLine="316" w:firstLineChars="15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★33.1出现下列情形之一的，应予废标：</w:t>
      </w:r>
    </w:p>
    <w:p w14:paraId="5F027290">
      <w:pPr>
        <w:spacing w:line="360" w:lineRule="auto"/>
        <w:ind w:firstLine="316" w:firstLineChars="15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（1）符合专业条件的</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或者对招标文件作实质响应的</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不足三家的；</w:t>
      </w:r>
    </w:p>
    <w:p w14:paraId="2CB04108">
      <w:pPr>
        <w:spacing w:line="360" w:lineRule="auto"/>
        <w:ind w:firstLine="316" w:firstLineChars="15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（2）出现影响采购公正的违法、违规行为的；</w:t>
      </w:r>
    </w:p>
    <w:p w14:paraId="04207FB5">
      <w:pPr>
        <w:spacing w:line="360" w:lineRule="auto"/>
        <w:ind w:firstLine="316" w:firstLineChars="15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的报价均超过了采购预算，采购人不能支付的；</w:t>
      </w:r>
    </w:p>
    <w:p w14:paraId="5C4A28AF">
      <w:pPr>
        <w:spacing w:line="360" w:lineRule="auto"/>
        <w:ind w:firstLine="316" w:firstLineChars="150"/>
        <w:jc w:val="left"/>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（4）因重大变故，采购任务取消的。</w:t>
      </w:r>
    </w:p>
    <w:p w14:paraId="59104777">
      <w:pPr>
        <w:spacing w:line="360" w:lineRule="auto"/>
        <w:ind w:firstLine="315" w:firstLineChars="15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33.2废标后，采购人将废标理由通知所有</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4A1EE4E6">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12" w:name="_Toc107246261"/>
      <w:bookmarkStart w:id="413" w:name="_Toc512879897"/>
      <w:bookmarkStart w:id="414" w:name="_Toc28169"/>
      <w:bookmarkStart w:id="415" w:name="_Toc104560880"/>
      <w:bookmarkStart w:id="416" w:name="_Toc7502"/>
      <w:bookmarkStart w:id="417" w:name="_Toc18763"/>
      <w:bookmarkStart w:id="418" w:name="_Toc103848565"/>
      <w:bookmarkStart w:id="419" w:name="_Toc16938553"/>
      <w:bookmarkStart w:id="420" w:name="_Toc513029237"/>
      <w:bookmarkStart w:id="421" w:name="_Toc20823309"/>
      <w:r>
        <w:rPr>
          <w:rFonts w:hint="eastAsia" w:asciiTheme="minorEastAsia" w:hAnsiTheme="minorEastAsia" w:eastAsiaTheme="minorEastAsia" w:cstheme="minorEastAsia"/>
          <w:color w:val="000000" w:themeColor="text1"/>
          <w:highlight w:val="none"/>
          <w14:textFill>
            <w14:solidFill>
              <w14:schemeClr w14:val="tx1"/>
            </w14:solidFill>
          </w14:textFill>
        </w:rPr>
        <w:t>34.签订合同</w:t>
      </w:r>
      <w:bookmarkEnd w:id="412"/>
      <w:bookmarkEnd w:id="413"/>
      <w:bookmarkEnd w:id="414"/>
      <w:bookmarkEnd w:id="415"/>
      <w:bookmarkEnd w:id="416"/>
      <w:bookmarkEnd w:id="417"/>
      <w:bookmarkEnd w:id="418"/>
    </w:p>
    <w:p w14:paraId="475E647B">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34.1中标人、采购人应当自中标通知书发出之日起30日内，按照招标文件和中标人投标文件的规定签订书面合同。所签订的合同不得对招标文件确定的事项和中标人投标文件作实质性修改。</w:t>
      </w:r>
    </w:p>
    <w:p w14:paraId="41189B3B">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34.2中标人拒绝与采购人签订合同的，采购人可以按照评标报告推荐的中标候选人名单排序，确定下一候选人为中标人，也可以重新开展采购活动。</w:t>
      </w:r>
    </w:p>
    <w:p w14:paraId="1461E7DD">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34.3联合体中标的，联合体各方应当共同与采购人签订合同，就中标项目向采购人承担连带责任。</w:t>
      </w:r>
    </w:p>
    <w:p w14:paraId="635918C1">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34.4本采购合同不能转包。未经采购人同意，中标人也不得采用分包的形式履行合同，否则采购人有权终止合同。转包或分包造成采购人损失的，中标人应承担相应赔偿责任。</w:t>
      </w:r>
    </w:p>
    <w:p w14:paraId="5CD16CAE">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22" w:name="_Toc30068"/>
      <w:bookmarkStart w:id="423" w:name="_Toc11510"/>
      <w:bookmarkStart w:id="424" w:name="_Toc15413"/>
      <w:bookmarkStart w:id="425" w:name="_Toc103848567"/>
      <w:bookmarkStart w:id="426" w:name="_Toc104560881"/>
      <w:bookmarkStart w:id="427" w:name="_Toc107246262"/>
      <w:bookmarkStart w:id="428" w:name="_Toc2120553468"/>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35.履约保证金</w:t>
      </w:r>
      <w:bookmarkEnd w:id="422"/>
      <w:bookmarkEnd w:id="423"/>
      <w:bookmarkEnd w:id="424"/>
      <w:bookmarkEnd w:id="425"/>
      <w:bookmarkEnd w:id="426"/>
      <w:bookmarkEnd w:id="427"/>
      <w:bookmarkEnd w:id="428"/>
    </w:p>
    <w:p w14:paraId="2C6B0A8F">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35.1本项目是否缴纳履约保证金见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3B6980C8">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35.2</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规定交纳履约保证金的，中标人在签订采购合同前，向采购人提交履约保证金。联合体成交的，履约保证金以联合体各方或联合体中牵头人的名义提交。</w:t>
      </w:r>
    </w:p>
    <w:p w14:paraId="515B9609">
      <w:pPr>
        <w:spacing w:line="360" w:lineRule="auto"/>
        <w:ind w:firstLine="422"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35.3中标人没有按照</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的规定提交履约保证金的，视为放弃中标，其投标保证金不予退还。</w:t>
      </w:r>
    </w:p>
    <w:bookmarkEnd w:id="419"/>
    <w:bookmarkEnd w:id="420"/>
    <w:bookmarkEnd w:id="421"/>
    <w:p w14:paraId="7D3C9F6B">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29" w:name="_Toc30435"/>
      <w:bookmarkStart w:id="430" w:name="_Toc4722"/>
      <w:bookmarkStart w:id="431" w:name="_Toc29334"/>
      <w:bookmarkStart w:id="432" w:name="_Toc503531064"/>
      <w:r>
        <w:rPr>
          <w:rFonts w:hint="eastAsia" w:asciiTheme="minorEastAsia" w:hAnsiTheme="minorEastAsia" w:eastAsiaTheme="minorEastAsia" w:cstheme="minorEastAsia"/>
          <w:color w:val="000000" w:themeColor="text1"/>
          <w:highlight w:val="none"/>
          <w14:textFill>
            <w14:solidFill>
              <w14:schemeClr w14:val="tx1"/>
            </w14:solidFill>
          </w14:textFill>
        </w:rPr>
        <w:t>七．</w:t>
      </w:r>
      <w:bookmarkStart w:id="433" w:name="_Toc103848569"/>
      <w:r>
        <w:rPr>
          <w:rFonts w:hint="eastAsia" w:asciiTheme="minorEastAsia" w:hAnsiTheme="minorEastAsia" w:eastAsiaTheme="minorEastAsia" w:cstheme="minorEastAsia"/>
          <w:color w:val="000000" w:themeColor="text1"/>
          <w:highlight w:val="none"/>
          <w14:textFill>
            <w14:solidFill>
              <w14:schemeClr w14:val="tx1"/>
            </w14:solidFill>
          </w14:textFill>
        </w:rPr>
        <w:t>询问与质疑</w:t>
      </w:r>
      <w:bookmarkEnd w:id="429"/>
      <w:bookmarkEnd w:id="430"/>
      <w:bookmarkEnd w:id="431"/>
      <w:bookmarkEnd w:id="432"/>
    </w:p>
    <w:bookmarkEnd w:id="433"/>
    <w:p w14:paraId="6C6E8975">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34" w:name="_Toc107246264"/>
      <w:bookmarkStart w:id="435" w:name="_Toc102117305"/>
      <w:bookmarkStart w:id="436" w:name="_Toc1761023468"/>
      <w:bookmarkStart w:id="437" w:name="_Toc104560883"/>
      <w:bookmarkStart w:id="438" w:name="_Toc8765"/>
      <w:bookmarkStart w:id="439" w:name="_Toc27257"/>
      <w:bookmarkStart w:id="440" w:name="_Toc25373"/>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36.询问</w:t>
      </w:r>
      <w:bookmarkEnd w:id="434"/>
      <w:bookmarkEnd w:id="435"/>
      <w:bookmarkEnd w:id="436"/>
      <w:bookmarkEnd w:id="437"/>
      <w:bookmarkEnd w:id="438"/>
      <w:bookmarkEnd w:id="439"/>
      <w:bookmarkEnd w:id="440"/>
    </w:p>
    <w:p w14:paraId="332DB292">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36.1</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对采购活动事项有疑问的，可依法提出询问，并按</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载明的形式通知采购方。</w:t>
      </w:r>
    </w:p>
    <w:p w14:paraId="07266855">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36.2采购方对</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依法提出的询问，在3个工作日内作出答复，但答复的内容不得涉及商业秘密。</w:t>
      </w:r>
    </w:p>
    <w:p w14:paraId="2155627F">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41" w:name="_Toc107246265"/>
      <w:bookmarkStart w:id="442" w:name="_Toc102117306"/>
      <w:bookmarkStart w:id="443" w:name="_Toc104560884"/>
      <w:bookmarkStart w:id="444" w:name="_Toc7420"/>
      <w:bookmarkStart w:id="445" w:name="_Toc22422"/>
      <w:bookmarkStart w:id="446" w:name="_Toc901803722"/>
      <w:bookmarkStart w:id="447" w:name="_Toc25184"/>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37.质疑</w:t>
      </w:r>
      <w:bookmarkEnd w:id="441"/>
      <w:bookmarkEnd w:id="442"/>
      <w:bookmarkEnd w:id="443"/>
      <w:bookmarkEnd w:id="444"/>
      <w:bookmarkEnd w:id="445"/>
      <w:bookmarkEnd w:id="446"/>
      <w:bookmarkEnd w:id="447"/>
    </w:p>
    <w:p w14:paraId="0B6A997C">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37.1</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认为采购文件、采购过程和成交结果使自己的权益受到损害的，可以在知道或者应知其权益受到损害之日起7个工作日内，以</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的要求向采购方提出质疑。采购方将以书面形式答复质疑</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，但答复的内容不涉及商业秘密。</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在法定质疑期内针对同一采购程序环节的质疑必须一次性提出。</w:t>
      </w:r>
    </w:p>
    <w:p w14:paraId="1B8CFF5B">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37.2以联合体形式参加投标的，应当由组成联合体的所有</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共同提出。</w:t>
      </w:r>
    </w:p>
    <w:p w14:paraId="6402080C">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37.3质疑函应使用财政部制定的范本文件。</w:t>
      </w:r>
    </w:p>
    <w:p w14:paraId="561599B2">
      <w:pPr>
        <w:pStyle w:val="2"/>
        <w:spacing w:line="360" w:lineRule="auto"/>
        <w:ind w:left="0" w:leftChars="0" w:right="21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48" w:name="_Toc7344"/>
      <w:bookmarkStart w:id="449" w:name="_Toc29428"/>
      <w:bookmarkStart w:id="450" w:name="_Toc1823058775"/>
      <w:bookmarkStart w:id="451" w:name="_Toc21258"/>
      <w:r>
        <w:rPr>
          <w:rFonts w:hint="eastAsia" w:asciiTheme="minorEastAsia" w:hAnsiTheme="minorEastAsia" w:eastAsiaTheme="minorEastAsia" w:cstheme="minorEastAsia"/>
          <w:color w:val="000000" w:themeColor="text1"/>
          <w:highlight w:val="none"/>
          <w14:textFill>
            <w14:solidFill>
              <w14:schemeClr w14:val="tx1"/>
            </w14:solidFill>
          </w14:textFill>
        </w:rPr>
        <w:t>八．其他</w:t>
      </w:r>
      <w:bookmarkEnd w:id="448"/>
      <w:bookmarkEnd w:id="449"/>
      <w:bookmarkEnd w:id="450"/>
      <w:bookmarkEnd w:id="451"/>
    </w:p>
    <w:p w14:paraId="4A19E253">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52" w:name="_Toc107246267"/>
      <w:bookmarkStart w:id="453" w:name="_Toc27830"/>
      <w:bookmarkStart w:id="454" w:name="_Toc1999639676"/>
      <w:bookmarkStart w:id="455" w:name="_Toc18320"/>
      <w:bookmarkStart w:id="456" w:name="_Toc104560886"/>
      <w:bookmarkStart w:id="457" w:name="_Toc4077"/>
      <w:bookmarkStart w:id="458" w:name="_Toc103848572"/>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38.招标代理服务费</w:t>
      </w:r>
      <w:bookmarkEnd w:id="452"/>
      <w:bookmarkEnd w:id="453"/>
      <w:bookmarkEnd w:id="454"/>
      <w:bookmarkEnd w:id="455"/>
      <w:bookmarkEnd w:id="456"/>
      <w:bookmarkEnd w:id="457"/>
      <w:bookmarkEnd w:id="458"/>
    </w:p>
    <w:p w14:paraId="33D5DDC0">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38.1中标人是否交纳投招标代理服务费及相关要求见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须知前附表</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73704A17">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59" w:name="_Toc1613"/>
      <w:bookmarkStart w:id="460" w:name="_Toc107246268"/>
      <w:bookmarkStart w:id="461" w:name="_Toc103848573"/>
      <w:bookmarkStart w:id="462" w:name="_Toc104560887"/>
      <w:bookmarkStart w:id="463" w:name="_Toc25188"/>
      <w:bookmarkStart w:id="464" w:name="_Toc4248"/>
      <w:bookmarkStart w:id="465" w:name="_Toc1972442629"/>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39.其他规定</w:t>
      </w:r>
      <w:bookmarkEnd w:id="459"/>
      <w:bookmarkEnd w:id="460"/>
      <w:bookmarkEnd w:id="461"/>
      <w:bookmarkEnd w:id="462"/>
      <w:bookmarkEnd w:id="463"/>
      <w:bookmarkEnd w:id="464"/>
      <w:bookmarkEnd w:id="465"/>
    </w:p>
    <w:p w14:paraId="46DF810F">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39.1投标文件的其他规定见</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须知前附</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表。</w:t>
      </w:r>
    </w:p>
    <w:p w14:paraId="4D09F576">
      <w:pPr>
        <w:pStyle w:val="2"/>
        <w:spacing w:line="360" w:lineRule="auto"/>
        <w:ind w:left="0" w:leftChars="0" w:right="21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466" w:name="_Toc1241"/>
      <w:bookmarkStart w:id="467" w:name="_Toc103848574"/>
      <w:bookmarkStart w:id="468" w:name="_Toc32128"/>
      <w:bookmarkStart w:id="469" w:name="_Toc138206864"/>
      <w:bookmarkStart w:id="470" w:name="_Toc107246269"/>
      <w:bookmarkStart w:id="471" w:name="_Toc104560888"/>
      <w:bookmarkStart w:id="472" w:name="_Toc21314"/>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40.文件解释权</w:t>
      </w:r>
      <w:bookmarkEnd w:id="466"/>
      <w:bookmarkEnd w:id="467"/>
      <w:bookmarkEnd w:id="468"/>
      <w:bookmarkEnd w:id="469"/>
      <w:bookmarkEnd w:id="470"/>
      <w:bookmarkEnd w:id="471"/>
      <w:bookmarkEnd w:id="472"/>
    </w:p>
    <w:p w14:paraId="0536EA98">
      <w:pPr>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40.1本招标文件的解释权归采购人（或采购代理机构）所有。</w:t>
      </w:r>
    </w:p>
    <w:bookmarkEnd w:id="300"/>
    <w:p w14:paraId="471443F8">
      <w:pPr>
        <w:pStyle w:val="34"/>
        <w:numPr>
          <w:ilvl w:val="0"/>
          <w:numId w:val="1"/>
        </w:numPr>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73" w:name="_Toc91836563"/>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Start w:id="474" w:name="_Toc1412940841"/>
      <w:bookmarkStart w:id="475" w:name="_Toc449"/>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评标方法与评标标准</w:t>
      </w:r>
      <w:bookmarkEnd w:id="474"/>
      <w:bookmarkEnd w:id="475"/>
    </w:p>
    <w:p w14:paraId="561633D1">
      <w:pPr>
        <w:spacing w:line="360" w:lineRule="auto"/>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一、评标方法</w:t>
      </w:r>
    </w:p>
    <w:p w14:paraId="3D4131EE">
      <w:pPr>
        <w:spacing w:line="360" w:lineRule="auto"/>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评委会将对确定为实质性响应采购文件要求的投标文件进行评价和比较，评标采用综合评估法。</w:t>
      </w:r>
    </w:p>
    <w:p w14:paraId="51EF44CF">
      <w:pPr>
        <w:spacing w:line="360" w:lineRule="auto"/>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二、评标标准</w:t>
      </w:r>
    </w:p>
    <w:p w14:paraId="2FE72B92">
      <w:pPr>
        <w:spacing w:line="360" w:lineRule="auto"/>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本项目采用综合评分法确定中标候选人。评标委员会将按下列评分办法和标准进行评分，总分值为100分。</w:t>
      </w:r>
    </w:p>
    <w:bookmarkEnd w:id="473"/>
    <w:tbl>
      <w:tblPr>
        <w:tblStyle w:val="3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008"/>
        <w:gridCol w:w="917"/>
        <w:gridCol w:w="6009"/>
        <w:gridCol w:w="490"/>
      </w:tblGrid>
      <w:tr w14:paraId="1C5D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289" w:type="pct"/>
            <w:noWrap w:val="0"/>
            <w:vAlign w:val="center"/>
          </w:tcPr>
          <w:p w14:paraId="7757D252">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bookmarkStart w:id="476" w:name="_Toc3665"/>
            <w:bookmarkStart w:id="477" w:name="_Toc91836564"/>
            <w:r>
              <w:rPr>
                <w:rFonts w:hint="default" w:ascii="Times New Roman" w:hAnsi="Times New Roman" w:cs="Times New Roman"/>
                <w:b/>
                <w:color w:val="000000" w:themeColor="text1"/>
                <w:szCs w:val="21"/>
                <w:highlight w:val="none"/>
                <w:u w:val="none"/>
                <w14:textFill>
                  <w14:solidFill>
                    <w14:schemeClr w14:val="tx1"/>
                  </w14:solidFill>
                </w14:textFill>
              </w:rPr>
              <w:t>序号</w:t>
            </w:r>
          </w:p>
        </w:tc>
        <w:tc>
          <w:tcPr>
            <w:tcW w:w="1076" w:type="pct"/>
            <w:gridSpan w:val="2"/>
            <w:noWrap w:val="0"/>
            <w:vAlign w:val="center"/>
          </w:tcPr>
          <w:p w14:paraId="2100206A">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评审因素</w:t>
            </w:r>
          </w:p>
        </w:tc>
        <w:tc>
          <w:tcPr>
            <w:tcW w:w="3360" w:type="pct"/>
            <w:noWrap w:val="0"/>
            <w:vAlign w:val="center"/>
          </w:tcPr>
          <w:p w14:paraId="431E8625">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评审标准</w:t>
            </w:r>
          </w:p>
        </w:tc>
        <w:tc>
          <w:tcPr>
            <w:tcW w:w="274" w:type="pct"/>
            <w:noWrap w:val="0"/>
            <w:vAlign w:val="center"/>
          </w:tcPr>
          <w:p w14:paraId="2E8C8C2B">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分值</w:t>
            </w:r>
          </w:p>
        </w:tc>
      </w:tr>
      <w:tr w14:paraId="213E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289" w:type="pct"/>
            <w:noWrap w:val="0"/>
            <w:vAlign w:val="center"/>
          </w:tcPr>
          <w:p w14:paraId="35C713FA">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1</w:t>
            </w:r>
          </w:p>
        </w:tc>
        <w:tc>
          <w:tcPr>
            <w:tcW w:w="563" w:type="pct"/>
            <w:noWrap w:val="0"/>
            <w:vAlign w:val="center"/>
          </w:tcPr>
          <w:p w14:paraId="3ECBF226">
            <w:pPr>
              <w:widowControl/>
              <w:spacing w:line="360" w:lineRule="auto"/>
              <w:jc w:val="center"/>
              <w:rPr>
                <w:rFonts w:hint="eastAsia"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价格分</w:t>
            </w:r>
          </w:p>
          <w:p w14:paraId="024B714D">
            <w:pPr>
              <w:widowControl/>
              <w:spacing w:line="360" w:lineRule="auto"/>
              <w:jc w:val="center"/>
              <w:rPr>
                <w:rFonts w:hint="default" w:ascii="Times New Roman" w:hAnsi="Times New Roman" w:eastAsia="宋体"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（30分）</w:t>
            </w:r>
          </w:p>
        </w:tc>
        <w:tc>
          <w:tcPr>
            <w:tcW w:w="512" w:type="pct"/>
            <w:noWrap w:val="0"/>
            <w:vAlign w:val="center"/>
          </w:tcPr>
          <w:p w14:paraId="53C8CCEA">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价格</w:t>
            </w:r>
          </w:p>
          <w:p w14:paraId="013B2357">
            <w:pPr>
              <w:widowControl/>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（30分）</w:t>
            </w:r>
          </w:p>
        </w:tc>
        <w:tc>
          <w:tcPr>
            <w:tcW w:w="3360" w:type="pct"/>
            <w:noWrap w:val="0"/>
            <w:vAlign w:val="center"/>
          </w:tcPr>
          <w:p w14:paraId="5DCF720C">
            <w:pPr>
              <w:spacing w:line="360" w:lineRule="auto"/>
              <w:rPr>
                <w:rFonts w:hint="default" w:ascii="Times New Roman" w:hAnsi="Times New Roman" w:cs="Times New Roman"/>
                <w:color w:val="000000" w:themeColor="text1"/>
                <w:kern w:val="0"/>
                <w:szCs w:val="21"/>
                <w:highlight w:val="none"/>
                <w:u w:val="none"/>
                <w14:textFill>
                  <w14:solidFill>
                    <w14:schemeClr w14:val="tx1"/>
                  </w14:solidFill>
                </w14:textFill>
              </w:rPr>
            </w:pPr>
            <w:r>
              <w:rPr>
                <w:rFonts w:hint="default" w:ascii="Times New Roman" w:hAnsi="Times New Roman" w:cs="Times New Roman"/>
                <w:color w:val="000000" w:themeColor="text1"/>
                <w:kern w:val="0"/>
                <w:szCs w:val="21"/>
                <w:highlight w:val="none"/>
                <w:u w:val="none"/>
                <w14:textFill>
                  <w14:solidFill>
                    <w14:schemeClr w14:val="tx1"/>
                  </w14:solidFill>
                </w14:textFill>
              </w:rPr>
              <w:t>满足招标文件要求且投标价格最低的投标报价为评标基准价，其价格分为满分。其他供应商的价格分统一按照下列公式计算：</w:t>
            </w:r>
          </w:p>
          <w:p w14:paraId="1A563105">
            <w:pPr>
              <w:spacing w:line="360" w:lineRule="auto"/>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kern w:val="0"/>
                <w:szCs w:val="21"/>
                <w:highlight w:val="none"/>
                <w:u w:val="none"/>
                <w14:textFill>
                  <w14:solidFill>
                    <w14:schemeClr w14:val="tx1"/>
                  </w14:solidFill>
                </w14:textFill>
              </w:rPr>
              <w:t>投标报价得分=(评标基准价／投标报价)×30</w:t>
            </w:r>
          </w:p>
        </w:tc>
        <w:tc>
          <w:tcPr>
            <w:tcW w:w="274" w:type="pct"/>
            <w:noWrap w:val="0"/>
            <w:vAlign w:val="center"/>
          </w:tcPr>
          <w:p w14:paraId="6498223C">
            <w:pPr>
              <w:widowControl/>
              <w:spacing w:line="360" w:lineRule="auto"/>
              <w:jc w:val="center"/>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kern w:val="0"/>
                <w:szCs w:val="21"/>
                <w:highlight w:val="none"/>
                <w:u w:val="none"/>
                <w14:textFill>
                  <w14:solidFill>
                    <w14:schemeClr w14:val="tx1"/>
                  </w14:solidFill>
                </w14:textFill>
              </w:rPr>
              <w:t>30</w:t>
            </w:r>
          </w:p>
        </w:tc>
      </w:tr>
      <w:tr w14:paraId="45E2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89" w:type="pct"/>
            <w:noWrap w:val="0"/>
            <w:vAlign w:val="center"/>
          </w:tcPr>
          <w:p w14:paraId="5B59FACF">
            <w:pPr>
              <w:spacing w:line="360" w:lineRule="auto"/>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2</w:t>
            </w:r>
          </w:p>
        </w:tc>
        <w:tc>
          <w:tcPr>
            <w:tcW w:w="563" w:type="pct"/>
            <w:noWrap w:val="0"/>
            <w:vAlign w:val="center"/>
          </w:tcPr>
          <w:p w14:paraId="484CAB85">
            <w:pPr>
              <w:spacing w:line="360" w:lineRule="auto"/>
              <w:jc w:val="center"/>
              <w:rPr>
                <w:rFonts w:hint="eastAsia"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技术分</w:t>
            </w:r>
          </w:p>
          <w:p w14:paraId="060503D5">
            <w:pPr>
              <w:spacing w:line="360" w:lineRule="auto"/>
              <w:jc w:val="center"/>
              <w:rPr>
                <w:rFonts w:hint="default" w:ascii="Times New Roman" w:hAnsi="Times New Roman" w:eastAsia="宋体"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（36分）</w:t>
            </w:r>
          </w:p>
        </w:tc>
        <w:tc>
          <w:tcPr>
            <w:tcW w:w="512" w:type="pct"/>
            <w:noWrap w:val="0"/>
            <w:vAlign w:val="center"/>
          </w:tcPr>
          <w:p w14:paraId="35184890">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技术响应</w:t>
            </w:r>
          </w:p>
          <w:p w14:paraId="0D38191C">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（36分）</w:t>
            </w:r>
          </w:p>
        </w:tc>
        <w:tc>
          <w:tcPr>
            <w:tcW w:w="3360" w:type="pct"/>
            <w:noWrap w:val="0"/>
            <w:vAlign w:val="center"/>
          </w:tcPr>
          <w:p w14:paraId="6CC1A7A1">
            <w:pPr>
              <w:spacing w:line="360" w:lineRule="auto"/>
              <w:rPr>
                <w:rFonts w:hint="default" w:ascii="Times New Roman" w:hAnsi="Times New Roman" w:eastAsia="宋体" w:cs="Times New Roman"/>
                <w:color w:val="000000" w:themeColor="text1"/>
                <w:szCs w:val="21"/>
                <w:highlight w:val="none"/>
                <w:u w:val="none"/>
                <w14:textFill>
                  <w14:solidFill>
                    <w14:schemeClr w14:val="tx1"/>
                  </w14:solidFill>
                </w14:textFill>
              </w:rPr>
            </w:pPr>
            <w:r>
              <w:rPr>
                <w:rFonts w:hint="default" w:ascii="Times New Roman" w:hAnsi="Times New Roman" w:eastAsia="宋体" w:cs="Times New Roman"/>
                <w:color w:val="000000" w:themeColor="text1"/>
                <w:szCs w:val="21"/>
                <w:highlight w:val="none"/>
                <w:u w:val="none"/>
                <w14:textFill>
                  <w14:solidFill>
                    <w14:schemeClr w14:val="tx1"/>
                  </w14:solidFill>
                </w14:textFill>
              </w:rPr>
              <w:t>设备技术要求全部满足招标要求的得满分</w:t>
            </w:r>
            <w:r>
              <w:rPr>
                <w:rFonts w:hint="eastAsia" w:cs="Times New Roman"/>
                <w:color w:val="000000" w:themeColor="text1"/>
                <w:szCs w:val="21"/>
                <w:highlight w:val="none"/>
                <w:u w:val="none"/>
                <w:lang w:val="en-US" w:eastAsia="zh-CN"/>
                <w14:textFill>
                  <w14:solidFill>
                    <w14:schemeClr w14:val="tx1"/>
                  </w14:solidFill>
                </w14:textFill>
              </w:rPr>
              <w:t>36</w:t>
            </w:r>
            <w:r>
              <w:rPr>
                <w:rFonts w:hint="default" w:ascii="Times New Roman" w:hAnsi="Times New Roman" w:eastAsia="宋体" w:cs="Times New Roman"/>
                <w:color w:val="000000" w:themeColor="text1"/>
                <w:szCs w:val="21"/>
                <w:highlight w:val="none"/>
                <w:u w:val="none"/>
                <w14:textFill>
                  <w14:solidFill>
                    <w14:schemeClr w14:val="tx1"/>
                  </w14:solidFill>
                </w14:textFill>
              </w:rPr>
              <w:t>分；在此基础上，招标文件中标注“★”的内容为实质性要求，有一项负偏离的，作无效投标处理；招标文件中标注“▲”的为重要参数，对这些重要参数负偏离或响应不充分的，则每项扣</w:t>
            </w:r>
            <w:r>
              <w:rPr>
                <w:rFonts w:hint="eastAsia" w:cs="Times New Roman"/>
                <w:color w:val="000000" w:themeColor="text1"/>
                <w:szCs w:val="21"/>
                <w:highlight w:val="none"/>
                <w:u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1"/>
                <w:highlight w:val="none"/>
                <w:u w:val="none"/>
                <w14:textFill>
                  <w14:solidFill>
                    <w14:schemeClr w14:val="tx1"/>
                  </w14:solidFill>
                </w14:textFill>
              </w:rPr>
              <w:t>分，</w:t>
            </w:r>
            <w:r>
              <w:rPr>
                <w:rFonts w:hint="eastAsia" w:cs="Times New Roman"/>
                <w:color w:val="000000" w:themeColor="text1"/>
                <w:szCs w:val="21"/>
                <w:highlight w:val="none"/>
                <w:u w:val="none"/>
                <w:lang w:val="en-US" w:eastAsia="zh-CN"/>
                <w14:textFill>
                  <w14:solidFill>
                    <w14:schemeClr w14:val="tx1"/>
                  </w14:solidFill>
                </w14:textFill>
              </w:rPr>
              <w:t>共计23项，</w:t>
            </w:r>
            <w:r>
              <w:rPr>
                <w:rFonts w:hint="default" w:ascii="Times New Roman" w:hAnsi="Times New Roman" w:eastAsia="宋体" w:cs="Times New Roman"/>
                <w:color w:val="000000" w:themeColor="text1"/>
                <w:szCs w:val="21"/>
                <w:highlight w:val="none"/>
                <w:u w:val="none"/>
                <w14:textFill>
                  <w14:solidFill>
                    <w14:schemeClr w14:val="tx1"/>
                  </w14:solidFill>
                </w14:textFill>
              </w:rPr>
              <w:t>其他非重要参数负偏离或响应不充分的，则每项扣</w:t>
            </w:r>
            <w:r>
              <w:rPr>
                <w:rFonts w:hint="eastAsia" w:cs="Times New Roman"/>
                <w:color w:val="000000" w:themeColor="text1"/>
                <w:szCs w:val="21"/>
                <w:highlight w:val="none"/>
                <w:u w:val="none"/>
                <w:lang w:val="en-US" w:eastAsia="zh-CN"/>
                <w14:textFill>
                  <w14:solidFill>
                    <w14:schemeClr w14:val="tx1"/>
                  </w14:solidFill>
                </w14:textFill>
              </w:rPr>
              <w:t>0.125</w:t>
            </w:r>
            <w:r>
              <w:rPr>
                <w:rFonts w:hint="default" w:ascii="Times New Roman" w:hAnsi="Times New Roman" w:eastAsia="宋体" w:cs="Times New Roman"/>
                <w:color w:val="000000" w:themeColor="text1"/>
                <w:szCs w:val="21"/>
                <w:highlight w:val="none"/>
                <w:u w:val="none"/>
                <w14:textFill>
                  <w14:solidFill>
                    <w14:schemeClr w14:val="tx1"/>
                  </w14:solidFill>
                </w14:textFill>
              </w:rPr>
              <w:t>分</w:t>
            </w:r>
            <w:r>
              <w:rPr>
                <w:rFonts w:hint="eastAsia" w:cs="Times New Roman"/>
                <w:color w:val="000000" w:themeColor="text1"/>
                <w:szCs w:val="21"/>
                <w:highlight w:val="none"/>
                <w:u w:val="none"/>
                <w:lang w:eastAsia="zh-CN"/>
                <w14:textFill>
                  <w14:solidFill>
                    <w14:schemeClr w14:val="tx1"/>
                  </w14:solidFill>
                </w14:textFill>
              </w:rPr>
              <w:t>，</w:t>
            </w:r>
            <w:r>
              <w:rPr>
                <w:rFonts w:hint="eastAsia" w:cs="Times New Roman"/>
                <w:color w:val="000000" w:themeColor="text1"/>
                <w:szCs w:val="21"/>
                <w:highlight w:val="none"/>
                <w:u w:val="none"/>
                <w:lang w:val="en-US" w:eastAsia="zh-CN"/>
                <w14:textFill>
                  <w14:solidFill>
                    <w14:schemeClr w14:val="tx1"/>
                  </w14:solidFill>
                </w14:textFill>
              </w:rPr>
              <w:t>共计104项</w:t>
            </w:r>
            <w:r>
              <w:rPr>
                <w:rFonts w:hint="default" w:ascii="Times New Roman" w:hAnsi="Times New Roman" w:eastAsia="宋体" w:cs="Times New Roman"/>
                <w:color w:val="000000" w:themeColor="text1"/>
                <w:szCs w:val="21"/>
                <w:highlight w:val="none"/>
                <w:u w:val="none"/>
                <w14:textFill>
                  <w14:solidFill>
                    <w14:schemeClr w14:val="tx1"/>
                  </w14:solidFill>
                </w14:textFill>
              </w:rPr>
              <w:t>。</w:t>
            </w:r>
          </w:p>
          <w:p w14:paraId="23B6F141">
            <w:pPr>
              <w:spacing w:line="360" w:lineRule="auto"/>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eastAsia="宋体" w:cs="Times New Roman"/>
                <w:b/>
                <w:bCs/>
                <w:color w:val="000000" w:themeColor="text1"/>
                <w:szCs w:val="21"/>
                <w:highlight w:val="none"/>
                <w:u w:val="none"/>
                <w14:textFill>
                  <w14:solidFill>
                    <w14:schemeClr w14:val="tx1"/>
                  </w14:solidFill>
                </w14:textFill>
              </w:rPr>
              <w:t>注：</w:t>
            </w:r>
            <w:r>
              <w:rPr>
                <w:rFonts w:hint="default" w:ascii="Times New Roman" w:hAnsi="Times New Roman" w:eastAsia="宋体" w:cs="Times New Roman"/>
                <w:b/>
                <w:bCs/>
                <w:color w:val="000000" w:themeColor="text1"/>
                <w:sz w:val="21"/>
                <w:szCs w:val="21"/>
                <w:highlight w:val="none"/>
                <w:u w:val="none"/>
                <w:lang w:eastAsia="zh-CN"/>
                <w14:textFill>
                  <w14:solidFill>
                    <w14:schemeClr w14:val="tx1"/>
                  </w14:solidFill>
                </w14:textFill>
              </w:rPr>
              <w:t>标注“★”和“▲”的均必须在投标文件内提供技术支持资料（第</w:t>
            </w:r>
            <w:r>
              <w:rPr>
                <w:rFonts w:hint="eastAsia" w:ascii="Times New Roman" w:hAnsi="Times New Roman" w:eastAsia="宋体" w:cs="Times New Roman"/>
                <w:b/>
                <w:bCs/>
                <w:color w:val="000000" w:themeColor="text1"/>
                <w:sz w:val="21"/>
                <w:szCs w:val="21"/>
                <w:highlight w:val="none"/>
                <w:u w:val="none"/>
                <w:lang w:val="en-US" w:eastAsia="zh-CN"/>
                <w14:textFill>
                  <w14:solidFill>
                    <w14:schemeClr w14:val="tx1"/>
                  </w14:solidFill>
                </w14:textFill>
              </w:rPr>
              <w:t>四</w:t>
            </w:r>
            <w:r>
              <w:rPr>
                <w:rFonts w:hint="default" w:ascii="Times New Roman" w:hAnsi="Times New Roman" w:eastAsia="宋体" w:cs="Times New Roman"/>
                <w:b/>
                <w:bCs/>
                <w:color w:val="000000" w:themeColor="text1"/>
                <w:sz w:val="21"/>
                <w:szCs w:val="21"/>
                <w:highlight w:val="none"/>
                <w:u w:val="none"/>
                <w:lang w:eastAsia="zh-CN"/>
                <w14:textFill>
                  <w14:solidFill>
                    <w14:schemeClr w14:val="tx1"/>
                  </w14:solidFill>
                </w14:textFill>
              </w:rPr>
              <w:t>章</w:t>
            </w:r>
            <w:r>
              <w:rPr>
                <w:rFonts w:hint="eastAsia" w:cs="Times New Roman"/>
                <w:b/>
                <w:bCs/>
                <w:color w:val="000000" w:themeColor="text1"/>
                <w:sz w:val="21"/>
                <w:szCs w:val="21"/>
                <w:highlight w:val="none"/>
                <w:u w:val="none"/>
                <w:lang w:val="en-US" w:eastAsia="zh-CN"/>
                <w14:textFill>
                  <w14:solidFill>
                    <w14:schemeClr w14:val="tx1"/>
                  </w14:solidFill>
                </w14:textFill>
              </w:rPr>
              <w:t>采购需求</w:t>
            </w:r>
            <w:r>
              <w:rPr>
                <w:rFonts w:hint="default" w:ascii="Times New Roman" w:hAnsi="Times New Roman" w:eastAsia="宋体" w:cs="Times New Roman"/>
                <w:b/>
                <w:bCs/>
                <w:color w:val="000000" w:themeColor="text1"/>
                <w:sz w:val="21"/>
                <w:szCs w:val="21"/>
                <w:highlight w:val="none"/>
                <w:u w:val="none"/>
                <w:lang w:eastAsia="zh-CN"/>
                <w14:textFill>
                  <w14:solidFill>
                    <w14:schemeClr w14:val="tx1"/>
                  </w14:solidFill>
                </w14:textFill>
              </w:rPr>
              <w:t>中“</w:t>
            </w:r>
            <w:r>
              <w:rPr>
                <w:rFonts w:hint="eastAsia" w:ascii="Times New Roman" w:hAnsi="Times New Roman" w:eastAsia="宋体" w:cs="Times New Roman"/>
                <w:b/>
                <w:bCs/>
                <w:color w:val="000000" w:themeColor="text1"/>
                <w:sz w:val="21"/>
                <w:szCs w:val="21"/>
                <w:highlight w:val="none"/>
                <w:u w:val="none"/>
                <w:lang w:val="en-US" w:eastAsia="zh-CN"/>
                <w14:textFill>
                  <w14:solidFill>
                    <w14:schemeClr w14:val="tx1"/>
                  </w14:solidFill>
                </w14:textFill>
              </w:rPr>
              <w:t>技术要求</w:t>
            </w:r>
            <w:r>
              <w:rPr>
                <w:rFonts w:hint="default" w:ascii="Times New Roman" w:hAnsi="Times New Roman" w:eastAsia="宋体" w:cs="Times New Roman"/>
                <w:b/>
                <w:bCs/>
                <w:color w:val="000000" w:themeColor="text1"/>
                <w:sz w:val="21"/>
                <w:szCs w:val="21"/>
                <w:highlight w:val="none"/>
                <w:u w:val="none"/>
                <w:lang w:eastAsia="zh-CN"/>
                <w14:textFill>
                  <w14:solidFill>
                    <w14:schemeClr w14:val="tx1"/>
                  </w14:solidFill>
                </w14:textFill>
              </w:rPr>
              <w:t>”内有明确要求的根据要求提供；未要求的，提供明确说明该技术内容的公开发行的产品彩页或产品说明书或由国家认可的认证（检测）机构出具的检测报告</w:t>
            </w:r>
            <w:r>
              <w:rPr>
                <w:rFonts w:hint="default" w:ascii="Times New Roman" w:hAnsi="Times New Roman" w:cs="Times New Roman"/>
                <w:b/>
                <w:bCs/>
                <w:color w:val="000000" w:themeColor="text1"/>
                <w:kern w:val="0"/>
                <w:szCs w:val="21"/>
                <w:highlight w:val="none"/>
                <w:u w:val="none"/>
                <w14:textFill>
                  <w14:solidFill>
                    <w14:schemeClr w14:val="tx1"/>
                  </w14:solidFill>
                </w14:textFill>
              </w:rPr>
              <w:t>等</w:t>
            </w:r>
            <w:r>
              <w:rPr>
                <w:rFonts w:hint="default" w:ascii="Times New Roman" w:hAnsi="Times New Roman" w:eastAsia="宋体" w:cs="Times New Roman"/>
                <w:b/>
                <w:bCs/>
                <w:color w:val="000000" w:themeColor="text1"/>
                <w:sz w:val="21"/>
                <w:szCs w:val="21"/>
                <w:highlight w:val="none"/>
                <w:u w:val="none"/>
                <w:lang w:eastAsia="zh-CN"/>
                <w14:textFill>
                  <w14:solidFill>
                    <w14:schemeClr w14:val="tx1"/>
                  </w14:solidFill>
                </w14:textFill>
              </w:rPr>
              <w:t>），未提供技术支持资料的，评审时不予认可</w:t>
            </w:r>
            <w:r>
              <w:rPr>
                <w:rFonts w:hint="default" w:ascii="Times New Roman" w:hAnsi="Times New Roman" w:eastAsia="宋体" w:cs="Times New Roman"/>
                <w:b/>
                <w:bCs/>
                <w:color w:val="000000" w:themeColor="text1"/>
                <w:kern w:val="0"/>
                <w:sz w:val="21"/>
                <w:szCs w:val="21"/>
                <w:highlight w:val="none"/>
                <w:u w:val="none"/>
                <w14:textFill>
                  <w14:solidFill>
                    <w14:schemeClr w14:val="tx1"/>
                  </w14:solidFill>
                </w14:textFill>
              </w:rPr>
              <w:t>。</w:t>
            </w:r>
          </w:p>
        </w:tc>
        <w:tc>
          <w:tcPr>
            <w:tcW w:w="274" w:type="pct"/>
            <w:noWrap w:val="0"/>
            <w:vAlign w:val="center"/>
          </w:tcPr>
          <w:p w14:paraId="371F7D7A">
            <w:pPr>
              <w:spacing w:line="360" w:lineRule="auto"/>
              <w:jc w:val="center"/>
              <w:rPr>
                <w:rFonts w:hint="default" w:ascii="Times New Roman" w:hAnsi="Times New Roman" w:eastAsia="宋体" w:cs="Times New Roman"/>
                <w:color w:val="000000" w:themeColor="text1"/>
                <w:szCs w:val="21"/>
                <w:highlight w:val="none"/>
                <w:u w:val="none"/>
                <w:lang w:val="en-US" w:eastAsia="zh-CN"/>
                <w14:textFill>
                  <w14:solidFill>
                    <w14:schemeClr w14:val="tx1"/>
                  </w14:solidFill>
                </w14:textFill>
              </w:rPr>
            </w:pPr>
            <w:r>
              <w:rPr>
                <w:rFonts w:hint="eastAsia" w:cs="Times New Roman"/>
                <w:color w:val="000000" w:themeColor="text1"/>
                <w:kern w:val="0"/>
                <w:szCs w:val="21"/>
                <w:highlight w:val="none"/>
                <w:u w:val="none"/>
                <w:lang w:val="en-US" w:eastAsia="zh-CN"/>
                <w14:textFill>
                  <w14:solidFill>
                    <w14:schemeClr w14:val="tx1"/>
                  </w14:solidFill>
                </w14:textFill>
              </w:rPr>
              <w:t>36</w:t>
            </w:r>
          </w:p>
        </w:tc>
      </w:tr>
      <w:tr w14:paraId="218C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89" w:type="pct"/>
            <w:noWrap w:val="0"/>
            <w:vAlign w:val="center"/>
          </w:tcPr>
          <w:p w14:paraId="129B3037">
            <w:pPr>
              <w:spacing w:line="360" w:lineRule="auto"/>
              <w:jc w:val="center"/>
              <w:rPr>
                <w:rFonts w:hint="eastAsia" w:ascii="Times New Roman" w:hAnsi="Times New Roman" w:eastAsia="宋体"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3</w:t>
            </w:r>
          </w:p>
        </w:tc>
        <w:tc>
          <w:tcPr>
            <w:tcW w:w="563" w:type="pct"/>
            <w:vMerge w:val="restart"/>
            <w:noWrap w:val="0"/>
            <w:vAlign w:val="center"/>
          </w:tcPr>
          <w:p w14:paraId="5E561D16">
            <w:pPr>
              <w:spacing w:line="360" w:lineRule="auto"/>
              <w:jc w:val="center"/>
              <w:rPr>
                <w:rFonts w:hint="eastAsia"/>
                <w:b/>
                <w:bCs w:val="0"/>
                <w:color w:val="000000" w:themeColor="text1"/>
                <w:highlight w:val="none"/>
                <w:u w:val="none"/>
                <w:lang w:val="en-US" w:eastAsia="zh-CN"/>
                <w14:textFill>
                  <w14:solidFill>
                    <w14:schemeClr w14:val="tx1"/>
                  </w14:solidFill>
                </w14:textFill>
              </w:rPr>
            </w:pPr>
            <w:r>
              <w:rPr>
                <w:rFonts w:hint="eastAsia"/>
                <w:b/>
                <w:bCs w:val="0"/>
                <w:color w:val="000000" w:themeColor="text1"/>
                <w:highlight w:val="none"/>
                <w:u w:val="none"/>
                <w:lang w:val="en-US" w:eastAsia="zh-CN"/>
                <w14:textFill>
                  <w14:solidFill>
                    <w14:schemeClr w14:val="tx1"/>
                  </w14:solidFill>
                </w14:textFill>
              </w:rPr>
              <w:t>商务分</w:t>
            </w:r>
          </w:p>
          <w:p w14:paraId="3363F9C8">
            <w:pPr>
              <w:spacing w:line="360" w:lineRule="auto"/>
              <w:jc w:val="center"/>
              <w:rPr>
                <w:rFonts w:hint="default" w:eastAsia="宋体"/>
                <w:b/>
                <w:bCs w:val="0"/>
                <w:color w:val="000000" w:themeColor="text1"/>
                <w:highlight w:val="none"/>
                <w:u w:val="none"/>
                <w:lang w:val="en-US" w:eastAsia="zh-CN"/>
                <w14:textFill>
                  <w14:solidFill>
                    <w14:schemeClr w14:val="tx1"/>
                  </w14:solidFill>
                </w14:textFill>
              </w:rPr>
            </w:pPr>
            <w:r>
              <w:rPr>
                <w:rFonts w:hint="eastAsia"/>
                <w:b/>
                <w:bCs w:val="0"/>
                <w:color w:val="000000" w:themeColor="text1"/>
                <w:highlight w:val="none"/>
                <w:u w:val="none"/>
                <w:lang w:val="en-US" w:eastAsia="zh-CN"/>
                <w14:textFill>
                  <w14:solidFill>
                    <w14:schemeClr w14:val="tx1"/>
                  </w14:solidFill>
                </w14:textFill>
              </w:rPr>
              <w:t>（34分）</w:t>
            </w:r>
          </w:p>
        </w:tc>
        <w:tc>
          <w:tcPr>
            <w:tcW w:w="512" w:type="pct"/>
            <w:noWrap w:val="0"/>
            <w:vAlign w:val="center"/>
          </w:tcPr>
          <w:p w14:paraId="6EB7967C">
            <w:pPr>
              <w:spacing w:line="360" w:lineRule="auto"/>
              <w:jc w:val="center"/>
              <w:rPr>
                <w:rFonts w:hint="eastAsia"/>
                <w:b/>
                <w:bCs w:val="0"/>
                <w:color w:val="000000" w:themeColor="text1"/>
                <w:highlight w:val="none"/>
                <w:u w:val="none"/>
                <w14:textFill>
                  <w14:solidFill>
                    <w14:schemeClr w14:val="tx1"/>
                  </w14:solidFill>
                </w14:textFill>
              </w:rPr>
            </w:pPr>
            <w:r>
              <w:rPr>
                <w:rFonts w:hint="eastAsia"/>
                <w:b/>
                <w:bCs w:val="0"/>
                <w:color w:val="000000" w:themeColor="text1"/>
                <w:highlight w:val="none"/>
                <w:u w:val="none"/>
                <w14:textFill>
                  <w14:solidFill>
                    <w14:schemeClr w14:val="tx1"/>
                  </w14:solidFill>
                </w14:textFill>
              </w:rPr>
              <w:t>实施方案</w:t>
            </w:r>
          </w:p>
          <w:p w14:paraId="5A97B776">
            <w:pPr>
              <w:spacing w:line="360" w:lineRule="auto"/>
              <w:jc w:val="center"/>
              <w:rPr>
                <w:rFonts w:hint="eastAsia" w:eastAsia="宋体"/>
                <w:b/>
                <w:bCs w:val="0"/>
                <w:color w:val="000000" w:themeColor="text1"/>
                <w:highlight w:val="none"/>
                <w:u w:val="none"/>
                <w:lang w:eastAsia="zh-CN"/>
                <w14:textFill>
                  <w14:solidFill>
                    <w14:schemeClr w14:val="tx1"/>
                  </w14:solidFill>
                </w14:textFill>
              </w:rPr>
            </w:pPr>
            <w:r>
              <w:rPr>
                <w:rFonts w:hint="eastAsia"/>
                <w:b/>
                <w:bCs w:val="0"/>
                <w:color w:val="000000" w:themeColor="text1"/>
                <w:highlight w:val="none"/>
                <w:u w:val="none"/>
                <w:lang w:eastAsia="zh-CN"/>
                <w14:textFill>
                  <w14:solidFill>
                    <w14:schemeClr w14:val="tx1"/>
                  </w14:solidFill>
                </w14:textFill>
              </w:rPr>
              <w:t>（</w:t>
            </w:r>
            <w:r>
              <w:rPr>
                <w:rFonts w:hint="eastAsia"/>
                <w:b/>
                <w:bCs w:val="0"/>
                <w:color w:val="000000" w:themeColor="text1"/>
                <w:highlight w:val="none"/>
                <w:u w:val="none"/>
                <w:lang w:val="en-US" w:eastAsia="zh-CN"/>
                <w14:textFill>
                  <w14:solidFill>
                    <w14:schemeClr w14:val="tx1"/>
                  </w14:solidFill>
                </w14:textFill>
              </w:rPr>
              <w:t>9分</w:t>
            </w:r>
            <w:r>
              <w:rPr>
                <w:rFonts w:hint="eastAsia"/>
                <w:b/>
                <w:bCs w:val="0"/>
                <w:color w:val="000000" w:themeColor="text1"/>
                <w:highlight w:val="none"/>
                <w:u w:val="none"/>
                <w:lang w:eastAsia="zh-CN"/>
                <w14:textFill>
                  <w14:solidFill>
                    <w14:schemeClr w14:val="tx1"/>
                  </w14:solidFill>
                </w14:textFill>
              </w:rPr>
              <w:t>）</w:t>
            </w:r>
          </w:p>
        </w:tc>
        <w:tc>
          <w:tcPr>
            <w:tcW w:w="3360" w:type="pct"/>
            <w:noWrap w:val="0"/>
            <w:vAlign w:val="center"/>
          </w:tcPr>
          <w:p w14:paraId="139D6C85">
            <w:pPr>
              <w:spacing w:line="360" w:lineRule="auto"/>
              <w:jc w:val="left"/>
              <w:rPr>
                <w:rFonts w:hint="default" w:ascii="Times New Roman" w:hAnsi="Times New Roman" w:cs="Times New Roman"/>
                <w:bCs/>
                <w:color w:val="000000" w:themeColor="text1"/>
                <w:szCs w:val="21"/>
                <w:highlight w:val="none"/>
                <w:u w:val="none"/>
                <w14:textFill>
                  <w14:solidFill>
                    <w14:schemeClr w14:val="tx1"/>
                  </w14:solidFill>
                </w14:textFill>
              </w:rPr>
            </w:pPr>
            <w:r>
              <w:rPr>
                <w:rFonts w:hint="default" w:ascii="Times New Roman" w:hAnsi="Times New Roman" w:cs="Times New Roman"/>
                <w:bCs/>
                <w:color w:val="000000" w:themeColor="text1"/>
                <w:szCs w:val="21"/>
                <w:highlight w:val="none"/>
                <w:u w:val="none"/>
                <w14:textFill>
                  <w14:solidFill>
                    <w14:schemeClr w14:val="tx1"/>
                  </w14:solidFill>
                </w14:textFill>
              </w:rPr>
              <w:t>根据</w:t>
            </w:r>
            <w:r>
              <w:rPr>
                <w:rFonts w:hint="eastAsia" w:cs="Times New Roman"/>
                <w:bCs/>
                <w:color w:val="000000" w:themeColor="text1"/>
                <w:szCs w:val="21"/>
                <w:highlight w:val="none"/>
                <w:u w:val="none"/>
                <w:lang w:eastAsia="zh-CN"/>
                <w14:textFill>
                  <w14:solidFill>
                    <w14:schemeClr w14:val="tx1"/>
                  </w14:solidFill>
                </w14:textFill>
              </w:rPr>
              <w:t>供应商</w:t>
            </w:r>
            <w:r>
              <w:rPr>
                <w:rFonts w:hint="default" w:ascii="Times New Roman" w:hAnsi="Times New Roman" w:cs="Times New Roman"/>
                <w:bCs/>
                <w:color w:val="000000" w:themeColor="text1"/>
                <w:szCs w:val="21"/>
                <w:highlight w:val="none"/>
                <w:u w:val="none"/>
                <w14:textFill>
                  <w14:solidFill>
                    <w14:schemeClr w14:val="tx1"/>
                  </w14:solidFill>
                </w14:textFill>
              </w:rPr>
              <w:t>提供的整体实施方案、安装方案、进度安排、设备使用维护方案、验收方案进行评审：</w:t>
            </w:r>
          </w:p>
          <w:p w14:paraId="355F4D8E">
            <w:pPr>
              <w:spacing w:line="360" w:lineRule="auto"/>
              <w:jc w:val="left"/>
              <w:rPr>
                <w:rFonts w:hint="default" w:ascii="Times New Roman" w:hAnsi="Times New Roman" w:cs="Times New Roman"/>
                <w:bCs/>
                <w:color w:val="000000" w:themeColor="text1"/>
                <w:szCs w:val="21"/>
                <w:highlight w:val="none"/>
                <w:u w:val="none"/>
                <w14:textFill>
                  <w14:solidFill>
                    <w14:schemeClr w14:val="tx1"/>
                  </w14:solidFill>
                </w14:textFill>
              </w:rPr>
            </w:pPr>
            <w:r>
              <w:rPr>
                <w:rFonts w:hint="default" w:ascii="Times New Roman" w:hAnsi="Times New Roman" w:cs="Times New Roman"/>
                <w:bCs/>
                <w:color w:val="000000" w:themeColor="text1"/>
                <w:szCs w:val="21"/>
                <w:highlight w:val="none"/>
                <w:u w:val="none"/>
                <w14:textFill>
                  <w14:solidFill>
                    <w14:schemeClr w14:val="tx1"/>
                  </w14:solidFill>
                </w14:textFill>
              </w:rPr>
              <w:t>（1）实施方案体系完整全面，进度规划科学合理，落地可执行性强，各项方案内容优于项目需求得 9 分；</w:t>
            </w:r>
          </w:p>
          <w:p w14:paraId="0201725A">
            <w:pPr>
              <w:spacing w:line="360" w:lineRule="auto"/>
              <w:jc w:val="left"/>
              <w:rPr>
                <w:rFonts w:hint="default" w:ascii="Times New Roman" w:hAnsi="Times New Roman" w:cs="Times New Roman"/>
                <w:bCs/>
                <w:color w:val="000000" w:themeColor="text1"/>
                <w:szCs w:val="21"/>
                <w:highlight w:val="none"/>
                <w:u w:val="none"/>
                <w14:textFill>
                  <w14:solidFill>
                    <w14:schemeClr w14:val="tx1"/>
                  </w14:solidFill>
                </w14:textFill>
              </w:rPr>
            </w:pPr>
            <w:r>
              <w:rPr>
                <w:rFonts w:hint="default" w:ascii="Times New Roman" w:hAnsi="Times New Roman" w:cs="Times New Roman"/>
                <w:bCs/>
                <w:color w:val="000000" w:themeColor="text1"/>
                <w:szCs w:val="21"/>
                <w:highlight w:val="none"/>
                <w:u w:val="none"/>
                <w14:textFill>
                  <w14:solidFill>
                    <w14:schemeClr w14:val="tx1"/>
                  </w14:solidFill>
                </w14:textFill>
              </w:rPr>
              <w:t>（2）实施方案内容齐全，进度安排可行，各项方案能够充分满足项目需求得 6 分；</w:t>
            </w:r>
          </w:p>
          <w:p w14:paraId="7AC33251">
            <w:pPr>
              <w:spacing w:line="360" w:lineRule="auto"/>
              <w:jc w:val="left"/>
              <w:rPr>
                <w:rFonts w:hint="default" w:ascii="Times New Roman" w:hAnsi="Times New Roman" w:cs="Times New Roman"/>
                <w:bCs/>
                <w:color w:val="000000" w:themeColor="text1"/>
                <w:szCs w:val="21"/>
                <w:highlight w:val="none"/>
                <w:u w:val="none"/>
                <w14:textFill>
                  <w14:solidFill>
                    <w14:schemeClr w14:val="tx1"/>
                  </w14:solidFill>
                </w14:textFill>
              </w:rPr>
            </w:pPr>
            <w:r>
              <w:rPr>
                <w:rFonts w:hint="default" w:ascii="Times New Roman" w:hAnsi="Times New Roman" w:cs="Times New Roman"/>
                <w:bCs/>
                <w:color w:val="000000" w:themeColor="text1"/>
                <w:szCs w:val="21"/>
                <w:highlight w:val="none"/>
                <w:u w:val="none"/>
                <w14:textFill>
                  <w14:solidFill>
                    <w14:schemeClr w14:val="tx1"/>
                  </w14:solidFill>
                </w14:textFill>
              </w:rPr>
              <w:t>（3）实施方案内容存在缺项，进度安排合理性一般，仅能基本满足项目需求得 3 分；</w:t>
            </w:r>
          </w:p>
          <w:p w14:paraId="4FF7FF18">
            <w:pPr>
              <w:spacing w:line="360" w:lineRule="auto"/>
              <w:jc w:val="left"/>
              <w:rPr>
                <w:rFonts w:hint="default" w:ascii="Times New Roman" w:hAnsi="Times New Roman" w:cs="Times New Roman"/>
                <w:bCs/>
                <w:color w:val="000000" w:themeColor="text1"/>
                <w:szCs w:val="21"/>
                <w:highlight w:val="none"/>
                <w:u w:val="none"/>
                <w14:textFill>
                  <w14:solidFill>
                    <w14:schemeClr w14:val="tx1"/>
                  </w14:solidFill>
                </w14:textFill>
              </w:rPr>
            </w:pPr>
            <w:r>
              <w:rPr>
                <w:rFonts w:hint="default" w:ascii="Times New Roman" w:hAnsi="Times New Roman" w:cs="Times New Roman"/>
                <w:bCs/>
                <w:color w:val="000000" w:themeColor="text1"/>
                <w:szCs w:val="21"/>
                <w:highlight w:val="none"/>
                <w:u w:val="none"/>
                <w14:textFill>
                  <w14:solidFill>
                    <w14:schemeClr w14:val="tx1"/>
                  </w14:solidFill>
                </w14:textFill>
              </w:rPr>
              <w:t>（4）未提供实施方案不得分。</w:t>
            </w:r>
          </w:p>
        </w:tc>
        <w:tc>
          <w:tcPr>
            <w:tcW w:w="274" w:type="pct"/>
            <w:noWrap w:val="0"/>
            <w:vAlign w:val="center"/>
          </w:tcPr>
          <w:p w14:paraId="0E9C7AAB">
            <w:pPr>
              <w:spacing w:line="360" w:lineRule="auto"/>
              <w:jc w:val="center"/>
              <w:rPr>
                <w:rFonts w:hint="default" w:eastAsia="宋体" w:cs="Times New Roman"/>
                <w:color w:val="000000" w:themeColor="text1"/>
                <w:kern w:val="0"/>
                <w:szCs w:val="21"/>
                <w:highlight w:val="none"/>
                <w:u w:val="none"/>
                <w:lang w:val="en-US" w:eastAsia="zh-CN"/>
                <w14:textFill>
                  <w14:solidFill>
                    <w14:schemeClr w14:val="tx1"/>
                  </w14:solidFill>
                </w14:textFill>
              </w:rPr>
            </w:pPr>
            <w:r>
              <w:rPr>
                <w:rFonts w:hint="eastAsia"/>
                <w:bCs/>
                <w:color w:val="000000" w:themeColor="text1"/>
                <w:szCs w:val="21"/>
                <w:highlight w:val="none"/>
                <w:u w:val="none"/>
                <w:lang w:val="en-US" w:eastAsia="zh-CN"/>
                <w14:textFill>
                  <w14:solidFill>
                    <w14:schemeClr w14:val="tx1"/>
                  </w14:solidFill>
                </w14:textFill>
              </w:rPr>
              <w:t>9</w:t>
            </w:r>
          </w:p>
        </w:tc>
      </w:tr>
      <w:tr w14:paraId="325D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289" w:type="pct"/>
            <w:noWrap w:val="0"/>
            <w:vAlign w:val="center"/>
          </w:tcPr>
          <w:p w14:paraId="4330511F">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4</w:t>
            </w:r>
            <w:r>
              <w:rPr>
                <w:rFonts w:hint="default" w:ascii="Times New Roman" w:hAnsi="Times New Roman" w:cs="Times New Roman"/>
                <w:b/>
                <w:color w:val="000000" w:themeColor="text1"/>
                <w:szCs w:val="21"/>
                <w:highlight w:val="none"/>
                <w:u w:val="none"/>
                <w14:textFill>
                  <w14:solidFill>
                    <w14:schemeClr w14:val="tx1"/>
                  </w14:solidFill>
                </w14:textFill>
              </w:rPr>
              <w:t>.1</w:t>
            </w:r>
          </w:p>
        </w:tc>
        <w:tc>
          <w:tcPr>
            <w:tcW w:w="563" w:type="pct"/>
            <w:vMerge w:val="continue"/>
            <w:noWrap w:val="0"/>
            <w:vAlign w:val="center"/>
          </w:tcPr>
          <w:p w14:paraId="719483AD">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512" w:type="pct"/>
            <w:vMerge w:val="restart"/>
            <w:noWrap w:val="0"/>
            <w:vAlign w:val="center"/>
          </w:tcPr>
          <w:p w14:paraId="18BAC0F4">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售后服务</w:t>
            </w:r>
          </w:p>
          <w:p w14:paraId="2E774AD5">
            <w:pPr>
              <w:spacing w:line="360" w:lineRule="auto"/>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eastAsia="zh-CN"/>
                <w14:textFill>
                  <w14:solidFill>
                    <w14:schemeClr w14:val="tx1"/>
                  </w14:solidFill>
                </w14:textFill>
              </w:rPr>
              <w:t>（</w:t>
            </w:r>
            <w:r>
              <w:rPr>
                <w:rFonts w:hint="eastAsia" w:cs="Times New Roman"/>
                <w:b/>
                <w:color w:val="000000" w:themeColor="text1"/>
                <w:szCs w:val="21"/>
                <w:highlight w:val="none"/>
                <w:u w:val="none"/>
                <w:lang w:val="en-US" w:eastAsia="zh-CN"/>
                <w14:textFill>
                  <w14:solidFill>
                    <w14:schemeClr w14:val="tx1"/>
                  </w14:solidFill>
                </w14:textFill>
              </w:rPr>
              <w:t>20分</w:t>
            </w:r>
            <w:r>
              <w:rPr>
                <w:rFonts w:hint="eastAsia" w:cs="Times New Roman"/>
                <w:b/>
                <w:color w:val="000000" w:themeColor="text1"/>
                <w:szCs w:val="21"/>
                <w:highlight w:val="none"/>
                <w:u w:val="none"/>
                <w:lang w:eastAsia="zh-CN"/>
                <w14:textFill>
                  <w14:solidFill>
                    <w14:schemeClr w14:val="tx1"/>
                  </w14:solidFill>
                </w14:textFill>
              </w:rPr>
              <w:t>）</w:t>
            </w:r>
          </w:p>
        </w:tc>
        <w:tc>
          <w:tcPr>
            <w:tcW w:w="3360" w:type="pct"/>
            <w:noWrap w:val="0"/>
            <w:vAlign w:val="center"/>
          </w:tcPr>
          <w:p w14:paraId="579EA790">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供应商</w:t>
            </w:r>
            <w:r>
              <w:rPr>
                <w:rFonts w:hint="eastAsia"/>
                <w:color w:val="000000" w:themeColor="text1"/>
                <w:szCs w:val="21"/>
                <w:highlight w:val="none"/>
                <w14:textFill>
                  <w14:solidFill>
                    <w14:schemeClr w14:val="tx1"/>
                  </w14:solidFill>
                </w14:textFill>
              </w:rPr>
              <w:t>根据项目需求提供售后服务方案，方案包括但不限于售后服务体系、服务内容、故障解决方案、售后人员、响应时间及其他</w:t>
            </w:r>
            <w:r>
              <w:rPr>
                <w:rFonts w:hint="eastAsia"/>
                <w:color w:val="000000" w:themeColor="text1"/>
                <w:szCs w:val="21"/>
                <w:highlight w:val="none"/>
                <w:lang w:eastAsia="zh-CN"/>
                <w14:textFill>
                  <w14:solidFill>
                    <w14:schemeClr w14:val="tx1"/>
                  </w14:solidFill>
                </w14:textFill>
              </w:rPr>
              <w:t>供应商</w:t>
            </w:r>
            <w:r>
              <w:rPr>
                <w:rFonts w:hint="eastAsia"/>
                <w:color w:val="000000" w:themeColor="text1"/>
                <w:szCs w:val="21"/>
                <w:highlight w:val="none"/>
                <w14:textFill>
                  <w14:solidFill>
                    <w14:schemeClr w14:val="tx1"/>
                  </w14:solidFill>
                </w14:textFill>
              </w:rPr>
              <w:t>可提供的优惠条件等。</w:t>
            </w:r>
          </w:p>
          <w:p w14:paraId="7C27B49C">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1</w:t>
            </w:r>
            <w:r>
              <w:rPr>
                <w:rFonts w:hint="eastAsia" w:cs="Times New Roman"/>
                <w:bCs/>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售后方案满足采购需求，实用高效，售后服务体系完善，服务内容充实，故障解决方案合理、科学，优于项目需求得</w:t>
            </w:r>
            <w:r>
              <w:rPr>
                <w:rFonts w:hint="eastAsia"/>
                <w:color w:val="000000" w:themeColor="text1"/>
                <w:szCs w:val="21"/>
                <w:highlight w:val="none"/>
                <w:lang w:val="en-US" w:eastAsia="zh-CN"/>
                <w14:textFill>
                  <w14:solidFill>
                    <w14:schemeClr w14:val="tx1"/>
                  </w14:solidFill>
                </w14:textFill>
              </w:rPr>
              <w:t>9</w:t>
            </w:r>
            <w:r>
              <w:rPr>
                <w:rFonts w:hint="eastAsia"/>
                <w:color w:val="000000" w:themeColor="text1"/>
                <w:szCs w:val="21"/>
                <w:highlight w:val="none"/>
                <w14:textFill>
                  <w14:solidFill>
                    <w14:schemeClr w14:val="tx1"/>
                  </w14:solidFill>
                </w14:textFill>
              </w:rPr>
              <w:t>分；</w:t>
            </w:r>
          </w:p>
          <w:p w14:paraId="39ED407F">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2</w:t>
            </w:r>
            <w:r>
              <w:rPr>
                <w:rFonts w:hint="eastAsia" w:cs="Times New Roman"/>
                <w:bCs/>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售后服务体系基本完善，服务内容基本充实，故障解决方案基本合理，满足项目需求得</w:t>
            </w:r>
            <w:r>
              <w:rPr>
                <w:rFonts w:hint="eastAsia"/>
                <w:color w:val="000000" w:themeColor="text1"/>
                <w:szCs w:val="21"/>
                <w:highlight w:val="none"/>
                <w:lang w:val="en-US" w:eastAsia="zh-CN"/>
                <w14:textFill>
                  <w14:solidFill>
                    <w14:schemeClr w14:val="tx1"/>
                  </w14:solidFill>
                </w14:textFill>
              </w:rPr>
              <w:t>6</w:t>
            </w:r>
            <w:r>
              <w:rPr>
                <w:rFonts w:hint="eastAsia"/>
                <w:color w:val="000000" w:themeColor="text1"/>
                <w:szCs w:val="21"/>
                <w:highlight w:val="none"/>
                <w14:textFill>
                  <w14:solidFill>
                    <w14:schemeClr w14:val="tx1"/>
                  </w14:solidFill>
                </w14:textFill>
              </w:rPr>
              <w:t>分；</w:t>
            </w:r>
          </w:p>
          <w:p w14:paraId="6BC69AA6">
            <w:pPr>
              <w:widowControl/>
              <w:snapToGrid w:val="0"/>
              <w:spacing w:line="440" w:lineRule="exact"/>
              <w:jc w:val="left"/>
              <w:rPr>
                <w:rFonts w:hint="eastAsia"/>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3</w:t>
            </w:r>
            <w:r>
              <w:rPr>
                <w:rFonts w:hint="eastAsia" w:cs="Times New Roman"/>
                <w:bCs/>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售后服务体系不完善，服务内容不充实，故障解决方案不合理、不能完全满足项目需求</w:t>
            </w:r>
            <w:r>
              <w:rPr>
                <w:rFonts w:hint="eastAsia"/>
                <w:color w:val="000000" w:themeColor="text1"/>
                <w:szCs w:val="21"/>
                <w:highlight w:val="none"/>
                <w:lang w:val="en-US" w:eastAsia="zh-CN"/>
                <w14:textFill>
                  <w14:solidFill>
                    <w14:schemeClr w14:val="tx1"/>
                  </w14:solidFill>
                </w14:textFill>
              </w:rPr>
              <w:t>得3分；</w:t>
            </w:r>
          </w:p>
          <w:p w14:paraId="6F6910D3">
            <w:pPr>
              <w:widowControl/>
              <w:snapToGrid w:val="0"/>
              <w:spacing w:line="440" w:lineRule="exact"/>
              <w:jc w:val="left"/>
              <w:rPr>
                <w:rFonts w:hint="default" w:ascii="Times New Roman" w:hAnsi="Times New Roman" w:cs="Times New Roman"/>
                <w:color w:val="000000" w:themeColor="text1"/>
                <w:kern w:val="0"/>
                <w:szCs w:val="21"/>
                <w:highlight w:val="none"/>
                <w:u w:val="none"/>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4</w:t>
            </w:r>
            <w:r>
              <w:rPr>
                <w:rFonts w:hint="eastAsia" w:cs="Times New Roman"/>
                <w:bCs/>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未提供不得分。</w:t>
            </w:r>
          </w:p>
        </w:tc>
        <w:tc>
          <w:tcPr>
            <w:tcW w:w="274" w:type="pct"/>
            <w:noWrap w:val="0"/>
            <w:vAlign w:val="center"/>
          </w:tcPr>
          <w:p w14:paraId="1FE9BF91">
            <w:pPr>
              <w:autoSpaceDE w:val="0"/>
              <w:autoSpaceDN w:val="0"/>
              <w:adjustRightInd w:val="0"/>
              <w:spacing w:line="360" w:lineRule="auto"/>
              <w:jc w:val="center"/>
              <w:rPr>
                <w:rFonts w:hint="eastAsia" w:ascii="Times New Roman" w:hAnsi="Times New Roman" w:eastAsia="宋体" w:cs="Times New Roman"/>
                <w:color w:val="000000" w:themeColor="text1"/>
                <w:szCs w:val="21"/>
                <w:highlight w:val="none"/>
                <w:u w:val="none"/>
                <w:lang w:eastAsia="zh-CN"/>
                <w14:textFill>
                  <w14:solidFill>
                    <w14:schemeClr w14:val="tx1"/>
                  </w14:solidFill>
                </w14:textFill>
              </w:rPr>
            </w:pPr>
            <w:r>
              <w:rPr>
                <w:rFonts w:hint="eastAsia" w:cs="Times New Roman"/>
                <w:color w:val="000000" w:themeColor="text1"/>
                <w:kern w:val="0"/>
                <w:szCs w:val="21"/>
                <w:highlight w:val="none"/>
                <w:u w:val="none"/>
                <w:lang w:val="en-US" w:eastAsia="zh-CN"/>
                <w14:textFill>
                  <w14:solidFill>
                    <w14:schemeClr w14:val="tx1"/>
                  </w14:solidFill>
                </w14:textFill>
              </w:rPr>
              <w:t>9</w:t>
            </w:r>
          </w:p>
        </w:tc>
      </w:tr>
      <w:tr w14:paraId="0DC0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289" w:type="pct"/>
            <w:noWrap w:val="0"/>
            <w:vAlign w:val="center"/>
          </w:tcPr>
          <w:p w14:paraId="77EB7F37">
            <w:pPr>
              <w:spacing w:line="360" w:lineRule="auto"/>
              <w:jc w:val="center"/>
              <w:rPr>
                <w:rFonts w:hint="default"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4.2</w:t>
            </w:r>
          </w:p>
        </w:tc>
        <w:tc>
          <w:tcPr>
            <w:tcW w:w="563" w:type="pct"/>
            <w:vMerge w:val="continue"/>
            <w:noWrap w:val="0"/>
            <w:vAlign w:val="center"/>
          </w:tcPr>
          <w:p w14:paraId="2AF75C60">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512" w:type="pct"/>
            <w:vMerge w:val="continue"/>
            <w:noWrap w:val="0"/>
            <w:vAlign w:val="center"/>
          </w:tcPr>
          <w:p w14:paraId="033C787D">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3360" w:type="pct"/>
            <w:noWrap w:val="0"/>
            <w:vAlign w:val="center"/>
          </w:tcPr>
          <w:p w14:paraId="1ACE50C5">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根据提供的培训方案、培训时间、培训内容进行评审：</w:t>
            </w:r>
          </w:p>
          <w:p w14:paraId="3DD2EA7B">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（1）培训方案成熟完善，培训计划排布合理、培训内容体系完整、配套保障充分，能够保障培训有序落地实施得 </w:t>
            </w:r>
            <w:r>
              <w:rPr>
                <w:rFonts w:hint="eastAsia"/>
                <w:color w:val="000000" w:themeColor="text1"/>
                <w:szCs w:val="21"/>
                <w:highlight w:val="none"/>
                <w:lang w:val="en-US" w:eastAsia="zh-CN"/>
                <w14:textFill>
                  <w14:solidFill>
                    <w14:schemeClr w14:val="tx1"/>
                  </w14:solidFill>
                </w14:textFill>
              </w:rPr>
              <w:t>9</w:t>
            </w:r>
            <w:r>
              <w:rPr>
                <w:rFonts w:hint="eastAsia"/>
                <w:color w:val="000000" w:themeColor="text1"/>
                <w:szCs w:val="21"/>
                <w:highlight w:val="none"/>
                <w14:textFill>
                  <w14:solidFill>
                    <w14:schemeClr w14:val="tx1"/>
                  </w14:solidFill>
                </w14:textFill>
              </w:rPr>
              <w:t xml:space="preserve"> 分；</w:t>
            </w:r>
          </w:p>
          <w:p w14:paraId="6CE19143">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（2）可组织开展基础培训，培训安排及内容能够满足项目基本使用需求得 </w:t>
            </w:r>
            <w:r>
              <w:rPr>
                <w:rFonts w:hint="eastAsia"/>
                <w:color w:val="000000" w:themeColor="text1"/>
                <w:szCs w:val="21"/>
                <w:highlight w:val="none"/>
                <w:lang w:val="en-US" w:eastAsia="zh-CN"/>
                <w14:textFill>
                  <w14:solidFill>
                    <w14:schemeClr w14:val="tx1"/>
                  </w14:solidFill>
                </w14:textFill>
              </w:rPr>
              <w:t>6</w:t>
            </w:r>
            <w:r>
              <w:rPr>
                <w:rFonts w:hint="eastAsia"/>
                <w:color w:val="000000" w:themeColor="text1"/>
                <w:szCs w:val="21"/>
                <w:highlight w:val="none"/>
                <w14:textFill>
                  <w14:solidFill>
                    <w14:schemeClr w14:val="tx1"/>
                  </w14:solidFill>
                </w14:textFill>
              </w:rPr>
              <w:t xml:space="preserve"> 分；</w:t>
            </w:r>
          </w:p>
          <w:p w14:paraId="1B94A6B3">
            <w:pPr>
              <w:widowControl/>
              <w:snapToGrid w:val="0"/>
              <w:spacing w:line="440" w:lineRule="exact"/>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（3）培训方案内容简陋，培训时间、授课内容说明模糊，培训相关保障措施不足得 </w:t>
            </w:r>
            <w:r>
              <w:rPr>
                <w:rFonts w:hint="eastAsia"/>
                <w:color w:val="000000" w:themeColor="text1"/>
                <w:szCs w:val="21"/>
                <w:highlight w:val="none"/>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 xml:space="preserve"> 分；</w:t>
            </w:r>
          </w:p>
          <w:p w14:paraId="49658203">
            <w:pPr>
              <w:widowControl/>
              <w:snapToGrid w:val="0"/>
              <w:spacing w:line="440" w:lineRule="exact"/>
              <w:jc w:val="left"/>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14:textFill>
                  <w14:solidFill>
                    <w14:schemeClr w14:val="tx1"/>
                  </w14:solidFill>
                </w14:textFill>
              </w:rPr>
              <w:t>（4）未提供不得分。</w:t>
            </w:r>
          </w:p>
        </w:tc>
        <w:tc>
          <w:tcPr>
            <w:tcW w:w="274" w:type="pct"/>
            <w:noWrap w:val="0"/>
            <w:vAlign w:val="center"/>
          </w:tcPr>
          <w:p w14:paraId="3569CB76">
            <w:pPr>
              <w:autoSpaceDE w:val="0"/>
              <w:autoSpaceDN w:val="0"/>
              <w:adjustRightInd w:val="0"/>
              <w:spacing w:line="360" w:lineRule="auto"/>
              <w:jc w:val="center"/>
              <w:rPr>
                <w:rFonts w:hint="default" w:cs="Times New Roman"/>
                <w:color w:val="000000" w:themeColor="text1"/>
                <w:kern w:val="0"/>
                <w:szCs w:val="21"/>
                <w:highlight w:val="none"/>
                <w:u w:val="none"/>
                <w:lang w:val="en-US" w:eastAsia="zh-CN"/>
                <w14:textFill>
                  <w14:solidFill>
                    <w14:schemeClr w14:val="tx1"/>
                  </w14:solidFill>
                </w14:textFill>
              </w:rPr>
            </w:pPr>
            <w:r>
              <w:rPr>
                <w:rFonts w:hint="eastAsia" w:cs="Times New Roman"/>
                <w:color w:val="000000" w:themeColor="text1"/>
                <w:kern w:val="0"/>
                <w:szCs w:val="21"/>
                <w:highlight w:val="none"/>
                <w:u w:val="none"/>
                <w:lang w:val="en-US" w:eastAsia="zh-CN"/>
                <w14:textFill>
                  <w14:solidFill>
                    <w14:schemeClr w14:val="tx1"/>
                  </w14:solidFill>
                </w14:textFill>
              </w:rPr>
              <w:t>9</w:t>
            </w:r>
          </w:p>
        </w:tc>
      </w:tr>
      <w:tr w14:paraId="0C82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9" w:type="pct"/>
            <w:noWrap w:val="0"/>
            <w:vAlign w:val="center"/>
          </w:tcPr>
          <w:p w14:paraId="0DDCF6E4">
            <w:pPr>
              <w:spacing w:line="360" w:lineRule="auto"/>
              <w:jc w:val="center"/>
              <w:rPr>
                <w:rFonts w:hint="eastAsia" w:ascii="Times New Roman" w:hAnsi="Times New Roman" w:eastAsia="宋体" w:cs="Times New Roman"/>
                <w:b/>
                <w:color w:val="000000" w:themeColor="text1"/>
                <w:szCs w:val="21"/>
                <w:highlight w:val="none"/>
                <w:u w:val="none"/>
                <w:lang w:val="en-US"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4</w:t>
            </w:r>
            <w:r>
              <w:rPr>
                <w:rFonts w:hint="default" w:ascii="Times New Roman" w:hAnsi="Times New Roman" w:cs="Times New Roman"/>
                <w:b/>
                <w:color w:val="000000" w:themeColor="text1"/>
                <w:szCs w:val="21"/>
                <w:highlight w:val="none"/>
                <w:u w:val="none"/>
                <w14:textFill>
                  <w14:solidFill>
                    <w14:schemeClr w14:val="tx1"/>
                  </w14:solidFill>
                </w14:textFill>
              </w:rPr>
              <w:t>.</w:t>
            </w:r>
            <w:r>
              <w:rPr>
                <w:rFonts w:hint="eastAsia" w:cs="Times New Roman"/>
                <w:b/>
                <w:color w:val="000000" w:themeColor="text1"/>
                <w:szCs w:val="21"/>
                <w:highlight w:val="none"/>
                <w:u w:val="none"/>
                <w:lang w:val="en-US" w:eastAsia="zh-CN"/>
                <w14:textFill>
                  <w14:solidFill>
                    <w14:schemeClr w14:val="tx1"/>
                  </w14:solidFill>
                </w14:textFill>
              </w:rPr>
              <w:t>3</w:t>
            </w:r>
          </w:p>
        </w:tc>
        <w:tc>
          <w:tcPr>
            <w:tcW w:w="563" w:type="pct"/>
            <w:vMerge w:val="continue"/>
            <w:noWrap w:val="0"/>
            <w:vAlign w:val="center"/>
          </w:tcPr>
          <w:p w14:paraId="6DBEABCB">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512" w:type="pct"/>
            <w:vMerge w:val="continue"/>
            <w:noWrap w:val="0"/>
            <w:vAlign w:val="center"/>
          </w:tcPr>
          <w:p w14:paraId="1E482B9D">
            <w:pPr>
              <w:spacing w:line="360" w:lineRule="auto"/>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3360" w:type="pct"/>
            <w:noWrap w:val="0"/>
            <w:vAlign w:val="center"/>
          </w:tcPr>
          <w:p w14:paraId="3F14638E">
            <w:pPr>
              <w:widowControl/>
              <w:snapToGrid w:val="0"/>
              <w:spacing w:line="440" w:lineRule="exact"/>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项目整体及所有设备满足招标文件免费质保期要求的不得分；在此基础上免费质保每增加1年加</w:t>
            </w:r>
            <w:r>
              <w:rPr>
                <w:rFonts w:hint="eastAsia" w:cs="Times New Roman"/>
                <w:color w:val="000000" w:themeColor="text1"/>
                <w:kern w:val="0"/>
                <w:szCs w:val="21"/>
                <w:highlight w:val="none"/>
                <w:lang w:val="en-US" w:eastAsia="zh-CN"/>
                <w14:textFill>
                  <w14:solidFill>
                    <w14:schemeClr w14:val="tx1"/>
                  </w14:solidFill>
                </w14:textFill>
              </w:rPr>
              <w:t>1</w:t>
            </w:r>
            <w:r>
              <w:rPr>
                <w:rFonts w:hint="default" w:ascii="Times New Roman" w:hAnsi="Times New Roman" w:cs="Times New Roman"/>
                <w:color w:val="000000" w:themeColor="text1"/>
                <w:kern w:val="0"/>
                <w:szCs w:val="21"/>
                <w:highlight w:val="none"/>
                <w14:textFill>
                  <w14:solidFill>
                    <w14:schemeClr w14:val="tx1"/>
                  </w14:solidFill>
                </w14:textFill>
              </w:rPr>
              <w:t>分，本项最高得</w:t>
            </w:r>
            <w:r>
              <w:rPr>
                <w:rFonts w:hint="eastAsia" w:cs="Times New Roman"/>
                <w:color w:val="000000" w:themeColor="text1"/>
                <w:kern w:val="0"/>
                <w:szCs w:val="21"/>
                <w:highlight w:val="none"/>
                <w:lang w:val="en-US" w:eastAsia="zh-CN"/>
                <w14:textFill>
                  <w14:solidFill>
                    <w14:schemeClr w14:val="tx1"/>
                  </w14:solidFill>
                </w14:textFill>
              </w:rPr>
              <w:t>2</w:t>
            </w:r>
            <w:r>
              <w:rPr>
                <w:rFonts w:hint="default" w:ascii="Times New Roman" w:hAnsi="Times New Roman" w:cs="Times New Roman"/>
                <w:color w:val="000000" w:themeColor="text1"/>
                <w:kern w:val="0"/>
                <w:szCs w:val="21"/>
                <w:highlight w:val="none"/>
                <w14:textFill>
                  <w14:solidFill>
                    <w14:schemeClr w14:val="tx1"/>
                  </w14:solidFill>
                </w14:textFill>
              </w:rPr>
              <w:t>分。</w:t>
            </w:r>
          </w:p>
          <w:p w14:paraId="34524EC4">
            <w:pPr>
              <w:widowControl/>
              <w:snapToGrid w:val="0"/>
              <w:spacing w:line="440" w:lineRule="exact"/>
              <w:jc w:val="left"/>
              <w:rPr>
                <w:rFonts w:hint="eastAsia" w:cs="Times New Roman"/>
                <w:b/>
                <w:bCs/>
                <w:color w:val="000000" w:themeColor="text1"/>
                <w:kern w:val="0"/>
                <w:szCs w:val="21"/>
                <w:highlight w:val="none"/>
                <w:lang w:val="en-US" w:eastAsia="zh-CN"/>
                <w14:textFill>
                  <w14:solidFill>
                    <w14:schemeClr w14:val="tx1"/>
                  </w14:solidFill>
                </w14:textFill>
              </w:rPr>
            </w:pPr>
            <w:r>
              <w:rPr>
                <w:rFonts w:hint="eastAsia" w:cs="Times New Roman"/>
                <w:b/>
                <w:bCs/>
                <w:color w:val="000000" w:themeColor="text1"/>
                <w:kern w:val="0"/>
                <w:szCs w:val="21"/>
                <w:highlight w:val="none"/>
                <w:lang w:val="en-US" w:eastAsia="zh-CN"/>
                <w14:textFill>
                  <w14:solidFill>
                    <w14:schemeClr w14:val="tx1"/>
                  </w14:solidFill>
                </w14:textFill>
              </w:rPr>
              <w:t>注：</w:t>
            </w:r>
          </w:p>
          <w:p w14:paraId="07ABF091">
            <w:pPr>
              <w:widowControl/>
              <w:snapToGrid w:val="0"/>
              <w:spacing w:line="440" w:lineRule="exact"/>
              <w:jc w:val="left"/>
              <w:rPr>
                <w:rFonts w:hint="default" w:ascii="Times New Roman" w:hAnsi="Times New Roman" w:cs="Times New Roman"/>
                <w:color w:val="000000" w:themeColor="text1"/>
                <w:highlight w:val="none"/>
                <w:u w:val="none"/>
                <w14:textFill>
                  <w14:solidFill>
                    <w14:schemeClr w14:val="tx1"/>
                  </w14:solidFill>
                </w14:textFill>
              </w:rPr>
            </w:pPr>
            <w:r>
              <w:rPr>
                <w:rFonts w:hint="default" w:ascii="Times New Roman" w:hAnsi="Times New Roman" w:cs="Times New Roman"/>
                <w:b/>
                <w:bCs/>
                <w:color w:val="000000" w:themeColor="text1"/>
                <w:kern w:val="0"/>
                <w:szCs w:val="21"/>
                <w:highlight w:val="none"/>
                <w14:textFill>
                  <w14:solidFill>
                    <w14:schemeClr w14:val="tx1"/>
                  </w14:solidFill>
                </w14:textFill>
              </w:rPr>
              <w:t>需提供制造厂商出具的售后服务承诺书（原件）（若投标文件中出现前后不一致的情况，以最低免费质保期作为评分依据）。</w:t>
            </w:r>
          </w:p>
        </w:tc>
        <w:tc>
          <w:tcPr>
            <w:tcW w:w="274" w:type="pct"/>
            <w:noWrap w:val="0"/>
            <w:vAlign w:val="center"/>
          </w:tcPr>
          <w:p w14:paraId="531E6EE1">
            <w:pPr>
              <w:autoSpaceDE w:val="0"/>
              <w:autoSpaceDN w:val="0"/>
              <w:adjustRightInd w:val="0"/>
              <w:spacing w:line="360" w:lineRule="auto"/>
              <w:jc w:val="center"/>
              <w:rPr>
                <w:rFonts w:hint="eastAsia" w:ascii="Times New Roman" w:hAnsi="Times New Roman" w:eastAsia="宋体" w:cs="Times New Roman"/>
                <w:color w:val="000000" w:themeColor="text1"/>
                <w:kern w:val="0"/>
                <w:szCs w:val="21"/>
                <w:highlight w:val="none"/>
                <w:u w:val="none"/>
                <w:lang w:eastAsia="zh-CN"/>
                <w14:textFill>
                  <w14:solidFill>
                    <w14:schemeClr w14:val="tx1"/>
                  </w14:solidFill>
                </w14:textFill>
              </w:rPr>
            </w:pPr>
            <w:r>
              <w:rPr>
                <w:rFonts w:hint="eastAsia" w:cs="Times New Roman"/>
                <w:color w:val="000000" w:themeColor="text1"/>
                <w:kern w:val="0"/>
                <w:szCs w:val="21"/>
                <w:highlight w:val="none"/>
                <w:u w:val="none"/>
                <w:lang w:val="en-US" w:eastAsia="zh-CN"/>
                <w14:textFill>
                  <w14:solidFill>
                    <w14:schemeClr w14:val="tx1"/>
                  </w14:solidFill>
                </w14:textFill>
              </w:rPr>
              <w:t>2</w:t>
            </w:r>
          </w:p>
        </w:tc>
      </w:tr>
      <w:tr w14:paraId="0D0E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89" w:type="pct"/>
            <w:noWrap w:val="0"/>
            <w:vAlign w:val="center"/>
          </w:tcPr>
          <w:p w14:paraId="7FEDA9DC">
            <w:pPr>
              <w:spacing w:line="360" w:lineRule="auto"/>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5</w:t>
            </w:r>
          </w:p>
        </w:tc>
        <w:tc>
          <w:tcPr>
            <w:tcW w:w="563" w:type="pct"/>
            <w:vMerge w:val="continue"/>
            <w:noWrap w:val="0"/>
            <w:vAlign w:val="center"/>
          </w:tcPr>
          <w:p w14:paraId="1A69BA15">
            <w:pPr>
              <w:spacing w:line="440" w:lineRule="exact"/>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512" w:type="pct"/>
            <w:noWrap w:val="0"/>
            <w:vAlign w:val="center"/>
          </w:tcPr>
          <w:p w14:paraId="627F0585">
            <w:pPr>
              <w:spacing w:line="440" w:lineRule="exact"/>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业绩</w:t>
            </w:r>
          </w:p>
          <w:p w14:paraId="31D27ECC">
            <w:pPr>
              <w:spacing w:line="440" w:lineRule="exact"/>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eastAsia="zh-CN"/>
                <w14:textFill>
                  <w14:solidFill>
                    <w14:schemeClr w14:val="tx1"/>
                  </w14:solidFill>
                </w14:textFill>
              </w:rPr>
              <w:t>（</w:t>
            </w:r>
            <w:r>
              <w:rPr>
                <w:rFonts w:hint="eastAsia" w:cs="Times New Roman"/>
                <w:b/>
                <w:color w:val="000000" w:themeColor="text1"/>
                <w:szCs w:val="21"/>
                <w:highlight w:val="none"/>
                <w:u w:val="none"/>
                <w:lang w:val="en-US" w:eastAsia="zh-CN"/>
                <w14:textFill>
                  <w14:solidFill>
                    <w14:schemeClr w14:val="tx1"/>
                  </w14:solidFill>
                </w14:textFill>
              </w:rPr>
              <w:t>4分</w:t>
            </w:r>
            <w:r>
              <w:rPr>
                <w:rFonts w:hint="eastAsia" w:cs="Times New Roman"/>
                <w:b/>
                <w:color w:val="000000" w:themeColor="text1"/>
                <w:szCs w:val="21"/>
                <w:highlight w:val="none"/>
                <w:u w:val="none"/>
                <w:lang w:eastAsia="zh-CN"/>
                <w14:textFill>
                  <w14:solidFill>
                    <w14:schemeClr w14:val="tx1"/>
                  </w14:solidFill>
                </w14:textFill>
              </w:rPr>
              <w:t>）</w:t>
            </w:r>
          </w:p>
        </w:tc>
        <w:tc>
          <w:tcPr>
            <w:tcW w:w="3360" w:type="pct"/>
            <w:noWrap w:val="0"/>
            <w:vAlign w:val="center"/>
          </w:tcPr>
          <w:p w14:paraId="0213B6BD">
            <w:pPr>
              <w:widowControl/>
              <w:snapToGrid w:val="0"/>
              <w:spacing w:line="440" w:lineRule="exact"/>
              <w:jc w:val="left"/>
              <w:rPr>
                <w:rFonts w:hint="default" w:ascii="Times New Roman" w:hAnsi="Times New Roman" w:eastAsia="宋体" w:cs="Times New Roman"/>
                <w:color w:val="000000" w:themeColor="text1"/>
                <w:kern w:val="0"/>
                <w:szCs w:val="21"/>
                <w:highlight w:val="none"/>
                <w:u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u w:val="none"/>
                <w14:textFill>
                  <w14:solidFill>
                    <w14:schemeClr w14:val="tx1"/>
                  </w14:solidFill>
                </w14:textFill>
              </w:rPr>
              <w:t>2023年1月1日至今</w:t>
            </w:r>
            <w:r>
              <w:rPr>
                <w:rFonts w:hint="eastAsia" w:cs="Times New Roman"/>
                <w:color w:val="000000" w:themeColor="text1"/>
                <w:kern w:val="0"/>
                <w:szCs w:val="21"/>
                <w:highlight w:val="none"/>
                <w:u w:val="none"/>
                <w:lang w:eastAsia="zh-CN"/>
                <w14:textFill>
                  <w14:solidFill>
                    <w14:schemeClr w14:val="tx1"/>
                  </w14:solidFill>
                </w14:textFill>
              </w:rPr>
              <w:t>供应商</w:t>
            </w:r>
            <w:r>
              <w:rPr>
                <w:rFonts w:hint="default" w:ascii="Times New Roman" w:hAnsi="Times New Roman" w:eastAsia="宋体" w:cs="Times New Roman"/>
                <w:color w:val="000000" w:themeColor="text1"/>
                <w:kern w:val="0"/>
                <w:szCs w:val="21"/>
                <w:highlight w:val="none"/>
                <w:u w:val="none"/>
                <w14:textFill>
                  <w14:solidFill>
                    <w14:schemeClr w14:val="tx1"/>
                  </w14:solidFill>
                </w14:textFill>
              </w:rPr>
              <w:t>或制造商有过与所投产品同品牌同型号的成功案例（提供合同复印件并加盖公章，以合同签订时间为准，原件备查），每提供一个得</w:t>
            </w:r>
            <w:r>
              <w:rPr>
                <w:rFonts w:hint="eastAsia" w:ascii="Times New Roman" w:hAnsi="Times New Roman" w:eastAsia="宋体" w:cs="Times New Roman"/>
                <w:color w:val="000000" w:themeColor="text1"/>
                <w:kern w:val="0"/>
                <w:szCs w:val="21"/>
                <w:highlight w:val="none"/>
                <w:u w:val="none"/>
                <w:lang w:val="en-US" w:eastAsia="zh-CN"/>
                <w14:textFill>
                  <w14:solidFill>
                    <w14:schemeClr w14:val="tx1"/>
                  </w14:solidFill>
                </w14:textFill>
              </w:rPr>
              <w:t>1</w:t>
            </w:r>
            <w:r>
              <w:rPr>
                <w:rFonts w:hint="default" w:ascii="Times New Roman" w:hAnsi="Times New Roman" w:eastAsia="宋体" w:cs="Times New Roman"/>
                <w:color w:val="000000" w:themeColor="text1"/>
                <w:kern w:val="0"/>
                <w:szCs w:val="21"/>
                <w:highlight w:val="none"/>
                <w:u w:val="none"/>
                <w14:textFill>
                  <w14:solidFill>
                    <w14:schemeClr w14:val="tx1"/>
                  </w14:solidFill>
                </w14:textFill>
              </w:rPr>
              <w:t>分，最高</w:t>
            </w:r>
            <w:r>
              <w:rPr>
                <w:rFonts w:hint="eastAsia" w:ascii="Times New Roman" w:hAnsi="Times New Roman" w:eastAsia="宋体" w:cs="Times New Roman"/>
                <w:color w:val="000000" w:themeColor="text1"/>
                <w:kern w:val="0"/>
                <w:szCs w:val="21"/>
                <w:highlight w:val="none"/>
                <w:u w:val="none"/>
                <w:lang w:val="en-US" w:eastAsia="zh-CN"/>
                <w14:textFill>
                  <w14:solidFill>
                    <w14:schemeClr w14:val="tx1"/>
                  </w14:solidFill>
                </w14:textFill>
              </w:rPr>
              <w:t>4</w:t>
            </w:r>
            <w:r>
              <w:rPr>
                <w:rFonts w:hint="default" w:ascii="Times New Roman" w:hAnsi="Times New Roman" w:eastAsia="宋体" w:cs="Times New Roman"/>
                <w:color w:val="000000" w:themeColor="text1"/>
                <w:kern w:val="0"/>
                <w:szCs w:val="21"/>
                <w:highlight w:val="none"/>
                <w:u w:val="none"/>
                <w14:textFill>
                  <w14:solidFill>
                    <w14:schemeClr w14:val="tx1"/>
                  </w14:solidFill>
                </w14:textFill>
              </w:rPr>
              <w:t>分。</w:t>
            </w:r>
          </w:p>
        </w:tc>
        <w:tc>
          <w:tcPr>
            <w:tcW w:w="274" w:type="pct"/>
            <w:noWrap w:val="0"/>
            <w:vAlign w:val="center"/>
          </w:tcPr>
          <w:p w14:paraId="1749C873">
            <w:pPr>
              <w:widowControl/>
              <w:snapToGrid w:val="0"/>
              <w:spacing w:line="440" w:lineRule="exact"/>
              <w:jc w:val="left"/>
              <w:rPr>
                <w:rFonts w:hint="default" w:ascii="Times New Roman" w:hAnsi="Times New Roman" w:eastAsia="宋体" w:cs="Times New Roman"/>
                <w:color w:val="000000" w:themeColor="text1"/>
                <w:kern w:val="0"/>
                <w:szCs w:val="21"/>
                <w:highlight w:val="none"/>
                <w:u w:val="none"/>
                <w:lang w:val="en-US"/>
                <w14:textFill>
                  <w14:solidFill>
                    <w14:schemeClr w14:val="tx1"/>
                  </w14:solidFill>
                </w14:textFill>
              </w:rPr>
            </w:pPr>
            <w:r>
              <w:rPr>
                <w:rFonts w:hint="eastAsia" w:ascii="Times New Roman" w:hAnsi="Times New Roman" w:eastAsia="宋体" w:cs="Times New Roman"/>
                <w:color w:val="000000" w:themeColor="text1"/>
                <w:kern w:val="0"/>
                <w:szCs w:val="21"/>
                <w:highlight w:val="none"/>
                <w:u w:val="none"/>
                <w:lang w:val="en-US" w:eastAsia="zh-CN"/>
                <w14:textFill>
                  <w14:solidFill>
                    <w14:schemeClr w14:val="tx1"/>
                  </w14:solidFill>
                </w14:textFill>
              </w:rPr>
              <w:t>4</w:t>
            </w:r>
          </w:p>
        </w:tc>
      </w:tr>
      <w:tr w14:paraId="6205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89" w:type="pct"/>
            <w:noWrap w:val="0"/>
            <w:vAlign w:val="center"/>
          </w:tcPr>
          <w:p w14:paraId="6A43855B">
            <w:pPr>
              <w:spacing w:line="360" w:lineRule="auto"/>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val="en-US" w:eastAsia="zh-CN"/>
                <w14:textFill>
                  <w14:solidFill>
                    <w14:schemeClr w14:val="tx1"/>
                  </w14:solidFill>
                </w14:textFill>
              </w:rPr>
              <w:t>6</w:t>
            </w:r>
          </w:p>
        </w:tc>
        <w:tc>
          <w:tcPr>
            <w:tcW w:w="563" w:type="pct"/>
            <w:vMerge w:val="continue"/>
            <w:noWrap w:val="0"/>
            <w:vAlign w:val="center"/>
          </w:tcPr>
          <w:p w14:paraId="6D09FEDF">
            <w:pPr>
              <w:spacing w:line="440" w:lineRule="exact"/>
              <w:jc w:val="center"/>
              <w:rPr>
                <w:rFonts w:hint="default" w:ascii="Times New Roman" w:hAnsi="Times New Roman" w:cs="Times New Roman"/>
                <w:b/>
                <w:color w:val="000000" w:themeColor="text1"/>
                <w:szCs w:val="21"/>
                <w:highlight w:val="none"/>
                <w:u w:val="none"/>
                <w14:textFill>
                  <w14:solidFill>
                    <w14:schemeClr w14:val="tx1"/>
                  </w14:solidFill>
                </w14:textFill>
              </w:rPr>
            </w:pPr>
          </w:p>
        </w:tc>
        <w:tc>
          <w:tcPr>
            <w:tcW w:w="512" w:type="pct"/>
            <w:noWrap w:val="0"/>
            <w:vAlign w:val="center"/>
          </w:tcPr>
          <w:p w14:paraId="575B138F">
            <w:pPr>
              <w:spacing w:line="440" w:lineRule="exact"/>
              <w:jc w:val="center"/>
              <w:rPr>
                <w:rFonts w:hint="default" w:ascii="Times New Roman" w:hAnsi="Times New Roman" w:cs="Times New Roman"/>
                <w:b/>
                <w:color w:val="000000" w:themeColor="text1"/>
                <w:szCs w:val="21"/>
                <w:highlight w:val="none"/>
                <w:u w:val="none"/>
                <w14:textFill>
                  <w14:solidFill>
                    <w14:schemeClr w14:val="tx1"/>
                  </w14:solidFill>
                </w14:textFill>
              </w:rPr>
            </w:pPr>
            <w:r>
              <w:rPr>
                <w:rFonts w:hint="default" w:ascii="Times New Roman" w:hAnsi="Times New Roman" w:cs="Times New Roman"/>
                <w:b/>
                <w:color w:val="000000" w:themeColor="text1"/>
                <w:szCs w:val="21"/>
                <w:highlight w:val="none"/>
                <w:u w:val="none"/>
                <w14:textFill>
                  <w14:solidFill>
                    <w14:schemeClr w14:val="tx1"/>
                  </w14:solidFill>
                </w14:textFill>
              </w:rPr>
              <w:t>国家政策导向</w:t>
            </w:r>
          </w:p>
          <w:p w14:paraId="7DEFDDF3">
            <w:pPr>
              <w:spacing w:line="440" w:lineRule="exact"/>
              <w:jc w:val="center"/>
              <w:rPr>
                <w:rFonts w:hint="eastAsia" w:ascii="Times New Roman" w:hAnsi="Times New Roman" w:eastAsia="宋体" w:cs="Times New Roman"/>
                <w:b/>
                <w:color w:val="000000" w:themeColor="text1"/>
                <w:szCs w:val="21"/>
                <w:highlight w:val="none"/>
                <w:u w:val="none"/>
                <w:lang w:eastAsia="zh-CN"/>
                <w14:textFill>
                  <w14:solidFill>
                    <w14:schemeClr w14:val="tx1"/>
                  </w14:solidFill>
                </w14:textFill>
              </w:rPr>
            </w:pPr>
            <w:r>
              <w:rPr>
                <w:rFonts w:hint="eastAsia" w:cs="Times New Roman"/>
                <w:b/>
                <w:color w:val="000000" w:themeColor="text1"/>
                <w:szCs w:val="21"/>
                <w:highlight w:val="none"/>
                <w:u w:val="none"/>
                <w:lang w:eastAsia="zh-CN"/>
                <w14:textFill>
                  <w14:solidFill>
                    <w14:schemeClr w14:val="tx1"/>
                  </w14:solidFill>
                </w14:textFill>
              </w:rPr>
              <w:t>（</w:t>
            </w:r>
            <w:r>
              <w:rPr>
                <w:rFonts w:hint="eastAsia" w:cs="Times New Roman"/>
                <w:b/>
                <w:color w:val="000000" w:themeColor="text1"/>
                <w:szCs w:val="21"/>
                <w:highlight w:val="none"/>
                <w:u w:val="none"/>
                <w:lang w:val="en-US" w:eastAsia="zh-CN"/>
                <w14:textFill>
                  <w14:solidFill>
                    <w14:schemeClr w14:val="tx1"/>
                  </w14:solidFill>
                </w14:textFill>
              </w:rPr>
              <w:t>1分</w:t>
            </w:r>
            <w:r>
              <w:rPr>
                <w:rFonts w:hint="eastAsia" w:cs="Times New Roman"/>
                <w:b/>
                <w:color w:val="000000" w:themeColor="text1"/>
                <w:szCs w:val="21"/>
                <w:highlight w:val="none"/>
                <w:u w:val="none"/>
                <w:lang w:eastAsia="zh-CN"/>
                <w14:textFill>
                  <w14:solidFill>
                    <w14:schemeClr w14:val="tx1"/>
                  </w14:solidFill>
                </w14:textFill>
              </w:rPr>
              <w:t>）</w:t>
            </w:r>
          </w:p>
        </w:tc>
        <w:tc>
          <w:tcPr>
            <w:tcW w:w="3360" w:type="pct"/>
            <w:noWrap w:val="0"/>
            <w:vAlign w:val="center"/>
          </w:tcPr>
          <w:p w14:paraId="674510E1">
            <w:pPr>
              <w:spacing w:line="440" w:lineRule="exact"/>
              <w:rPr>
                <w:rFonts w:hint="default" w:ascii="Times New Roman" w:hAnsi="Times New Roman" w:cs="Times New Roman"/>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w:t>
            </w:r>
            <w:r>
              <w:rPr>
                <w:rFonts w:hint="default" w:ascii="Times New Roman" w:hAnsi="Times New Roman" w:cs="Times New Roman"/>
                <w:color w:val="000000" w:themeColor="text1"/>
                <w:kern w:val="0"/>
                <w:szCs w:val="21"/>
                <w:highlight w:val="none"/>
                <w14:textFill>
                  <w14:solidFill>
                    <w14:schemeClr w14:val="tx1"/>
                  </w14:solidFill>
                </w14:textFill>
              </w:rPr>
              <w:t>投标产品属于财政部、生态环境部公布的《环境标志产品政府采购品目清单》内的产品且具有国家确定的认证机构出具的、处于有效期之内的环境标志产品认证证书的，每有一类产品加</w:t>
            </w:r>
            <w:r>
              <w:rPr>
                <w:rFonts w:hint="eastAsia" w:cs="Times New Roman"/>
                <w:color w:val="000000" w:themeColor="text1"/>
                <w:kern w:val="0"/>
                <w:szCs w:val="21"/>
                <w:highlight w:val="none"/>
                <w:lang w:val="en-US" w:eastAsia="zh-CN"/>
                <w14:textFill>
                  <w14:solidFill>
                    <w14:schemeClr w14:val="tx1"/>
                  </w14:solidFill>
                </w14:textFill>
              </w:rPr>
              <w:t>0.5</w:t>
            </w:r>
            <w:r>
              <w:rPr>
                <w:rFonts w:hint="default" w:ascii="Times New Roman" w:hAnsi="Times New Roman" w:cs="Times New Roman"/>
                <w:color w:val="000000" w:themeColor="text1"/>
                <w:kern w:val="0"/>
                <w:szCs w:val="21"/>
                <w:highlight w:val="none"/>
                <w14:textFill>
                  <w14:solidFill>
                    <w14:schemeClr w14:val="tx1"/>
                  </w14:solidFill>
                </w14:textFill>
              </w:rPr>
              <w:t>分，最高得</w:t>
            </w:r>
            <w:r>
              <w:rPr>
                <w:rFonts w:hint="eastAsia" w:cs="Times New Roman"/>
                <w:color w:val="000000" w:themeColor="text1"/>
                <w:kern w:val="0"/>
                <w:szCs w:val="21"/>
                <w:highlight w:val="none"/>
                <w:lang w:val="en-US" w:eastAsia="zh-CN"/>
                <w14:textFill>
                  <w14:solidFill>
                    <w14:schemeClr w14:val="tx1"/>
                  </w14:solidFill>
                </w14:textFill>
              </w:rPr>
              <w:t>0.5</w:t>
            </w:r>
            <w:r>
              <w:rPr>
                <w:rFonts w:hint="default" w:ascii="Times New Roman" w:hAnsi="Times New Roman" w:cs="Times New Roman"/>
                <w:color w:val="000000" w:themeColor="text1"/>
                <w:kern w:val="0"/>
                <w:szCs w:val="21"/>
                <w:highlight w:val="none"/>
                <w14:textFill>
                  <w14:solidFill>
                    <w14:schemeClr w14:val="tx1"/>
                  </w14:solidFill>
                </w14:textFill>
              </w:rPr>
              <w:t>分。提供认证证书复印件，否则不得分。</w:t>
            </w:r>
          </w:p>
          <w:p w14:paraId="3225F943">
            <w:pPr>
              <w:spacing w:line="440" w:lineRule="exact"/>
              <w:rPr>
                <w:rFonts w:hint="default" w:ascii="Times New Roman" w:hAnsi="Times New Roman" w:cs="Times New Roman"/>
                <w:color w:val="000000" w:themeColor="text1"/>
                <w:kern w:val="0"/>
                <w:szCs w:val="21"/>
                <w:highlight w:val="none"/>
                <w:u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rFonts w:hint="default" w:ascii="Times New Roman" w:hAnsi="Times New Roman" w:cs="Times New Roman"/>
                <w:color w:val="000000" w:themeColor="text1"/>
                <w:kern w:val="0"/>
                <w:szCs w:val="21"/>
                <w:highlight w:val="none"/>
                <w14:textFill>
                  <w14:solidFill>
                    <w14:schemeClr w14:val="tx1"/>
                  </w14:solidFill>
                </w14:textFill>
              </w:rPr>
              <w:t>投标产品属于财政部、发展改革委公布的《节能产品政府采购品目清单》内的产品且具有国家确定的认证机构出具的、处于有效期之内的节能产品认证证书的，每有一类产品加</w:t>
            </w:r>
            <w:r>
              <w:rPr>
                <w:rFonts w:hint="eastAsia" w:cs="Times New Roman"/>
                <w:color w:val="000000" w:themeColor="text1"/>
                <w:kern w:val="0"/>
                <w:szCs w:val="21"/>
                <w:highlight w:val="none"/>
                <w:lang w:val="en-US" w:eastAsia="zh-CN"/>
                <w14:textFill>
                  <w14:solidFill>
                    <w14:schemeClr w14:val="tx1"/>
                  </w14:solidFill>
                </w14:textFill>
              </w:rPr>
              <w:t>0.5</w:t>
            </w:r>
            <w:r>
              <w:rPr>
                <w:rFonts w:hint="default" w:ascii="Times New Roman" w:hAnsi="Times New Roman" w:cs="Times New Roman"/>
                <w:color w:val="000000" w:themeColor="text1"/>
                <w:kern w:val="0"/>
                <w:szCs w:val="21"/>
                <w:highlight w:val="none"/>
                <w14:textFill>
                  <w14:solidFill>
                    <w14:schemeClr w14:val="tx1"/>
                  </w14:solidFill>
                </w14:textFill>
              </w:rPr>
              <w:t>分，最高得</w:t>
            </w:r>
            <w:r>
              <w:rPr>
                <w:rFonts w:hint="eastAsia" w:cs="Times New Roman"/>
                <w:color w:val="000000" w:themeColor="text1"/>
                <w:kern w:val="0"/>
                <w:szCs w:val="21"/>
                <w:highlight w:val="none"/>
                <w:lang w:val="en-US" w:eastAsia="zh-CN"/>
                <w14:textFill>
                  <w14:solidFill>
                    <w14:schemeClr w14:val="tx1"/>
                  </w14:solidFill>
                </w14:textFill>
              </w:rPr>
              <w:t>0.5</w:t>
            </w:r>
            <w:r>
              <w:rPr>
                <w:rFonts w:hint="default" w:ascii="Times New Roman" w:hAnsi="Times New Roman" w:cs="Times New Roman"/>
                <w:color w:val="000000" w:themeColor="text1"/>
                <w:kern w:val="0"/>
                <w:szCs w:val="21"/>
                <w:highlight w:val="none"/>
                <w14:textFill>
                  <w14:solidFill>
                    <w14:schemeClr w14:val="tx1"/>
                  </w14:solidFill>
                </w14:textFill>
              </w:rPr>
              <w:t>分。提供认证证书复印件，否则不得分。</w:t>
            </w:r>
          </w:p>
        </w:tc>
        <w:tc>
          <w:tcPr>
            <w:tcW w:w="274" w:type="pct"/>
            <w:noWrap w:val="0"/>
            <w:vAlign w:val="center"/>
          </w:tcPr>
          <w:p w14:paraId="43239743">
            <w:pPr>
              <w:widowControl/>
              <w:spacing w:line="360" w:lineRule="auto"/>
              <w:jc w:val="center"/>
              <w:rPr>
                <w:rFonts w:hint="default" w:ascii="Times New Roman" w:hAnsi="Times New Roman" w:cs="Times New Roman"/>
                <w:color w:val="000000" w:themeColor="text1"/>
                <w:szCs w:val="21"/>
                <w:highlight w:val="none"/>
                <w:u w:val="none"/>
                <w14:textFill>
                  <w14:solidFill>
                    <w14:schemeClr w14:val="tx1"/>
                  </w14:solidFill>
                </w14:textFill>
              </w:rPr>
            </w:pPr>
            <w:r>
              <w:rPr>
                <w:rFonts w:hint="eastAsia" w:cs="Times New Roman"/>
                <w:color w:val="000000" w:themeColor="text1"/>
                <w:kern w:val="0"/>
                <w:szCs w:val="21"/>
                <w:highlight w:val="none"/>
                <w:u w:val="none"/>
                <w:lang w:val="en-US" w:eastAsia="zh-CN"/>
                <w14:textFill>
                  <w14:solidFill>
                    <w14:schemeClr w14:val="tx1"/>
                  </w14:solidFill>
                </w14:textFill>
              </w:rPr>
              <w:t>1</w:t>
            </w:r>
          </w:p>
        </w:tc>
      </w:tr>
      <w:bookmarkEnd w:id="476"/>
    </w:tbl>
    <w:p w14:paraId="3CBB6367">
      <w:pPr>
        <w:widowControl/>
        <w:jc w:val="both"/>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2EA4D62C">
      <w:pPr>
        <w:pStyle w:val="34"/>
        <w:widowControl/>
        <w:numPr>
          <w:ilvl w:val="0"/>
          <w:numId w:val="1"/>
        </w:numPr>
        <w:jc w:val="center"/>
        <w:outlineLvl w:val="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Start w:id="478" w:name="_Toc422546161"/>
      <w:bookmarkStart w:id="479" w:name="_Toc20097"/>
      <w: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t>采购需求</w:t>
      </w:r>
      <w:bookmarkEnd w:id="477"/>
      <w:bookmarkEnd w:id="478"/>
      <w:bookmarkEnd w:id="479"/>
    </w:p>
    <w:tbl>
      <w:tblPr>
        <w:tblStyle w:val="3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2020"/>
        <w:gridCol w:w="1084"/>
        <w:gridCol w:w="1315"/>
        <w:gridCol w:w="968"/>
        <w:gridCol w:w="1756"/>
        <w:gridCol w:w="1371"/>
      </w:tblGrid>
      <w:tr w14:paraId="79AE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noWrap w:val="0"/>
            <w:vAlign w:val="center"/>
          </w:tcPr>
          <w:p w14:paraId="1B2250F5">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包号</w:t>
            </w:r>
          </w:p>
        </w:tc>
        <w:tc>
          <w:tcPr>
            <w:tcW w:w="1129" w:type="pct"/>
            <w:noWrap w:val="0"/>
            <w:vAlign w:val="center"/>
          </w:tcPr>
          <w:p w14:paraId="05D26BA8">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产品名称</w:t>
            </w:r>
          </w:p>
        </w:tc>
        <w:tc>
          <w:tcPr>
            <w:tcW w:w="606" w:type="pct"/>
            <w:noWrap w:val="0"/>
            <w:vAlign w:val="center"/>
          </w:tcPr>
          <w:p w14:paraId="13EDC1E0">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数量</w:t>
            </w:r>
          </w:p>
        </w:tc>
        <w:tc>
          <w:tcPr>
            <w:tcW w:w="735" w:type="pct"/>
            <w:noWrap w:val="0"/>
            <w:vAlign w:val="center"/>
          </w:tcPr>
          <w:p w14:paraId="7B68D15A">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是否接受进口</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是/否</w:t>
            </w:r>
            <w:r>
              <w:rPr>
                <w:rFonts w:hint="eastAsia"/>
                <w:b/>
                <w:bCs/>
                <w:color w:val="000000" w:themeColor="text1"/>
                <w:szCs w:val="21"/>
                <w:highlight w:val="none"/>
                <w14:textFill>
                  <w14:solidFill>
                    <w14:schemeClr w14:val="tx1"/>
                  </w14:solidFill>
                </w14:textFill>
              </w:rPr>
              <w:t>）</w:t>
            </w:r>
          </w:p>
        </w:tc>
        <w:tc>
          <w:tcPr>
            <w:tcW w:w="541" w:type="pct"/>
            <w:noWrap w:val="0"/>
            <w:vAlign w:val="center"/>
          </w:tcPr>
          <w:p w14:paraId="58C8FF95">
            <w:pPr>
              <w:jc w:val="center"/>
              <w:rPr>
                <w:rFonts w:hint="eastAsia" w:eastAsia="宋体"/>
                <w:b/>
                <w:bCs/>
                <w:color w:val="000000" w:themeColor="text1"/>
                <w:szCs w:val="21"/>
                <w:highlight w:val="none"/>
                <w:lang w:val="en-US" w:eastAsia="zh-CN"/>
                <w14:textFill>
                  <w14:solidFill>
                    <w14:schemeClr w14:val="tx1"/>
                  </w14:solidFill>
                </w14:textFill>
              </w:rPr>
            </w:pPr>
            <w:r>
              <w:rPr>
                <w:rFonts w:hint="eastAsia"/>
                <w:b/>
                <w:bCs/>
                <w:color w:val="000000" w:themeColor="text1"/>
                <w:szCs w:val="21"/>
                <w:highlight w:val="none"/>
                <w:lang w:val="en-US" w:eastAsia="zh-CN"/>
                <w14:textFill>
                  <w14:solidFill>
                    <w14:schemeClr w14:val="tx1"/>
                  </w14:solidFill>
                </w14:textFill>
              </w:rPr>
              <w:t>总预算</w:t>
            </w:r>
          </w:p>
        </w:tc>
        <w:tc>
          <w:tcPr>
            <w:tcW w:w="981" w:type="pct"/>
            <w:noWrap w:val="0"/>
            <w:vAlign w:val="center"/>
          </w:tcPr>
          <w:p w14:paraId="4DF81DB0">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★合同履行期限（交货期）</w:t>
            </w:r>
          </w:p>
        </w:tc>
        <w:tc>
          <w:tcPr>
            <w:tcW w:w="766" w:type="pct"/>
            <w:noWrap w:val="0"/>
            <w:vAlign w:val="center"/>
          </w:tcPr>
          <w:p w14:paraId="6F4BF848">
            <w:pPr>
              <w:jc w:val="center"/>
              <w:rPr>
                <w:b/>
                <w:bCs/>
                <w:color w:val="000000" w:themeColor="text1"/>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免费质保期</w:t>
            </w:r>
          </w:p>
        </w:tc>
      </w:tr>
      <w:tr w14:paraId="0A1C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38" w:type="pct"/>
            <w:noWrap w:val="0"/>
            <w:vAlign w:val="center"/>
          </w:tcPr>
          <w:p w14:paraId="6A95F609">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1129" w:type="pct"/>
            <w:noWrap w:val="0"/>
            <w:vAlign w:val="center"/>
          </w:tcPr>
          <w:p w14:paraId="553AC236">
            <w:pPr>
              <w:spacing w:line="360" w:lineRule="auto"/>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医用冷藏箱（单门）</w:t>
            </w:r>
          </w:p>
        </w:tc>
        <w:tc>
          <w:tcPr>
            <w:tcW w:w="606" w:type="pct"/>
            <w:noWrap w:val="0"/>
            <w:vAlign w:val="center"/>
          </w:tcPr>
          <w:p w14:paraId="2D69C6EE">
            <w:pPr>
              <w:spacing w:line="360" w:lineRule="auto"/>
              <w:jc w:val="center"/>
              <w:rPr>
                <w:rFonts w:hint="default" w:eastAsia="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735" w:type="pct"/>
            <w:vMerge w:val="restart"/>
            <w:noWrap w:val="0"/>
            <w:vAlign w:val="center"/>
          </w:tcPr>
          <w:p w14:paraId="45A10F8F">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是</w:t>
            </w:r>
          </w:p>
        </w:tc>
        <w:tc>
          <w:tcPr>
            <w:tcW w:w="541" w:type="pct"/>
            <w:vMerge w:val="restart"/>
            <w:noWrap w:val="0"/>
            <w:vAlign w:val="center"/>
          </w:tcPr>
          <w:p w14:paraId="33C46348">
            <w:pPr>
              <w:spacing w:line="360" w:lineRule="auto"/>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99万元</w:t>
            </w:r>
          </w:p>
        </w:tc>
        <w:tc>
          <w:tcPr>
            <w:tcW w:w="981" w:type="pct"/>
            <w:vMerge w:val="restart"/>
            <w:noWrap w:val="0"/>
            <w:vAlign w:val="center"/>
          </w:tcPr>
          <w:p w14:paraId="299DC5A8">
            <w:pPr>
              <w:spacing w:line="360" w:lineRule="auto"/>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国产货物：合同签订后 30 日内完成供货及安装调试，并具备验收条件；进口货物：合同签订后 90 日内完成供货及安装调试，并具备验收条件。</w:t>
            </w:r>
          </w:p>
        </w:tc>
        <w:tc>
          <w:tcPr>
            <w:tcW w:w="766" w:type="pct"/>
            <w:vMerge w:val="restart"/>
            <w:noWrap w:val="0"/>
            <w:vAlign w:val="center"/>
          </w:tcPr>
          <w:p w14:paraId="528A74EC">
            <w:pPr>
              <w:spacing w:line="360" w:lineRule="auto"/>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提供</w:t>
            </w:r>
            <w:r>
              <w:rPr>
                <w:rFonts w:hint="eastAsia"/>
                <w:color w:val="000000" w:themeColor="text1"/>
                <w:szCs w:val="21"/>
                <w:highlight w:val="none"/>
                <w:lang w:val="en-US" w:eastAsia="zh-CN"/>
                <w14:textFill>
                  <w14:solidFill>
                    <w14:schemeClr w14:val="tx1"/>
                  </w14:solidFill>
                </w14:textFill>
              </w:rPr>
              <w:t>不少于5</w:t>
            </w:r>
            <w:r>
              <w:rPr>
                <w:rFonts w:hint="eastAsia"/>
                <w:color w:val="000000" w:themeColor="text1"/>
                <w:szCs w:val="21"/>
                <w:highlight w:val="none"/>
                <w14:textFill>
                  <w14:solidFill>
                    <w14:schemeClr w14:val="tx1"/>
                  </w14:solidFill>
                </w14:textFill>
              </w:rPr>
              <w:t>年免费</w:t>
            </w:r>
            <w:r>
              <w:rPr>
                <w:rFonts w:hint="eastAsia"/>
                <w:color w:val="000000" w:themeColor="text1"/>
                <w:szCs w:val="21"/>
                <w:highlight w:val="none"/>
                <w:lang w:val="en-US" w:eastAsia="zh-CN"/>
                <w14:textFill>
                  <w14:solidFill>
                    <w14:schemeClr w14:val="tx1"/>
                  </w14:solidFill>
                </w14:textFill>
              </w:rPr>
              <w:t>整机</w:t>
            </w:r>
            <w:r>
              <w:rPr>
                <w:rFonts w:hint="eastAsia"/>
                <w:color w:val="000000" w:themeColor="text1"/>
                <w:szCs w:val="21"/>
                <w:highlight w:val="none"/>
                <w14:textFill>
                  <w14:solidFill>
                    <w14:schemeClr w14:val="tx1"/>
                  </w14:solidFill>
                </w14:textFill>
              </w:rPr>
              <w:t>原厂质保，质保期自验收签字之日起计算</w:t>
            </w:r>
          </w:p>
        </w:tc>
      </w:tr>
      <w:tr w14:paraId="5915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8" w:type="pct"/>
            <w:noWrap w:val="0"/>
            <w:vAlign w:val="center"/>
          </w:tcPr>
          <w:p w14:paraId="74641F4C">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w:t>
            </w:r>
          </w:p>
        </w:tc>
        <w:tc>
          <w:tcPr>
            <w:tcW w:w="1129" w:type="pct"/>
            <w:shd w:val="clear" w:color="auto" w:fill="auto"/>
            <w:noWrap w:val="0"/>
            <w:vAlign w:val="center"/>
          </w:tcPr>
          <w:p w14:paraId="702DA8A9">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医用冷藏箱（双门）</w:t>
            </w:r>
          </w:p>
        </w:tc>
        <w:tc>
          <w:tcPr>
            <w:tcW w:w="606" w:type="pct"/>
            <w:shd w:val="clear" w:color="auto" w:fill="auto"/>
            <w:noWrap w:val="0"/>
            <w:vAlign w:val="center"/>
          </w:tcPr>
          <w:p w14:paraId="5220489E">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735" w:type="pct"/>
            <w:vMerge w:val="continue"/>
            <w:noWrap w:val="0"/>
            <w:vAlign w:val="center"/>
          </w:tcPr>
          <w:p w14:paraId="30238156">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noWrap w:val="0"/>
            <w:vAlign w:val="center"/>
          </w:tcPr>
          <w:p w14:paraId="59ACF746">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noWrap w:val="0"/>
            <w:vAlign w:val="center"/>
          </w:tcPr>
          <w:p w14:paraId="32E91A0C">
            <w:pPr>
              <w:spacing w:line="360" w:lineRule="auto"/>
              <w:rPr>
                <w:rFonts w:hint="eastAsia"/>
                <w:color w:val="000000" w:themeColor="text1"/>
                <w:szCs w:val="21"/>
                <w:highlight w:val="none"/>
                <w14:textFill>
                  <w14:solidFill>
                    <w14:schemeClr w14:val="tx1"/>
                  </w14:solidFill>
                </w14:textFill>
              </w:rPr>
            </w:pPr>
          </w:p>
        </w:tc>
        <w:tc>
          <w:tcPr>
            <w:tcW w:w="766" w:type="pct"/>
            <w:vMerge w:val="continue"/>
            <w:noWrap w:val="0"/>
            <w:vAlign w:val="center"/>
          </w:tcPr>
          <w:p w14:paraId="74023D8A">
            <w:pPr>
              <w:spacing w:line="360" w:lineRule="auto"/>
              <w:jc w:val="center"/>
              <w:rPr>
                <w:rFonts w:hint="eastAsia"/>
                <w:color w:val="000000" w:themeColor="text1"/>
                <w:szCs w:val="21"/>
                <w:highlight w:val="none"/>
                <w14:textFill>
                  <w14:solidFill>
                    <w14:schemeClr w14:val="tx1"/>
                  </w14:solidFill>
                </w14:textFill>
              </w:rPr>
            </w:pPr>
          </w:p>
        </w:tc>
      </w:tr>
      <w:tr w14:paraId="20C4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38" w:type="pct"/>
            <w:noWrap w:val="0"/>
            <w:vAlign w:val="center"/>
          </w:tcPr>
          <w:p w14:paraId="1123C0FD">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w:t>
            </w:r>
          </w:p>
        </w:tc>
        <w:tc>
          <w:tcPr>
            <w:tcW w:w="1129" w:type="pct"/>
            <w:shd w:val="clear" w:color="auto" w:fill="auto"/>
            <w:noWrap w:val="0"/>
            <w:vAlign w:val="center"/>
          </w:tcPr>
          <w:p w14:paraId="4B9FF3FB">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小容积低温保存箱</w:t>
            </w:r>
          </w:p>
        </w:tc>
        <w:tc>
          <w:tcPr>
            <w:tcW w:w="606" w:type="pct"/>
            <w:shd w:val="clear" w:color="auto" w:fill="auto"/>
            <w:noWrap w:val="0"/>
            <w:vAlign w:val="center"/>
          </w:tcPr>
          <w:p w14:paraId="682DA001">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735" w:type="pct"/>
            <w:vMerge w:val="continue"/>
            <w:noWrap w:val="0"/>
            <w:vAlign w:val="center"/>
          </w:tcPr>
          <w:p w14:paraId="6FED4801">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noWrap w:val="0"/>
            <w:vAlign w:val="center"/>
          </w:tcPr>
          <w:p w14:paraId="51DF5239">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noWrap w:val="0"/>
            <w:vAlign w:val="center"/>
          </w:tcPr>
          <w:p w14:paraId="6BF2F6F3">
            <w:pPr>
              <w:spacing w:line="360" w:lineRule="auto"/>
              <w:rPr>
                <w:rFonts w:hint="eastAsia"/>
                <w:color w:val="000000" w:themeColor="text1"/>
                <w:szCs w:val="21"/>
                <w:highlight w:val="none"/>
                <w14:textFill>
                  <w14:solidFill>
                    <w14:schemeClr w14:val="tx1"/>
                  </w14:solidFill>
                </w14:textFill>
              </w:rPr>
            </w:pPr>
          </w:p>
        </w:tc>
        <w:tc>
          <w:tcPr>
            <w:tcW w:w="766" w:type="pct"/>
            <w:vMerge w:val="continue"/>
            <w:noWrap w:val="0"/>
            <w:vAlign w:val="center"/>
          </w:tcPr>
          <w:p w14:paraId="372DFC64">
            <w:pPr>
              <w:spacing w:line="360" w:lineRule="auto"/>
              <w:jc w:val="center"/>
              <w:rPr>
                <w:rFonts w:hint="eastAsia"/>
                <w:color w:val="000000" w:themeColor="text1"/>
                <w:szCs w:val="21"/>
                <w:highlight w:val="none"/>
                <w14:textFill>
                  <w14:solidFill>
                    <w14:schemeClr w14:val="tx1"/>
                  </w14:solidFill>
                </w14:textFill>
              </w:rPr>
            </w:pPr>
          </w:p>
        </w:tc>
      </w:tr>
      <w:tr w14:paraId="6C6F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8" w:type="pct"/>
          </w:tcPr>
          <w:p w14:paraId="43071822">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w:t>
            </w:r>
          </w:p>
        </w:tc>
        <w:tc>
          <w:tcPr>
            <w:tcW w:w="1129" w:type="pct"/>
            <w:shd w:val="clear" w:color="auto" w:fill="auto"/>
            <w:vAlign w:val="center"/>
          </w:tcPr>
          <w:p w14:paraId="2866E9C7">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大容积低温保存箱</w:t>
            </w:r>
          </w:p>
        </w:tc>
        <w:tc>
          <w:tcPr>
            <w:tcW w:w="606" w:type="pct"/>
            <w:shd w:val="clear" w:color="auto" w:fill="auto"/>
            <w:vAlign w:val="center"/>
          </w:tcPr>
          <w:p w14:paraId="114DC24A">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3台</w:t>
            </w:r>
          </w:p>
        </w:tc>
        <w:tc>
          <w:tcPr>
            <w:tcW w:w="735" w:type="pct"/>
            <w:vMerge w:val="continue"/>
          </w:tcPr>
          <w:p w14:paraId="622BEF16">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tcPr>
          <w:p w14:paraId="0CA141F9">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tcPr>
          <w:p w14:paraId="29FE45C7">
            <w:pPr>
              <w:spacing w:line="360" w:lineRule="auto"/>
              <w:rPr>
                <w:rFonts w:hint="eastAsia"/>
                <w:color w:val="000000" w:themeColor="text1"/>
                <w:szCs w:val="21"/>
                <w:highlight w:val="none"/>
                <w14:textFill>
                  <w14:solidFill>
                    <w14:schemeClr w14:val="tx1"/>
                  </w14:solidFill>
                </w14:textFill>
              </w:rPr>
            </w:pPr>
          </w:p>
        </w:tc>
        <w:tc>
          <w:tcPr>
            <w:tcW w:w="766" w:type="pct"/>
            <w:vMerge w:val="continue"/>
          </w:tcPr>
          <w:p w14:paraId="10E4EA8E">
            <w:pPr>
              <w:spacing w:line="360" w:lineRule="auto"/>
              <w:jc w:val="center"/>
              <w:rPr>
                <w:rFonts w:hint="eastAsia"/>
                <w:color w:val="000000" w:themeColor="text1"/>
                <w:szCs w:val="21"/>
                <w:highlight w:val="none"/>
                <w14:textFill>
                  <w14:solidFill>
                    <w14:schemeClr w14:val="tx1"/>
                  </w14:solidFill>
                </w14:textFill>
              </w:rPr>
            </w:pPr>
          </w:p>
        </w:tc>
      </w:tr>
      <w:tr w14:paraId="7936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38" w:type="pct"/>
          </w:tcPr>
          <w:p w14:paraId="76D1F5D9">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w:t>
            </w:r>
          </w:p>
        </w:tc>
        <w:tc>
          <w:tcPr>
            <w:tcW w:w="1129" w:type="pct"/>
            <w:shd w:val="clear" w:color="auto" w:fill="auto"/>
            <w:vAlign w:val="center"/>
          </w:tcPr>
          <w:p w14:paraId="50B8DFD1">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★超低温冰箱</w:t>
            </w:r>
          </w:p>
        </w:tc>
        <w:tc>
          <w:tcPr>
            <w:tcW w:w="606" w:type="pct"/>
            <w:shd w:val="clear" w:color="auto" w:fill="auto"/>
            <w:vAlign w:val="center"/>
          </w:tcPr>
          <w:p w14:paraId="3DFED2C3">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16台</w:t>
            </w:r>
          </w:p>
        </w:tc>
        <w:tc>
          <w:tcPr>
            <w:tcW w:w="735" w:type="pct"/>
            <w:vMerge w:val="continue"/>
          </w:tcPr>
          <w:p w14:paraId="6E829292">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tcPr>
          <w:p w14:paraId="4E87CC2C">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tcPr>
          <w:p w14:paraId="760FD678">
            <w:pPr>
              <w:spacing w:line="360" w:lineRule="auto"/>
              <w:rPr>
                <w:rFonts w:hint="eastAsia"/>
                <w:color w:val="000000" w:themeColor="text1"/>
                <w:szCs w:val="21"/>
                <w:highlight w:val="none"/>
                <w14:textFill>
                  <w14:solidFill>
                    <w14:schemeClr w14:val="tx1"/>
                  </w14:solidFill>
                </w14:textFill>
              </w:rPr>
            </w:pPr>
          </w:p>
        </w:tc>
        <w:tc>
          <w:tcPr>
            <w:tcW w:w="766" w:type="pct"/>
            <w:vMerge w:val="continue"/>
          </w:tcPr>
          <w:p w14:paraId="36887459">
            <w:pPr>
              <w:spacing w:line="360" w:lineRule="auto"/>
              <w:jc w:val="center"/>
              <w:rPr>
                <w:rFonts w:hint="eastAsia"/>
                <w:color w:val="000000" w:themeColor="text1"/>
                <w:szCs w:val="21"/>
                <w:highlight w:val="none"/>
                <w14:textFill>
                  <w14:solidFill>
                    <w14:schemeClr w14:val="tx1"/>
                  </w14:solidFill>
                </w14:textFill>
              </w:rPr>
            </w:pPr>
          </w:p>
        </w:tc>
      </w:tr>
      <w:tr w14:paraId="2BA0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38" w:type="pct"/>
          </w:tcPr>
          <w:p w14:paraId="6C6D91EB">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w:t>
            </w:r>
          </w:p>
        </w:tc>
        <w:tc>
          <w:tcPr>
            <w:tcW w:w="1129" w:type="pct"/>
            <w:shd w:val="clear" w:color="auto" w:fill="auto"/>
            <w:vAlign w:val="center"/>
          </w:tcPr>
          <w:p w14:paraId="00CDD16C">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小容积医用冷藏冷冻箱</w:t>
            </w:r>
          </w:p>
        </w:tc>
        <w:tc>
          <w:tcPr>
            <w:tcW w:w="606" w:type="pct"/>
            <w:shd w:val="clear" w:color="auto" w:fill="auto"/>
            <w:vAlign w:val="center"/>
          </w:tcPr>
          <w:p w14:paraId="48508874">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7台</w:t>
            </w:r>
          </w:p>
        </w:tc>
        <w:tc>
          <w:tcPr>
            <w:tcW w:w="735" w:type="pct"/>
            <w:vMerge w:val="continue"/>
          </w:tcPr>
          <w:p w14:paraId="20C1C256">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tcPr>
          <w:p w14:paraId="6073B18D">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tcPr>
          <w:p w14:paraId="7A5D3A86">
            <w:pPr>
              <w:spacing w:line="360" w:lineRule="auto"/>
              <w:rPr>
                <w:rFonts w:hint="eastAsia"/>
                <w:color w:val="000000" w:themeColor="text1"/>
                <w:szCs w:val="21"/>
                <w:highlight w:val="none"/>
                <w14:textFill>
                  <w14:solidFill>
                    <w14:schemeClr w14:val="tx1"/>
                  </w14:solidFill>
                </w14:textFill>
              </w:rPr>
            </w:pPr>
          </w:p>
        </w:tc>
        <w:tc>
          <w:tcPr>
            <w:tcW w:w="766" w:type="pct"/>
            <w:vMerge w:val="continue"/>
          </w:tcPr>
          <w:p w14:paraId="2163EF3E">
            <w:pPr>
              <w:spacing w:line="360" w:lineRule="auto"/>
              <w:jc w:val="center"/>
              <w:rPr>
                <w:rFonts w:hint="eastAsia"/>
                <w:color w:val="000000" w:themeColor="text1"/>
                <w:szCs w:val="21"/>
                <w:highlight w:val="none"/>
                <w14:textFill>
                  <w14:solidFill>
                    <w14:schemeClr w14:val="tx1"/>
                  </w14:solidFill>
                </w14:textFill>
              </w:rPr>
            </w:pPr>
          </w:p>
        </w:tc>
      </w:tr>
      <w:tr w14:paraId="7A2F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238" w:type="pct"/>
          </w:tcPr>
          <w:p w14:paraId="46FD88A0">
            <w:pPr>
              <w:spacing w:line="360" w:lineRule="auto"/>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w:t>
            </w:r>
          </w:p>
        </w:tc>
        <w:tc>
          <w:tcPr>
            <w:tcW w:w="1129" w:type="pct"/>
            <w:shd w:val="clear" w:color="auto" w:fill="auto"/>
            <w:vAlign w:val="center"/>
          </w:tcPr>
          <w:p w14:paraId="2836D07C">
            <w:pPr>
              <w:spacing w:line="36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大容积医用冷藏冷冻箱</w:t>
            </w:r>
          </w:p>
        </w:tc>
        <w:tc>
          <w:tcPr>
            <w:tcW w:w="606" w:type="pct"/>
            <w:shd w:val="clear" w:color="auto" w:fill="auto"/>
            <w:vAlign w:val="center"/>
          </w:tcPr>
          <w:p w14:paraId="0A219626">
            <w:pPr>
              <w:spacing w:line="360" w:lineRule="auto"/>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735" w:type="pct"/>
            <w:vMerge w:val="continue"/>
          </w:tcPr>
          <w:p w14:paraId="6EDFA3D9">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541" w:type="pct"/>
            <w:vMerge w:val="continue"/>
          </w:tcPr>
          <w:p w14:paraId="5A1A3913">
            <w:pPr>
              <w:spacing w:line="360" w:lineRule="auto"/>
              <w:jc w:val="center"/>
              <w:rPr>
                <w:rFonts w:hint="eastAsia"/>
                <w:color w:val="000000" w:themeColor="text1"/>
                <w:szCs w:val="21"/>
                <w:highlight w:val="none"/>
                <w:lang w:val="en-US" w:eastAsia="zh-CN"/>
                <w14:textFill>
                  <w14:solidFill>
                    <w14:schemeClr w14:val="tx1"/>
                  </w14:solidFill>
                </w14:textFill>
              </w:rPr>
            </w:pPr>
          </w:p>
        </w:tc>
        <w:tc>
          <w:tcPr>
            <w:tcW w:w="981" w:type="pct"/>
            <w:vMerge w:val="continue"/>
          </w:tcPr>
          <w:p w14:paraId="6FD3BE04">
            <w:pPr>
              <w:spacing w:line="360" w:lineRule="auto"/>
              <w:rPr>
                <w:rFonts w:hint="eastAsia"/>
                <w:color w:val="000000" w:themeColor="text1"/>
                <w:szCs w:val="21"/>
                <w:highlight w:val="none"/>
                <w14:textFill>
                  <w14:solidFill>
                    <w14:schemeClr w14:val="tx1"/>
                  </w14:solidFill>
                </w14:textFill>
              </w:rPr>
            </w:pPr>
          </w:p>
        </w:tc>
        <w:tc>
          <w:tcPr>
            <w:tcW w:w="766" w:type="pct"/>
            <w:vMerge w:val="continue"/>
          </w:tcPr>
          <w:p w14:paraId="4A170463">
            <w:pPr>
              <w:spacing w:line="360" w:lineRule="auto"/>
              <w:jc w:val="center"/>
              <w:rPr>
                <w:rFonts w:hint="eastAsia"/>
                <w:color w:val="000000" w:themeColor="text1"/>
                <w:szCs w:val="21"/>
                <w:highlight w:val="none"/>
                <w14:textFill>
                  <w14:solidFill>
                    <w14:schemeClr w14:val="tx1"/>
                  </w14:solidFill>
                </w14:textFill>
              </w:rPr>
            </w:pPr>
          </w:p>
        </w:tc>
      </w:tr>
    </w:tbl>
    <w:p w14:paraId="37F28E39">
      <w:pPr>
        <w:snapToGrid w:val="0"/>
        <w:spacing w:line="360" w:lineRule="auto"/>
        <w:ind w:firstLine="422" w:firstLineChars="200"/>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pPr>
    </w:p>
    <w:p w14:paraId="750D81FD">
      <w:pPr>
        <w:snapToGrid w:val="0"/>
        <w:spacing w:line="360" w:lineRule="auto"/>
        <w:ind w:firstLine="422" w:firstLineChars="200"/>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重要说明：</w:t>
      </w:r>
    </w:p>
    <w:p w14:paraId="1569CA7E">
      <w:pPr>
        <w:snapToGrid w:val="0"/>
        <w:spacing w:line="360" w:lineRule="auto"/>
        <w:ind w:firstLine="422" w:firstLineChars="200"/>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1、★号条款为实质性要求和条件，如不满足则为无效响应，★号条款参数需提供支撑材料（如白皮书、彩页、手册、检测报告等），材料请标注页码，未提供或未标注的也将视为负偏离。</w:t>
      </w:r>
    </w:p>
    <w:p w14:paraId="4BC2A4A5">
      <w:pPr>
        <w:snapToGrid w:val="0"/>
        <w:spacing w:line="360" w:lineRule="auto"/>
        <w:ind w:firstLine="422" w:firstLineChars="200"/>
        <w:rPr>
          <w:rFonts w:hint="eastAsia" w:asciiTheme="minorEastAsia" w:hAnsiTheme="minorEastAsia" w:eastAsiaTheme="minorEastAsia" w:cstheme="minorEastAsia"/>
          <w:bCs/>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2、▲号条款（如果有）为重要技术条款，重要技术条款和一般技术条款偏离将导致扣分。</w:t>
      </w:r>
    </w:p>
    <w:p w14:paraId="260CF3C8">
      <w:pPr>
        <w:numPr>
          <w:ilvl w:val="0"/>
          <w:numId w:val="0"/>
        </w:numPr>
        <w:spacing w:line="360" w:lineRule="auto"/>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bookmarkStart w:id="480" w:name="_Toc27767"/>
      <w:bookmarkStart w:id="481" w:name="_Toc91836565"/>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一、</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基本概况</w:t>
      </w:r>
    </w:p>
    <w:p w14:paraId="6BC0CE4C">
      <w:pPr>
        <w:numPr>
          <w:ilvl w:val="0"/>
          <w:numId w:val="0"/>
        </w:numPr>
        <w:spacing w:line="360" w:lineRule="auto"/>
        <w:ind w:firstLine="420" w:firstLineChars="0"/>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医用冰箱是研究所样本、试剂与菌种储存的关键设备，具备稳定控温、防污染、合规存储特性。主要用于存放皮肤临床皮损标本、真菌/细菌病原菌株、病理切片、检测试剂、染色液及标准质控品等。适用于医院系统、科研院所等使用。</w:t>
      </w:r>
    </w:p>
    <w:p w14:paraId="5CF77995">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二、工作条件</w:t>
      </w:r>
    </w:p>
    <w:p w14:paraId="5EF063A3">
      <w:pPr>
        <w:widowControl/>
        <w:spacing w:line="360" w:lineRule="auto"/>
        <w:ind w:firstLine="420" w:firstLineChars="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电源：冷藏冰箱10A、（超低温冰箱16A）</w:t>
      </w:r>
    </w:p>
    <w:p w14:paraId="296B7AAC">
      <w:pPr>
        <w:widowControl/>
        <w:spacing w:line="360" w:lineRule="auto"/>
        <w:ind w:firstLine="420" w:firstLineChars="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电压：220V</w:t>
      </w:r>
    </w:p>
    <w:p w14:paraId="0DBD2516">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三、配置要求</w:t>
      </w:r>
    </w:p>
    <w:tbl>
      <w:tblPr>
        <w:tblStyle w:val="3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6081"/>
        <w:gridCol w:w="1742"/>
      </w:tblGrid>
      <w:tr w14:paraId="6C03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2E74A967">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序号</w:t>
            </w:r>
          </w:p>
        </w:tc>
        <w:tc>
          <w:tcPr>
            <w:tcW w:w="3400" w:type="pct"/>
            <w:tcBorders>
              <w:top w:val="single" w:color="auto" w:sz="4" w:space="0"/>
              <w:left w:val="nil"/>
              <w:bottom w:val="single" w:color="auto" w:sz="4" w:space="0"/>
              <w:right w:val="single" w:color="auto" w:sz="4" w:space="0"/>
            </w:tcBorders>
            <w:noWrap w:val="0"/>
            <w:vAlign w:val="center"/>
          </w:tcPr>
          <w:p w14:paraId="6FD3D5DD">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配置设备名称</w:t>
            </w:r>
          </w:p>
        </w:tc>
        <w:tc>
          <w:tcPr>
            <w:tcW w:w="974" w:type="pct"/>
            <w:tcBorders>
              <w:top w:val="single" w:color="auto" w:sz="4" w:space="0"/>
              <w:left w:val="nil"/>
              <w:bottom w:val="single" w:color="auto" w:sz="4" w:space="0"/>
              <w:right w:val="single" w:color="auto" w:sz="4" w:space="0"/>
            </w:tcBorders>
            <w:noWrap w:val="0"/>
            <w:vAlign w:val="center"/>
          </w:tcPr>
          <w:p w14:paraId="5F0D2A2D">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数量（单位）</w:t>
            </w:r>
          </w:p>
        </w:tc>
      </w:tr>
      <w:tr w14:paraId="1BC1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2FFD68C4">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p>
        </w:tc>
        <w:tc>
          <w:tcPr>
            <w:tcW w:w="3400" w:type="pct"/>
            <w:tcBorders>
              <w:top w:val="single" w:color="auto" w:sz="4" w:space="0"/>
              <w:left w:val="nil"/>
              <w:bottom w:val="single" w:color="auto" w:sz="4" w:space="0"/>
              <w:right w:val="single" w:color="auto" w:sz="4" w:space="0"/>
            </w:tcBorders>
            <w:noWrap w:val="0"/>
            <w:vAlign w:val="center"/>
          </w:tcPr>
          <w:p w14:paraId="7CD53BE3">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医用冷藏箱</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（单门）</w:t>
            </w:r>
          </w:p>
        </w:tc>
        <w:tc>
          <w:tcPr>
            <w:tcW w:w="974" w:type="pct"/>
            <w:tcBorders>
              <w:top w:val="single" w:color="auto" w:sz="4" w:space="0"/>
              <w:left w:val="nil"/>
              <w:bottom w:val="single" w:color="auto" w:sz="4" w:space="0"/>
              <w:right w:val="single" w:color="auto" w:sz="4" w:space="0"/>
            </w:tcBorders>
            <w:noWrap w:val="0"/>
            <w:vAlign w:val="center"/>
          </w:tcPr>
          <w:p w14:paraId="42CC6856">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r>
      <w:tr w14:paraId="1E60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4FCD5FF5">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3400" w:type="pct"/>
            <w:tcBorders>
              <w:top w:val="single" w:color="auto" w:sz="4" w:space="0"/>
              <w:left w:val="nil"/>
              <w:bottom w:val="single" w:color="auto" w:sz="4" w:space="0"/>
              <w:right w:val="single" w:color="auto" w:sz="4" w:space="0"/>
            </w:tcBorders>
            <w:noWrap w:val="0"/>
            <w:vAlign w:val="center"/>
          </w:tcPr>
          <w:p w14:paraId="26D2C376">
            <w:pPr>
              <w:spacing w:line="360" w:lineRule="auto"/>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医用冷藏箱</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（双门）</w:t>
            </w:r>
          </w:p>
        </w:tc>
        <w:tc>
          <w:tcPr>
            <w:tcW w:w="974" w:type="pct"/>
            <w:tcBorders>
              <w:top w:val="single" w:color="auto" w:sz="4" w:space="0"/>
              <w:left w:val="nil"/>
              <w:bottom w:val="single" w:color="auto" w:sz="4" w:space="0"/>
              <w:right w:val="single" w:color="auto" w:sz="4" w:space="0"/>
            </w:tcBorders>
            <w:noWrap w:val="0"/>
            <w:vAlign w:val="center"/>
          </w:tcPr>
          <w:p w14:paraId="2E5B6BF8">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r>
      <w:tr w14:paraId="51DB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04DC9954">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3400" w:type="pct"/>
            <w:tcBorders>
              <w:top w:val="single" w:color="auto" w:sz="4" w:space="0"/>
              <w:left w:val="nil"/>
              <w:bottom w:val="single" w:color="auto" w:sz="4" w:space="0"/>
              <w:right w:val="single" w:color="auto" w:sz="4" w:space="0"/>
            </w:tcBorders>
            <w:noWrap w:val="0"/>
            <w:vAlign w:val="center"/>
          </w:tcPr>
          <w:p w14:paraId="0892CD5E">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小容积</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低温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保存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箱</w:t>
            </w:r>
          </w:p>
        </w:tc>
        <w:tc>
          <w:tcPr>
            <w:tcW w:w="974" w:type="pct"/>
            <w:tcBorders>
              <w:top w:val="single" w:color="auto" w:sz="4" w:space="0"/>
              <w:left w:val="nil"/>
              <w:bottom w:val="single" w:color="auto" w:sz="4" w:space="0"/>
              <w:right w:val="single" w:color="auto" w:sz="4" w:space="0"/>
            </w:tcBorders>
            <w:noWrap w:val="0"/>
            <w:vAlign w:val="center"/>
          </w:tcPr>
          <w:p w14:paraId="47508597">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r>
      <w:tr w14:paraId="5454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17E49FB2">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3400" w:type="pct"/>
            <w:tcBorders>
              <w:top w:val="single" w:color="auto" w:sz="4" w:space="0"/>
              <w:left w:val="nil"/>
              <w:bottom w:val="single" w:color="auto" w:sz="4" w:space="0"/>
              <w:right w:val="single" w:color="auto" w:sz="4" w:space="0"/>
            </w:tcBorders>
            <w:noWrap w:val="0"/>
            <w:vAlign w:val="center"/>
          </w:tcPr>
          <w:p w14:paraId="01054B18">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大容积低温保存箱</w:t>
            </w:r>
          </w:p>
        </w:tc>
        <w:tc>
          <w:tcPr>
            <w:tcW w:w="974" w:type="pct"/>
            <w:tcBorders>
              <w:top w:val="single" w:color="auto" w:sz="4" w:space="0"/>
              <w:left w:val="nil"/>
              <w:bottom w:val="single" w:color="auto" w:sz="4" w:space="0"/>
              <w:right w:val="single" w:color="auto" w:sz="4" w:space="0"/>
            </w:tcBorders>
            <w:noWrap w:val="0"/>
            <w:vAlign w:val="center"/>
          </w:tcPr>
          <w:p w14:paraId="38827745">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3台</w:t>
            </w:r>
          </w:p>
        </w:tc>
      </w:tr>
      <w:tr w14:paraId="6D28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5EFC98F2">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3400" w:type="pct"/>
            <w:tcBorders>
              <w:top w:val="single" w:color="auto" w:sz="4" w:space="0"/>
              <w:left w:val="nil"/>
              <w:bottom w:val="single" w:color="auto" w:sz="4" w:space="0"/>
              <w:right w:val="single" w:color="auto" w:sz="4" w:space="0"/>
            </w:tcBorders>
            <w:noWrap w:val="0"/>
            <w:vAlign w:val="center"/>
          </w:tcPr>
          <w:p w14:paraId="197BB9C4">
            <w:pPr>
              <w:spacing w:line="360" w:lineRule="auto"/>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超低温冰箱</w:t>
            </w:r>
          </w:p>
        </w:tc>
        <w:tc>
          <w:tcPr>
            <w:tcW w:w="974" w:type="pct"/>
            <w:tcBorders>
              <w:top w:val="single" w:color="auto" w:sz="4" w:space="0"/>
              <w:left w:val="nil"/>
              <w:bottom w:val="single" w:color="auto" w:sz="4" w:space="0"/>
              <w:right w:val="single" w:color="auto" w:sz="4" w:space="0"/>
            </w:tcBorders>
            <w:noWrap w:val="0"/>
            <w:vAlign w:val="center"/>
          </w:tcPr>
          <w:p w14:paraId="748E557E">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16台</w:t>
            </w:r>
          </w:p>
        </w:tc>
      </w:tr>
      <w:tr w14:paraId="71D8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0DD3D482">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6</w:t>
            </w:r>
          </w:p>
        </w:tc>
        <w:tc>
          <w:tcPr>
            <w:tcW w:w="3400" w:type="pct"/>
            <w:tcBorders>
              <w:top w:val="single" w:color="auto" w:sz="4" w:space="0"/>
              <w:left w:val="nil"/>
              <w:bottom w:val="single" w:color="auto" w:sz="4" w:space="0"/>
              <w:right w:val="single" w:color="auto" w:sz="4" w:space="0"/>
            </w:tcBorders>
            <w:noWrap w:val="0"/>
            <w:vAlign w:val="center"/>
          </w:tcPr>
          <w:p w14:paraId="105F9E6E">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小容积</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医用冷藏冷冻箱</w:t>
            </w:r>
          </w:p>
        </w:tc>
        <w:tc>
          <w:tcPr>
            <w:tcW w:w="974" w:type="pct"/>
            <w:tcBorders>
              <w:top w:val="single" w:color="auto" w:sz="4" w:space="0"/>
              <w:left w:val="nil"/>
              <w:bottom w:val="single" w:color="auto" w:sz="4" w:space="0"/>
              <w:right w:val="single" w:color="auto" w:sz="4" w:space="0"/>
            </w:tcBorders>
            <w:noWrap w:val="0"/>
            <w:vAlign w:val="center"/>
          </w:tcPr>
          <w:p w14:paraId="4C3228E2">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7台</w:t>
            </w:r>
          </w:p>
        </w:tc>
      </w:tr>
      <w:tr w14:paraId="1978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5" w:type="pct"/>
            <w:tcBorders>
              <w:top w:val="single" w:color="auto" w:sz="4" w:space="0"/>
              <w:left w:val="single" w:color="auto" w:sz="4" w:space="0"/>
              <w:bottom w:val="single" w:color="auto" w:sz="4" w:space="0"/>
              <w:right w:val="single" w:color="auto" w:sz="4" w:space="0"/>
            </w:tcBorders>
            <w:noWrap w:val="0"/>
            <w:vAlign w:val="center"/>
          </w:tcPr>
          <w:p w14:paraId="366ECB89">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w:t>
            </w:r>
          </w:p>
        </w:tc>
        <w:tc>
          <w:tcPr>
            <w:tcW w:w="3400" w:type="pct"/>
            <w:tcBorders>
              <w:top w:val="single" w:color="auto" w:sz="4" w:space="0"/>
              <w:left w:val="nil"/>
              <w:bottom w:val="single" w:color="auto" w:sz="4" w:space="0"/>
              <w:right w:val="single" w:color="auto" w:sz="4" w:space="0"/>
            </w:tcBorders>
            <w:noWrap w:val="0"/>
            <w:vAlign w:val="center"/>
          </w:tcPr>
          <w:p w14:paraId="30D19EB2">
            <w:pPr>
              <w:spacing w:line="360" w:lineRule="auto"/>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大容积</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医用冷藏冷冻箱</w:t>
            </w:r>
          </w:p>
        </w:tc>
        <w:tc>
          <w:tcPr>
            <w:tcW w:w="974" w:type="pct"/>
            <w:tcBorders>
              <w:top w:val="single" w:color="auto" w:sz="4" w:space="0"/>
              <w:left w:val="nil"/>
              <w:bottom w:val="single" w:color="auto" w:sz="4" w:space="0"/>
              <w:right w:val="single" w:color="auto" w:sz="4" w:space="0"/>
            </w:tcBorders>
            <w:noWrap w:val="0"/>
            <w:vAlign w:val="center"/>
          </w:tcPr>
          <w:p w14:paraId="4C066C9B">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r>
    </w:tbl>
    <w:p w14:paraId="462A567E">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AB91FE">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四、技术要求</w:t>
      </w:r>
    </w:p>
    <w:p w14:paraId="51A50B19">
      <w:pPr>
        <w:keepNext w:val="0"/>
        <w:keepLines w:val="0"/>
        <w:pageBreakBefore w:val="0"/>
        <w:widowControl/>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医用冷藏箱（单门）</w:t>
      </w:r>
    </w:p>
    <w:p w14:paraId="0E96678C">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1、样式：立式，单门。</w:t>
      </w:r>
    </w:p>
    <w:p w14:paraId="039BF5E9">
      <w:pPr>
        <w:pStyle w:val="32"/>
        <w:keepNext w:val="0"/>
        <w:keepLines w:val="0"/>
        <w:pageBreakBefore w:val="0"/>
        <w:kinsoku/>
        <w:wordWrap/>
        <w:overflowPunct/>
        <w:topLinePunct w:val="0"/>
        <w:autoSpaceDE/>
        <w:autoSpaceDN/>
        <w:bidi w:val="0"/>
        <w:adjustRightInd/>
        <w:snapToGrid/>
        <w:spacing w:line="360" w:lineRule="auto"/>
        <w:ind w:left="480" w:hanging="482" w:hanging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★2、有效容积≥370L。</w:t>
      </w:r>
    </w:p>
    <w:p w14:paraId="7D3914FF">
      <w:pPr>
        <w:pStyle w:val="32"/>
        <w:keepNext w:val="0"/>
        <w:keepLines w:val="0"/>
        <w:pageBreakBefore w:val="0"/>
        <w:kinsoku/>
        <w:wordWrap/>
        <w:overflowPunct/>
        <w:topLinePunct w:val="0"/>
        <w:autoSpaceDE/>
        <w:autoSpaceDN/>
        <w:bidi w:val="0"/>
        <w:adjustRightInd/>
        <w:snapToGrid/>
        <w:spacing w:line="360" w:lineRule="auto"/>
        <w:ind w:left="480" w:hanging="482" w:hanging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★3、箱内温度范围：2℃～8℃。</w:t>
      </w:r>
    </w:p>
    <w:p w14:paraId="5F058BEB">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▲4、外部尺寸：宽≤690mm，深≤680mm，高≤2000mm；内部尺寸：宽≥560mm，深≥510mm，高≥1340mm。</w:t>
      </w:r>
    </w:p>
    <w:p w14:paraId="66037280">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5、箱体材料：PCM钢板。</w:t>
      </w:r>
    </w:p>
    <w:p w14:paraId="75906DAF">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6、内胆材料：HIPS等耐低温、高强度的复合材料。</w:t>
      </w:r>
    </w:p>
    <w:p w14:paraId="593A10BF">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7、保温材料：无CFC聚氨酯发泡。</w:t>
      </w:r>
    </w:p>
    <w:p w14:paraId="461DD1CF">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8、制冷剂：碳氢制冷剂。</w:t>
      </w:r>
    </w:p>
    <w:p w14:paraId="063D85F3">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▲9、温度控制：高精度微电脑温度控制系统，适用范围在2℃～8℃范围内，控温精度0.1℃。</w:t>
      </w:r>
    </w:p>
    <w:p w14:paraId="69E3ACE6">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10、显示屏：微电脑控制，标配LED显示屏，可显示箱内温度、设定温度和环境温度，能设定高低温报警值等参数</w:t>
      </w:r>
    </w:p>
    <w:p w14:paraId="1317D6B0">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11、具备报警功能：至少包括高低温报警、开门报警、传感器故障报警、断电报警。</w:t>
      </w:r>
    </w:p>
    <w:p w14:paraId="32773FC4">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12、两种报警方式：声音蜂鸣器报警和闪烁报警。</w:t>
      </w:r>
    </w:p>
    <w:p w14:paraId="515131C3">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13、安全运行模式：当显示控制/报警传感器发生故障时，压缩机应正常运行，确保物品存储安全。</w:t>
      </w:r>
    </w:p>
    <w:p w14:paraId="2CFBBF28">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14、采用吹胀板蒸发器或翅片式蒸发器。</w:t>
      </w:r>
    </w:p>
    <w:p w14:paraId="59588FA0">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15、强制风循环，具有匀冷技术，确保箱体内部温度均匀性≤2℃；运行温度稳定，箱内温度波动性≤2℃（提供具有CMA以及CNAS资质的省级或以上相关产品监督检验机构出具的第三方检测报告）。</w:t>
      </w:r>
    </w:p>
    <w:p w14:paraId="1C80703A">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16、整机配置了减噪措施，低噪音运行。</w:t>
      </w:r>
    </w:p>
    <w:p w14:paraId="1E44E06F">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17、双层中空玻璃门，门体有防凝露设计，80%湿度条件下无凝露，可视效果好。</w:t>
      </w:r>
    </w:p>
    <w:p w14:paraId="23347EB7">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18、配置LED照明系统。</w:t>
      </w:r>
    </w:p>
    <w:p w14:paraId="24DD7EFF">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19、箱体标配测试孔，便于安装外置温度监控模块。</w:t>
      </w:r>
    </w:p>
    <w:p w14:paraId="64144577">
      <w:pPr>
        <w:pStyle w:val="32"/>
        <w:keepNext w:val="0"/>
        <w:keepLines w:val="0"/>
        <w:pageBreakBefore w:val="0"/>
        <w:kinsoku/>
        <w:wordWrap/>
        <w:overflowPunct/>
        <w:topLinePunct w:val="0"/>
        <w:autoSpaceDE/>
        <w:autoSpaceDN/>
        <w:bidi w:val="0"/>
        <w:adjustRightInd/>
        <w:snapToGrid/>
        <w:spacing w:line="360" w:lineRule="auto"/>
        <w:ind w:left="480" w:hanging="482" w:hanging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★20、每台冰箱标配温度记录仪</w:t>
      </w:r>
    </w:p>
    <w:p w14:paraId="6EBDCE2A">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▲21、配置≥4个高度可调浸塑搁架。</w:t>
      </w:r>
    </w:p>
    <w:p w14:paraId="11B57BD7">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22、具有门自闭装置，安全门锁设计，防止随意开启，使用更安全。</w:t>
      </w:r>
    </w:p>
    <w:p w14:paraId="0AFD22DC">
      <w:pPr>
        <w:pStyle w:val="32"/>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23、箱体底部配带锁止功能的万向轮，便于移动和安放。</w:t>
      </w:r>
    </w:p>
    <w:p w14:paraId="45652D8F">
      <w:pPr>
        <w:pStyle w:val="32"/>
        <w:keepNext w:val="0"/>
        <w:keepLines w:val="0"/>
        <w:pageBreakBefore w:val="0"/>
        <w:kinsoku/>
        <w:wordWrap/>
        <w:overflowPunct/>
        <w:topLinePunct w:val="0"/>
        <w:bidi w:val="0"/>
        <w:spacing w:line="360" w:lineRule="auto"/>
        <w:ind w:left="480" w:hanging="480" w:hanging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医用冷藏箱（双门）</w:t>
      </w:r>
    </w:p>
    <w:p w14:paraId="51E69A23">
      <w:pPr>
        <w:keepNext w:val="0"/>
        <w:keepLines w:val="0"/>
        <w:pageBreakBefore w:val="0"/>
        <w:widowControl/>
        <w:kinsoku/>
        <w:wordWrap/>
        <w:overflowPunct/>
        <w:topLinePunct w:val="0"/>
        <w:bidi w:val="0"/>
        <w:spacing w:line="360" w:lineRule="auto"/>
        <w:ind w:left="480" w:hanging="480" w:hangingChars="200"/>
        <w:jc w:val="left"/>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宋体"/>
          <w:color w:val="000000" w:themeColor="text1"/>
          <w:sz w:val="24"/>
          <w:szCs w:val="24"/>
          <w:highlight w:val="none"/>
          <w14:textFill>
            <w14:solidFill>
              <w14:schemeClr w14:val="tx1"/>
            </w14:solidFill>
          </w14:textFill>
        </w:rPr>
        <w:t>、样式：立式，双门</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p>
    <w:p w14:paraId="430BC471">
      <w:pPr>
        <w:keepNext w:val="0"/>
        <w:keepLines w:val="0"/>
        <w:pageBreakBefore w:val="0"/>
        <w:widowControl/>
        <w:kinsoku/>
        <w:wordWrap/>
        <w:overflowPunct/>
        <w:topLinePunct w:val="0"/>
        <w:bidi w:val="0"/>
        <w:spacing w:line="360" w:lineRule="auto"/>
        <w:ind w:left="480" w:hanging="482" w:hangingChars="200"/>
        <w:jc w:val="lef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highlight w:val="none"/>
          <w:lang w:val="en-US" w:eastAsia="zh-CN"/>
          <w14:textFill>
            <w14:solidFill>
              <w14:schemeClr w14:val="tx1"/>
            </w14:solidFill>
          </w14:textFill>
        </w:rPr>
        <w:t>2、</w:t>
      </w:r>
      <w:r>
        <w:rPr>
          <w:rFonts w:hint="eastAsia" w:ascii="Times New Roman" w:hAnsi="Times New Roman" w:eastAsia="宋体" w:cs="宋体"/>
          <w:b/>
          <w:bCs/>
          <w:color w:val="000000" w:themeColor="text1"/>
          <w:sz w:val="24"/>
          <w:szCs w:val="24"/>
          <w:highlight w:val="none"/>
          <w14:textFill>
            <w14:solidFill>
              <w14:schemeClr w14:val="tx1"/>
            </w14:solidFill>
          </w14:textFill>
        </w:rPr>
        <w:t>有效容积≥</w:t>
      </w:r>
      <w:r>
        <w:rPr>
          <w:rFonts w:ascii="Times New Roman" w:hAnsi="Times New Roman" w:eastAsia="宋体" w:cs="宋体"/>
          <w:b/>
          <w:bCs/>
          <w:color w:val="000000" w:themeColor="text1"/>
          <w:sz w:val="24"/>
          <w:szCs w:val="24"/>
          <w:highlight w:val="none"/>
          <w14:textFill>
            <w14:solidFill>
              <w14:schemeClr w14:val="tx1"/>
            </w14:solidFill>
          </w14:textFill>
        </w:rPr>
        <w:t>100</w:t>
      </w: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0</w:t>
      </w:r>
      <w:r>
        <w:rPr>
          <w:rFonts w:hint="eastAsia" w:ascii="Times New Roman" w:hAnsi="Times New Roman" w:eastAsia="宋体" w:cs="宋体"/>
          <w:b/>
          <w:bCs/>
          <w:color w:val="000000" w:themeColor="text1"/>
          <w:sz w:val="24"/>
          <w:szCs w:val="24"/>
          <w:highlight w:val="none"/>
          <w14:textFill>
            <w14:solidFill>
              <w14:schemeClr w14:val="tx1"/>
            </w14:solidFill>
          </w14:textFill>
        </w:rPr>
        <w:t>L。</w:t>
      </w:r>
    </w:p>
    <w:p w14:paraId="3DD7AD0A">
      <w:pPr>
        <w:pStyle w:val="32"/>
        <w:keepNext w:val="0"/>
        <w:keepLines w:val="0"/>
        <w:pageBreakBefore w:val="0"/>
        <w:widowControl/>
        <w:kinsoku/>
        <w:wordWrap/>
        <w:overflowPunct/>
        <w:topLinePunct w:val="0"/>
        <w:bidi w:val="0"/>
        <w:spacing w:line="360" w:lineRule="auto"/>
        <w:ind w:left="480" w:hanging="482" w:hangingChars="200"/>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宋体"/>
          <w:b/>
          <w:bCs/>
          <w:color w:val="000000" w:themeColor="text1"/>
          <w:sz w:val="24"/>
          <w:szCs w:val="24"/>
          <w:highlight w:val="none"/>
          <w14:textFill>
            <w14:solidFill>
              <w14:schemeClr w14:val="tx1"/>
            </w14:solidFill>
          </w14:textFill>
        </w:rPr>
        <w:t>、箱内温度范围：2</w:t>
      </w:r>
      <w:r>
        <w:rPr>
          <w:rFonts w:ascii="Times New Roman" w:hAnsi="Times New Roman" w:eastAsia="宋体" w:cs="宋体"/>
          <w:b/>
          <w:bCs/>
          <w:color w:val="000000" w:themeColor="text1"/>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ascii="Times New Roman" w:hAnsi="Times New Roman" w:eastAsia="宋体" w:cs="宋体"/>
          <w:b/>
          <w:bCs/>
          <w:color w:val="000000" w:themeColor="text1"/>
          <w:sz w:val="24"/>
          <w:szCs w:val="24"/>
          <w:highlight w:val="none"/>
          <w14:textFill>
            <w14:solidFill>
              <w14:schemeClr w14:val="tx1"/>
            </w14:solidFill>
          </w14:textFill>
        </w:rPr>
        <w:t>8℃</w:t>
      </w:r>
      <w:r>
        <w:rPr>
          <w:rFonts w:hint="eastAsia" w:ascii="Times New Roman" w:hAnsi="Times New Roman" w:eastAsia="宋体" w:cs="宋体"/>
          <w:b/>
          <w:bCs/>
          <w:color w:val="000000" w:themeColor="text1"/>
          <w:sz w:val="24"/>
          <w:szCs w:val="24"/>
          <w:highlight w:val="none"/>
          <w14:textFill>
            <w14:solidFill>
              <w14:schemeClr w14:val="tx1"/>
            </w14:solidFill>
          </w14:textFill>
        </w:rPr>
        <w:t>。</w:t>
      </w:r>
    </w:p>
    <w:p w14:paraId="59F3F256">
      <w:pPr>
        <w:keepNext w:val="0"/>
        <w:keepLines w:val="0"/>
        <w:pageBreakBefore w:val="0"/>
        <w:widowControl/>
        <w:kinsoku/>
        <w:wordWrap/>
        <w:overflowPunct/>
        <w:topLinePunct w:val="0"/>
        <w:bidi w:val="0"/>
        <w:spacing w:line="360" w:lineRule="auto"/>
        <w:ind w:left="480" w:hanging="480" w:hangingChars="200"/>
        <w:jc w:val="left"/>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外部尺寸：宽</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≤122</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0</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mm，</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深</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≤90</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0</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mm，</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高</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≤2000mm</w:t>
      </w:r>
      <w:r>
        <w:rPr>
          <w:rFonts w:hint="eastAsia" w:ascii="Times New Roman" w:hAnsi="Times New Roman" w:eastAsia="宋体"/>
          <w:color w:val="000000" w:themeColor="text1"/>
          <w:sz w:val="24"/>
          <w:highlight w:val="none"/>
          <w:lang w:eastAsia="zh-CN"/>
          <w14:textFill>
            <w14:solidFill>
              <w14:schemeClr w14:val="tx1"/>
            </w14:solidFill>
          </w14:textFill>
        </w:rPr>
        <w:t>；</w:t>
      </w:r>
      <w:r>
        <w:rPr>
          <w:rFonts w:hint="eastAsia" w:ascii="Times New Roman" w:hAnsi="Times New Roman" w:eastAsia="宋体"/>
          <w:color w:val="000000" w:themeColor="text1"/>
          <w:sz w:val="24"/>
          <w:highlight w:val="none"/>
          <w:lang w:val="en-US" w:eastAsia="zh-CN"/>
          <w14:textFill>
            <w14:solidFill>
              <w14:schemeClr w14:val="tx1"/>
            </w14:solidFill>
          </w14:textFill>
        </w:rPr>
        <w:t>内部尺寸：宽≥1070mm，深≥585mm，高≥1350mm。</w:t>
      </w:r>
    </w:p>
    <w:p w14:paraId="4F9BF037">
      <w:pPr>
        <w:pStyle w:val="32"/>
        <w:keepNext w:val="0"/>
        <w:keepLines w:val="0"/>
        <w:pageBreakBefore w:val="0"/>
        <w:widowControl/>
        <w:kinsoku/>
        <w:wordWrap/>
        <w:overflowPunct/>
        <w:topLinePunct w:val="0"/>
        <w:bidi w:val="0"/>
        <w:spacing w:line="360" w:lineRule="auto"/>
        <w:ind w:left="480" w:hanging="480" w:hangingChars="200"/>
        <w:textAlignment w:val="auto"/>
        <w:rPr>
          <w:rFonts w:hint="default" w:ascii="Times New Roman" w:hAnsi="Times New Roman" w:eastAsia="宋体"/>
          <w:color w:val="000000" w:themeColor="text1"/>
          <w:sz w:val="24"/>
          <w:highlight w:val="none"/>
          <w:lang w:val="en-US" w:eastAsia="zh-CN"/>
          <w14:textFill>
            <w14:solidFill>
              <w14:schemeClr w14:val="tx1"/>
            </w14:solidFill>
          </w14:textFill>
        </w:rPr>
      </w:pPr>
      <w:r>
        <w:rPr>
          <w:rFonts w:hint="eastAsia" w:ascii="Times New Roman" w:hAnsi="Times New Roman" w:eastAsia="宋体" w:cs="宋体"/>
          <w:color w:val="000000" w:themeColor="text1"/>
          <w:sz w:val="24"/>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4"/>
          <w:szCs w:val="24"/>
          <w:highlight w:val="none"/>
          <w14:textFill>
            <w14:solidFill>
              <w14:schemeClr w14:val="tx1"/>
            </w14:solidFill>
          </w14:textFill>
        </w:rPr>
        <w:t>箱体材料：PCM</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钢</w:t>
      </w:r>
      <w:r>
        <w:rPr>
          <w:rFonts w:hint="eastAsia" w:ascii="Times New Roman" w:hAnsi="Times New Roman" w:eastAsia="宋体" w:cs="宋体"/>
          <w:color w:val="000000" w:themeColor="text1"/>
          <w:sz w:val="24"/>
          <w:szCs w:val="24"/>
          <w:highlight w:val="none"/>
          <w14:textFill>
            <w14:solidFill>
              <w14:schemeClr w14:val="tx1"/>
            </w14:solidFill>
          </w14:textFill>
        </w:rPr>
        <w:t>板。</w:t>
      </w:r>
    </w:p>
    <w:p w14:paraId="324A3899">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宋体"/>
          <w:color w:val="000000" w:themeColor="text1"/>
          <w:sz w:val="24"/>
          <w:szCs w:val="24"/>
          <w:highlight w:val="none"/>
          <w14:textFill>
            <w14:solidFill>
              <w14:schemeClr w14:val="tx1"/>
            </w14:solidFill>
          </w14:textFill>
        </w:rPr>
        <w:t>、内胆材料：预涂铝板</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或预涂钢板</w:t>
      </w:r>
      <w:r>
        <w:rPr>
          <w:rFonts w:hint="eastAsia" w:ascii="Times New Roman" w:hAnsi="Times New Roman" w:eastAsia="宋体" w:cs="宋体"/>
          <w:color w:val="000000" w:themeColor="text1"/>
          <w:sz w:val="24"/>
          <w:szCs w:val="24"/>
          <w:highlight w:val="none"/>
          <w14:textFill>
            <w14:solidFill>
              <w14:schemeClr w14:val="tx1"/>
            </w14:solidFill>
          </w14:textFill>
        </w:rPr>
        <w:t>。</w:t>
      </w:r>
    </w:p>
    <w:p w14:paraId="455AFC0B">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7、保温材料：无CFC聚氨酯发泡。</w:t>
      </w:r>
    </w:p>
    <w:p w14:paraId="7ACF0948">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8</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制冷剂：</w:t>
      </w:r>
      <w:r>
        <w:rPr>
          <w:rFonts w:hint="eastAsia" w:ascii="Times New Roman" w:hAnsi="Times New Roman" w:eastAsia="宋体" w:cs="宋体"/>
          <w:color w:val="000000" w:themeColor="text1"/>
          <w:sz w:val="24"/>
          <w:highlight w:val="none"/>
          <w14:textFill>
            <w14:solidFill>
              <w14:schemeClr w14:val="tx1"/>
            </w14:solidFill>
          </w14:textFill>
        </w:rPr>
        <w:t>无氟</w:t>
      </w:r>
      <w:r>
        <w:rPr>
          <w:rFonts w:hint="eastAsia" w:ascii="Times New Roman" w:hAnsi="Times New Roman" w:eastAsia="宋体" w:cs="宋体"/>
          <w:color w:val="000000" w:themeColor="text1"/>
          <w:sz w:val="24"/>
          <w:highlight w:val="none"/>
          <w14:textFill>
            <w14:solidFill>
              <w14:schemeClr w14:val="tx1"/>
            </w14:solidFill>
          </w14:textFill>
        </w:rPr>
        <w:t>制冷剂</w:t>
      </w:r>
      <w:r>
        <w:rPr>
          <w:rFonts w:hint="eastAsia" w:ascii="Times New Roman" w:hAnsi="Times New Roman" w:eastAsia="宋体" w:cs="宋体"/>
          <w:color w:val="000000" w:themeColor="text1"/>
          <w:sz w:val="24"/>
          <w:szCs w:val="24"/>
          <w:highlight w:val="none"/>
          <w14:textFill>
            <w14:solidFill>
              <w14:schemeClr w14:val="tx1"/>
            </w14:solidFill>
          </w14:textFill>
        </w:rPr>
        <w:t>。</w:t>
      </w:r>
    </w:p>
    <w:p w14:paraId="7BEBD18C">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9</w:t>
      </w:r>
      <w:r>
        <w:rPr>
          <w:rFonts w:hint="eastAsia" w:ascii="Times New Roman" w:hAnsi="Times New Roman" w:eastAsia="宋体" w:cs="宋体"/>
          <w:color w:val="000000" w:themeColor="text1"/>
          <w:sz w:val="24"/>
          <w:highlight w:val="none"/>
          <w14:textFill>
            <w14:solidFill>
              <w14:schemeClr w14:val="tx1"/>
            </w14:solidFill>
          </w14:textFill>
        </w:rPr>
        <w:t>、温度控制：高精度微电脑温度控制系统，</w:t>
      </w:r>
      <w:r>
        <w:rPr>
          <w:rFonts w:hint="eastAsia" w:ascii="Times New Roman" w:hAnsi="Times New Roman" w:eastAsia="宋体" w:cs="宋体"/>
          <w:color w:val="000000" w:themeColor="text1"/>
          <w:sz w:val="24"/>
          <w:szCs w:val="24"/>
          <w:highlight w:val="none"/>
          <w14:textFill>
            <w14:solidFill>
              <w14:schemeClr w14:val="tx1"/>
            </w14:solidFill>
          </w14:textFill>
        </w:rPr>
        <w:t>内置</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至少5</w:t>
      </w:r>
      <w:r>
        <w:rPr>
          <w:rFonts w:hint="eastAsia" w:ascii="Times New Roman" w:hAnsi="Times New Roman" w:eastAsia="宋体" w:cs="宋体"/>
          <w:color w:val="000000" w:themeColor="text1"/>
          <w:sz w:val="24"/>
          <w:szCs w:val="24"/>
          <w:highlight w:val="none"/>
          <w14:textFill>
            <w14:solidFill>
              <w14:schemeClr w14:val="tx1"/>
            </w14:solidFill>
          </w14:textFill>
        </w:rPr>
        <w:t>个传感器。</w:t>
      </w:r>
      <w:r>
        <w:rPr>
          <w:rFonts w:hint="eastAsia" w:ascii="Times New Roman" w:hAnsi="Times New Roman" w:eastAsia="宋体" w:cs="宋体"/>
          <w:color w:val="000000" w:themeColor="text1"/>
          <w:sz w:val="24"/>
          <w:highlight w:val="none"/>
          <w14:textFill>
            <w14:solidFill>
              <w14:schemeClr w14:val="tx1"/>
            </w14:solidFill>
          </w14:textFill>
        </w:rPr>
        <w:t>适用范围在</w:t>
      </w:r>
      <w:r>
        <w:rPr>
          <w:rFonts w:hint="eastAsia" w:ascii="Times New Roman" w:hAnsi="Times New Roman" w:eastAsia="宋体" w:cs="宋体"/>
          <w:color w:val="000000" w:themeColor="text1"/>
          <w:sz w:val="24"/>
          <w:szCs w:val="24"/>
          <w:highlight w:val="none"/>
          <w14:textFill>
            <w14:solidFill>
              <w14:schemeClr w14:val="tx1"/>
            </w14:solidFill>
          </w14:textFill>
        </w:rPr>
        <w:t>2</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14:textFill>
            <w14:solidFill>
              <w14:schemeClr w14:val="tx1"/>
            </w14:solidFill>
          </w14:textFill>
        </w:rPr>
        <w:t>～</w:t>
      </w:r>
      <w:r>
        <w:rPr>
          <w:rFonts w:ascii="Times New Roman" w:hAnsi="Times New Roman" w:eastAsia="宋体" w:cs="宋体"/>
          <w:color w:val="000000" w:themeColor="text1"/>
          <w:sz w:val="24"/>
          <w:szCs w:val="24"/>
          <w:highlight w:val="none"/>
          <w14:textFill>
            <w14:solidFill>
              <w14:schemeClr w14:val="tx1"/>
            </w14:solidFill>
          </w14:textFill>
        </w:rPr>
        <w:t>8℃</w:t>
      </w:r>
      <w:r>
        <w:rPr>
          <w:rFonts w:hint="eastAsia" w:ascii="Times New Roman" w:hAnsi="Times New Roman" w:eastAsia="宋体" w:cs="宋体"/>
          <w:color w:val="000000" w:themeColor="text1"/>
          <w:sz w:val="24"/>
          <w:highlight w:val="none"/>
          <w14:textFill>
            <w14:solidFill>
              <w14:schemeClr w14:val="tx1"/>
            </w14:solidFill>
          </w14:textFill>
        </w:rPr>
        <w:t>范围内，</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控温精度</w:t>
      </w:r>
      <w:r>
        <w:rPr>
          <w:rFonts w:hint="eastAsia" w:ascii="Times New Roman" w:hAnsi="Times New Roman" w:eastAsia="宋体" w:cs="宋体"/>
          <w:color w:val="000000" w:themeColor="text1"/>
          <w:sz w:val="24"/>
          <w:highlight w:val="none"/>
          <w14:textFill>
            <w14:solidFill>
              <w14:schemeClr w14:val="tx1"/>
            </w14:solidFill>
          </w14:textFill>
        </w:rPr>
        <w:t>0.1℃。</w:t>
      </w:r>
    </w:p>
    <w:p w14:paraId="65140BE7">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0</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显示屏</w:t>
      </w:r>
      <w:r>
        <w:rPr>
          <w:rFonts w:hint="eastAsia" w:ascii="Times New Roman" w:hAnsi="Times New Roman" w:eastAsia="宋体" w:cs="宋体"/>
          <w:color w:val="000000" w:themeColor="text1"/>
          <w:sz w:val="24"/>
          <w:highlight w:val="none"/>
          <w14:textFill>
            <w14:solidFill>
              <w14:schemeClr w14:val="tx1"/>
            </w14:solidFill>
          </w14:textFill>
        </w:rPr>
        <w:t>：微电脑控制，可显示箱内温度、设定温度和环境温度，能设定高低温报警</w:t>
      </w:r>
      <w:r>
        <w:rPr>
          <w:rFonts w:hint="eastAsia" w:ascii="Times New Roman" w:hAnsi="Times New Roman" w:eastAsia="宋体" w:cs="宋体"/>
          <w:color w:val="000000" w:themeColor="text1"/>
          <w:sz w:val="24"/>
          <w:highlight w:val="none"/>
          <w:lang w:eastAsia="zh-CN"/>
          <w14:textFill>
            <w14:solidFill>
              <w14:schemeClr w14:val="tx1"/>
            </w14:solidFill>
          </w14:textFill>
        </w:rPr>
        <w:t>。</w:t>
      </w:r>
    </w:p>
    <w:p w14:paraId="128891BF">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1</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具备</w:t>
      </w:r>
      <w:r>
        <w:rPr>
          <w:rFonts w:hint="eastAsia" w:ascii="Times New Roman" w:hAnsi="Times New Roman" w:eastAsia="宋体" w:cs="宋体"/>
          <w:color w:val="000000" w:themeColor="text1"/>
          <w:sz w:val="24"/>
          <w:szCs w:val="24"/>
          <w:highlight w:val="none"/>
          <w14:textFill>
            <w14:solidFill>
              <w14:schemeClr w14:val="tx1"/>
            </w14:solidFill>
          </w14:textFill>
        </w:rPr>
        <w:t>报警功能</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至少包括</w:t>
      </w:r>
      <w:r>
        <w:rPr>
          <w:rFonts w:hint="eastAsia" w:ascii="Times New Roman" w:hAnsi="Times New Roman" w:eastAsia="宋体" w:cs="宋体"/>
          <w:color w:val="000000" w:themeColor="text1"/>
          <w:sz w:val="24"/>
          <w:highlight w:val="none"/>
          <w14:textFill>
            <w14:solidFill>
              <w14:schemeClr w14:val="tx1"/>
            </w14:solidFill>
          </w14:textFill>
        </w:rPr>
        <w:t>高低温报警、开</w:t>
      </w:r>
      <w:r>
        <w:rPr>
          <w:rFonts w:hint="eastAsia" w:ascii="Times New Roman" w:hAnsi="Times New Roman" w:eastAsia="宋体" w:cs="宋体"/>
          <w:color w:val="000000" w:themeColor="text1"/>
          <w:sz w:val="24"/>
          <w:highlight w:val="none"/>
          <w14:textFill>
            <w14:solidFill>
              <w14:schemeClr w14:val="tx1"/>
            </w14:solidFill>
          </w14:textFill>
        </w:rPr>
        <w:t>门报警、传感器故障报警</w:t>
      </w:r>
      <w:r>
        <w:rPr>
          <w:rFonts w:ascii="Times New Roman" w:hAnsi="Times New Roman" w:eastAsia="宋体" w:cs="宋体"/>
          <w:color w:val="000000" w:themeColor="text1"/>
          <w:sz w:val="24"/>
          <w:highlight w:val="none"/>
          <w14:textFill>
            <w14:solidFill>
              <w14:schemeClr w14:val="tx1"/>
            </w14:solidFill>
          </w14:textFill>
        </w:rPr>
        <w:t>、断电报警</w:t>
      </w:r>
      <w:r>
        <w:rPr>
          <w:rFonts w:hint="eastAsia" w:ascii="Times New Roman" w:hAnsi="Times New Roman" w:eastAsia="宋体" w:cs="宋体"/>
          <w:color w:val="000000" w:themeColor="text1"/>
          <w:sz w:val="24"/>
          <w:highlight w:val="none"/>
          <w14:textFill>
            <w14:solidFill>
              <w14:schemeClr w14:val="tx1"/>
            </w14:solidFill>
          </w14:textFill>
        </w:rPr>
        <w:t>。</w:t>
      </w:r>
    </w:p>
    <w:p w14:paraId="16517FC5">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宋体"/>
          <w:color w:val="000000" w:themeColor="text1"/>
          <w:sz w:val="24"/>
          <w:szCs w:val="24"/>
          <w:highlight w:val="none"/>
          <w14:textFill>
            <w14:solidFill>
              <w14:schemeClr w14:val="tx1"/>
            </w14:solidFill>
          </w14:textFill>
        </w:rPr>
        <w:t>、两种报警方式：声音蜂鸣器报警</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和</w:t>
      </w:r>
      <w:r>
        <w:rPr>
          <w:rFonts w:hint="eastAsia" w:ascii="Times New Roman" w:hAnsi="Times New Roman" w:eastAsia="宋体" w:cs="宋体"/>
          <w:color w:val="000000" w:themeColor="text1"/>
          <w:sz w:val="24"/>
          <w:szCs w:val="24"/>
          <w:highlight w:val="none"/>
          <w14:textFill>
            <w14:solidFill>
              <w14:schemeClr w14:val="tx1"/>
            </w14:solidFill>
          </w14:textFill>
        </w:rPr>
        <w:t>闪烁报警。</w:t>
      </w:r>
    </w:p>
    <w:p w14:paraId="483C0897">
      <w:pPr>
        <w:pStyle w:val="32"/>
        <w:keepNext w:val="0"/>
        <w:keepLines w:val="0"/>
        <w:pageBreakBefore w:val="0"/>
        <w:widowControl/>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安全运行模式：</w:t>
      </w:r>
      <w:r>
        <w:rPr>
          <w:rFonts w:hint="eastAsia" w:ascii="Times New Roman" w:hAnsi="Times New Roman" w:eastAsia="宋体" w:cs="宋体"/>
          <w:color w:val="000000" w:themeColor="text1"/>
          <w:sz w:val="24"/>
          <w:szCs w:val="24"/>
          <w:highlight w:val="none"/>
          <w14:textFill>
            <w14:solidFill>
              <w14:schemeClr w14:val="tx1"/>
            </w14:solidFill>
          </w14:textFill>
        </w:rPr>
        <w:t>当显示控制/报警传感器发生故障时，</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压缩机应正常运行</w:t>
      </w:r>
      <w:r>
        <w:rPr>
          <w:rFonts w:hint="eastAsia" w:ascii="Times New Roman" w:hAnsi="Times New Roman" w:eastAsia="宋体" w:cs="宋体"/>
          <w:color w:val="000000" w:themeColor="text1"/>
          <w:sz w:val="24"/>
          <w:szCs w:val="24"/>
          <w:highlight w:val="none"/>
          <w14:textFill>
            <w14:solidFill>
              <w14:schemeClr w14:val="tx1"/>
            </w14:solidFill>
          </w14:textFill>
        </w:rPr>
        <w:t>，确保物品存储安全。</w:t>
      </w:r>
    </w:p>
    <w:p w14:paraId="2CE1D9D4">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4"/>
          <w:highlight w:val="none"/>
          <w14:textFill>
            <w14:solidFill>
              <w14:schemeClr w14:val="tx1"/>
            </w14:solidFill>
          </w14:textFill>
        </w:rPr>
        <w:t>、采用</w:t>
      </w:r>
      <w:r>
        <w:rPr>
          <w:rFonts w:ascii="Times New Roman" w:hAnsi="Times New Roman" w:eastAsia="宋体" w:cs="宋体"/>
          <w:color w:val="000000" w:themeColor="text1"/>
          <w:sz w:val="24"/>
          <w:highlight w:val="none"/>
          <w14:textFill>
            <w14:solidFill>
              <w14:schemeClr w14:val="tx1"/>
            </w14:solidFill>
          </w14:textFill>
        </w:rPr>
        <w:t>翅片</w:t>
      </w:r>
      <w:r>
        <w:rPr>
          <w:rFonts w:hint="eastAsia" w:ascii="Times New Roman" w:hAnsi="Times New Roman" w:eastAsia="宋体" w:cs="宋体"/>
          <w:color w:val="000000" w:themeColor="text1"/>
          <w:sz w:val="24"/>
          <w:highlight w:val="none"/>
          <w14:textFill>
            <w14:solidFill>
              <w14:schemeClr w14:val="tx1"/>
            </w14:solidFill>
          </w14:textFill>
        </w:rPr>
        <w:t>蒸发器</w:t>
      </w:r>
      <w:r>
        <w:rPr>
          <w:rFonts w:hint="eastAsia" w:ascii="Times New Roman" w:hAnsi="Times New Roman" w:eastAsia="宋体" w:cs="宋体"/>
          <w:color w:val="000000" w:themeColor="text1"/>
          <w:sz w:val="24"/>
          <w:highlight w:val="none"/>
          <w14:textFill>
            <w14:solidFill>
              <w14:schemeClr w14:val="tx1"/>
            </w14:solidFill>
          </w14:textFill>
        </w:rPr>
        <w:t>。</w:t>
      </w:r>
    </w:p>
    <w:p w14:paraId="13710B0B">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4"/>
          <w:highlight w:val="none"/>
          <w14:textFill>
            <w14:solidFill>
              <w14:schemeClr w14:val="tx1"/>
            </w14:solidFill>
          </w14:textFill>
        </w:rPr>
        <w:t>、整机配置减噪措施</w:t>
      </w:r>
      <w:r>
        <w:rPr>
          <w:rFonts w:hint="eastAsia" w:ascii="Times New Roman" w:hAnsi="Times New Roman" w:eastAsia="宋体" w:cs="宋体"/>
          <w:color w:val="000000" w:themeColor="text1"/>
          <w:sz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highlight w:val="none"/>
          <w14:textFill>
            <w14:solidFill>
              <w14:schemeClr w14:val="tx1"/>
            </w14:solidFill>
          </w14:textFill>
        </w:rPr>
        <w:t>低噪音运行。</w:t>
      </w:r>
    </w:p>
    <w:p w14:paraId="0750F1AE">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6</w:t>
      </w:r>
      <w:r>
        <w:rPr>
          <w:rFonts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双层中空</w:t>
      </w:r>
      <w:r>
        <w:rPr>
          <w:rFonts w:ascii="Times New Roman" w:hAnsi="Times New Roman" w:eastAsia="宋体" w:cs="宋体"/>
          <w:color w:val="000000" w:themeColor="text1"/>
          <w:sz w:val="24"/>
          <w:highlight w:val="none"/>
          <w14:textFill>
            <w14:solidFill>
              <w14:schemeClr w14:val="tx1"/>
            </w14:solidFill>
          </w14:textFill>
        </w:rPr>
        <w:t>玻璃门，</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门体有</w:t>
      </w:r>
      <w:r>
        <w:rPr>
          <w:rFonts w:ascii="Times New Roman" w:hAnsi="Times New Roman" w:eastAsia="宋体" w:cs="宋体"/>
          <w:color w:val="000000" w:themeColor="text1"/>
          <w:sz w:val="24"/>
          <w:highlight w:val="none"/>
          <w14:textFill>
            <w14:solidFill>
              <w14:schemeClr w14:val="tx1"/>
            </w14:solidFill>
          </w14:textFill>
        </w:rPr>
        <w:t>防凝露</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设计，80%湿度条件下无凝露，</w:t>
      </w:r>
      <w:r>
        <w:rPr>
          <w:rFonts w:ascii="Times New Roman" w:hAnsi="Times New Roman" w:eastAsia="宋体" w:cs="宋体"/>
          <w:color w:val="000000" w:themeColor="text1"/>
          <w:sz w:val="24"/>
          <w:highlight w:val="none"/>
          <w14:textFill>
            <w14:solidFill>
              <w14:schemeClr w14:val="tx1"/>
            </w14:solidFill>
          </w14:textFill>
        </w:rPr>
        <w:t>可视效果好。</w:t>
      </w:r>
    </w:p>
    <w:p w14:paraId="6D3EEB0A">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17</w:t>
      </w:r>
      <w:r>
        <w:rPr>
          <w:rFonts w:hint="eastAsia" w:ascii="Times New Roman" w:hAnsi="Times New Roman" w:eastAsia="宋体" w:cs="宋体"/>
          <w:color w:val="000000" w:themeColor="text1"/>
          <w:sz w:val="24"/>
          <w:szCs w:val="24"/>
          <w:highlight w:val="none"/>
          <w14:textFill>
            <w14:solidFill>
              <w14:schemeClr w14:val="tx1"/>
            </w14:solidFill>
          </w14:textFill>
        </w:rPr>
        <w:t>、配置LED照明系统，视物更清晰。</w:t>
      </w:r>
    </w:p>
    <w:p w14:paraId="1FD2C06E">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18</w:t>
      </w:r>
      <w:r>
        <w:rPr>
          <w:rFonts w:hint="eastAsia" w:ascii="Times New Roman" w:hAnsi="Times New Roman" w:eastAsia="宋体" w:cs="宋体"/>
          <w:color w:val="000000" w:themeColor="text1"/>
          <w:sz w:val="24"/>
          <w:szCs w:val="24"/>
          <w:highlight w:val="none"/>
          <w14:textFill>
            <w14:solidFill>
              <w14:schemeClr w14:val="tx1"/>
            </w14:solidFill>
          </w14:textFill>
        </w:rPr>
        <w:t>、箱体标配测试孔，便于安装外置温度监控模块。</w:t>
      </w:r>
    </w:p>
    <w:p w14:paraId="6D99E5BE">
      <w:pPr>
        <w:keepNext w:val="0"/>
        <w:keepLines w:val="0"/>
        <w:pageBreakBefore w:val="0"/>
        <w:widowControl/>
        <w:kinsoku/>
        <w:wordWrap/>
        <w:overflowPunct/>
        <w:topLinePunct w:val="0"/>
        <w:bidi w:val="0"/>
        <w:spacing w:line="360" w:lineRule="auto"/>
        <w:ind w:left="480" w:hanging="482" w:hangingChars="200"/>
        <w:jc w:val="left"/>
        <w:textAlignment w:val="auto"/>
        <w:rPr>
          <w:rFonts w:hint="eastAsia" w:ascii="Times New Roman" w:hAnsi="Times New Roman" w:eastAsia="宋体" w:cs="宋体"/>
          <w:b/>
          <w:bCs/>
          <w:color w:val="000000" w:themeColor="text1"/>
          <w:sz w:val="24"/>
          <w:szCs w:val="28"/>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8"/>
          <w:highlight w:val="none"/>
          <w14:textFill>
            <w14:solidFill>
              <w14:schemeClr w14:val="tx1"/>
            </w14:solidFill>
          </w14:textFill>
        </w:rPr>
        <w:t>★</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19</w:t>
      </w:r>
      <w:r>
        <w:rPr>
          <w:rFonts w:hint="eastAsia" w:ascii="Times New Roman" w:hAnsi="Times New Roman" w:eastAsia="宋体" w:cs="宋体"/>
          <w:b/>
          <w:bCs/>
          <w:color w:val="000000" w:themeColor="text1"/>
          <w:sz w:val="24"/>
          <w:szCs w:val="28"/>
          <w:highlight w:val="none"/>
          <w14:textFill>
            <w14:solidFill>
              <w14:schemeClr w14:val="tx1"/>
            </w14:solidFill>
          </w14:textFill>
        </w:rPr>
        <w:t>、</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每台冰箱</w:t>
      </w:r>
      <w:r>
        <w:rPr>
          <w:rFonts w:hint="eastAsia" w:ascii="Times New Roman" w:hAnsi="Times New Roman" w:eastAsia="宋体" w:cs="宋体"/>
          <w:b/>
          <w:bCs/>
          <w:color w:val="000000" w:themeColor="text1"/>
          <w:sz w:val="24"/>
          <w:szCs w:val="28"/>
          <w:highlight w:val="none"/>
          <w14:textFill>
            <w14:solidFill>
              <w14:schemeClr w14:val="tx1"/>
            </w14:solidFill>
          </w14:textFill>
        </w:rPr>
        <w:t>标配温度记录</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仪。</w:t>
      </w:r>
    </w:p>
    <w:p w14:paraId="789527F2">
      <w:pPr>
        <w:keepNext w:val="0"/>
        <w:keepLines w:val="0"/>
        <w:pageBreakBefore w:val="0"/>
        <w:widowControl/>
        <w:kinsoku/>
        <w:wordWrap/>
        <w:overflowPunct/>
        <w:topLinePunct w:val="0"/>
        <w:bidi w:val="0"/>
        <w:spacing w:line="360" w:lineRule="auto"/>
        <w:ind w:left="480" w:hanging="480" w:hangingChars="200"/>
        <w:jc w:val="left"/>
        <w:textAlignment w:val="auto"/>
        <w:rPr>
          <w:rFonts w:hint="default" w:ascii="Times New Roman" w:hAnsi="Times New Roman" w:eastAsia="宋体" w:cs="宋体"/>
          <w:color w:val="000000" w:themeColor="text1"/>
          <w:sz w:val="24"/>
          <w:highlight w:val="none"/>
          <w:lang w:val="en-US" w:eastAsia="zh-CN"/>
          <w14:textFill>
            <w14:solidFill>
              <w14:schemeClr w14:val="tx1"/>
            </w14:solidFill>
          </w14:textFill>
        </w:rPr>
      </w:pPr>
      <w:r>
        <w:rPr>
          <w:rFonts w:hint="eastAsia" w:ascii="Times New Roman" w:hAnsi="Times New Roman" w:eastAsia="宋体" w:cs="宋体"/>
          <w:color w:val="000000" w:themeColor="text1"/>
          <w:sz w:val="24"/>
          <w:szCs w:val="28"/>
          <w:highlight w:val="none"/>
          <w:lang w:val="en-US" w:eastAsia="zh-CN"/>
          <w14:textFill>
            <w14:solidFill>
              <w14:schemeClr w14:val="tx1"/>
            </w14:solidFill>
          </w14:textFill>
        </w:rPr>
        <w:t>20、标配</w:t>
      </w:r>
      <w:r>
        <w:rPr>
          <w:rFonts w:ascii="Times New Roman" w:hAnsi="Times New Roman" w:eastAsia="宋体" w:cs="宋体"/>
          <w:color w:val="000000" w:themeColor="text1"/>
          <w:sz w:val="24"/>
          <w:szCs w:val="28"/>
          <w:highlight w:val="none"/>
          <w14:textFill>
            <w14:solidFill>
              <w14:schemeClr w14:val="tx1"/>
            </w14:solidFill>
          </w14:textFill>
        </w:rPr>
        <w:t>USB接口</w:t>
      </w:r>
      <w:r>
        <w:rPr>
          <w:rFonts w:hint="eastAsia" w:ascii="Times New Roman" w:hAnsi="Times New Roman" w:eastAsia="宋体" w:cs="宋体"/>
          <w:color w:val="000000" w:themeColor="text1"/>
          <w:sz w:val="24"/>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8"/>
          <w:highlight w:val="none"/>
          <w:lang w:val="en-US" w:eastAsia="zh-CN"/>
          <w14:textFill>
            <w14:solidFill>
              <w14:schemeClr w14:val="tx1"/>
            </w14:solidFill>
          </w14:textFill>
        </w:rPr>
        <w:t>数据可导出。</w:t>
      </w:r>
    </w:p>
    <w:p w14:paraId="06D9F6E3">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21</w:t>
      </w:r>
      <w:r>
        <w:rPr>
          <w:rFonts w:hint="eastAsia" w:ascii="Times New Roman" w:hAnsi="Times New Roman" w:eastAsia="宋体" w:cs="宋体"/>
          <w:color w:val="000000" w:themeColor="text1"/>
          <w:sz w:val="24"/>
          <w:highlight w:val="none"/>
          <w14:textFill>
            <w14:solidFill>
              <w14:schemeClr w14:val="tx1"/>
            </w14:solidFill>
          </w14:textFill>
        </w:rPr>
        <w:t>、标配蓄电池，断电后可</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维持报警功能</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24</w:t>
      </w:r>
      <w:r>
        <w:rPr>
          <w:rFonts w:hint="eastAsia" w:ascii="Times New Roman" w:hAnsi="Times New Roman" w:eastAsia="宋体" w:cs="宋体"/>
          <w:color w:val="000000" w:themeColor="text1"/>
          <w:sz w:val="24"/>
          <w:highlight w:val="none"/>
          <w14:textFill>
            <w14:solidFill>
              <w14:schemeClr w14:val="tx1"/>
            </w14:solidFill>
          </w14:textFill>
        </w:rPr>
        <w:t>小时。</w:t>
      </w:r>
    </w:p>
    <w:p w14:paraId="01692646">
      <w:pPr>
        <w:keepNext w:val="0"/>
        <w:keepLines w:val="0"/>
        <w:pageBreakBefore w:val="0"/>
        <w:widowControl/>
        <w:kinsoku/>
        <w:wordWrap/>
        <w:overflowPunct/>
        <w:topLinePunct w:val="0"/>
        <w:bidi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22</w:t>
      </w:r>
      <w:r>
        <w:rPr>
          <w:rFonts w:hint="eastAsia" w:ascii="Times New Roman" w:hAnsi="Times New Roman" w:eastAsia="宋体" w:cs="宋体"/>
          <w:color w:val="000000" w:themeColor="text1"/>
          <w:sz w:val="24"/>
          <w:highlight w:val="none"/>
          <w14:textFill>
            <w14:solidFill>
              <w14:schemeClr w14:val="tx1"/>
            </w14:solidFill>
          </w14:textFill>
        </w:rPr>
        <w:t>、产品无霜设计，冷凝水自动蒸发，</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无需手动倒水</w:t>
      </w:r>
      <w:r>
        <w:rPr>
          <w:rFonts w:hint="eastAsia" w:ascii="Times New Roman" w:hAnsi="Times New Roman" w:eastAsia="宋体" w:cs="宋体"/>
          <w:color w:val="000000" w:themeColor="text1"/>
          <w:sz w:val="24"/>
          <w:highlight w:val="none"/>
          <w14:textFill>
            <w14:solidFill>
              <w14:schemeClr w14:val="tx1"/>
            </w14:solidFill>
          </w14:textFill>
        </w:rPr>
        <w:t>。</w:t>
      </w:r>
    </w:p>
    <w:p w14:paraId="510C6B8A">
      <w:pPr>
        <w:keepNext w:val="0"/>
        <w:keepLines w:val="0"/>
        <w:pageBreakBefore w:val="0"/>
        <w:widowControl/>
        <w:kinsoku/>
        <w:wordWrap/>
        <w:overflowPunct/>
        <w:topLinePunct w:val="0"/>
        <w:bidi w:val="0"/>
        <w:adjustRightInd/>
        <w:snapToGrid/>
        <w:spacing w:line="360" w:lineRule="auto"/>
        <w:ind w:left="480" w:hanging="480" w:hangingChars="200"/>
        <w:jc w:val="left"/>
        <w:textAlignment w:val="auto"/>
        <w:rPr>
          <w:rFonts w:ascii="Times New Roman" w:hAnsi="Times New Roman" w:eastAsia="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23、强制风冷设计，</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具有匀冷技术，</w:t>
      </w:r>
      <w:r>
        <w:rPr>
          <w:rFonts w:hint="eastAsia" w:ascii="Times New Roman" w:hAnsi="Times New Roman" w:eastAsia="宋体" w:cs="宋体"/>
          <w:color w:val="000000" w:themeColor="text1"/>
          <w:sz w:val="24"/>
          <w:szCs w:val="24"/>
          <w:highlight w:val="none"/>
          <w14:textFill>
            <w14:solidFill>
              <w14:schemeClr w14:val="tx1"/>
            </w14:solidFill>
          </w14:textFill>
        </w:rPr>
        <w:t>确保箱体内部温度均匀性</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运行温度稳定，箱内温度波动性≤1.5℃</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提供具有CMA以及CNAS资质的省级或以上相关产品监督检验机构出具的第三方检测报告</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52287129">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2</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冰箱</w:t>
      </w:r>
      <w:r>
        <w:rPr>
          <w:rFonts w:hint="eastAsia" w:ascii="Times New Roman" w:hAnsi="Times New Roman" w:eastAsia="宋体" w:cs="宋体"/>
          <w:color w:val="000000" w:themeColor="text1"/>
          <w:sz w:val="24"/>
          <w:szCs w:val="24"/>
          <w:highlight w:val="none"/>
          <w14:textFill>
            <w14:solidFill>
              <w14:schemeClr w14:val="tx1"/>
            </w14:solidFill>
          </w14:textFill>
        </w:rPr>
        <w:t>配置≥</w:t>
      </w:r>
      <w:r>
        <w:rPr>
          <w:rFonts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0</w:t>
      </w:r>
      <w:r>
        <w:rPr>
          <w:rFonts w:hint="eastAsia" w:ascii="Times New Roman" w:hAnsi="Times New Roman" w:eastAsia="宋体" w:cs="宋体"/>
          <w:color w:val="000000" w:themeColor="text1"/>
          <w:sz w:val="24"/>
          <w:szCs w:val="24"/>
          <w:highlight w:val="none"/>
          <w14:textFill>
            <w14:solidFill>
              <w14:schemeClr w14:val="tx1"/>
            </w14:solidFill>
          </w14:textFill>
        </w:rPr>
        <w:t>个</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高度</w:t>
      </w:r>
      <w:r>
        <w:rPr>
          <w:rFonts w:hint="eastAsia" w:ascii="Times New Roman" w:hAnsi="Times New Roman" w:eastAsia="宋体" w:cs="宋体"/>
          <w:color w:val="000000" w:themeColor="text1"/>
          <w:sz w:val="24"/>
          <w:szCs w:val="24"/>
          <w:highlight w:val="none"/>
          <w14:textFill>
            <w14:solidFill>
              <w14:schemeClr w14:val="tx1"/>
            </w14:solidFill>
          </w14:textFill>
        </w:rPr>
        <w:t>可调浸塑搁架。</w:t>
      </w:r>
    </w:p>
    <w:p w14:paraId="02D76DCE">
      <w:pPr>
        <w:pStyle w:val="32"/>
        <w:keepNext w:val="0"/>
        <w:keepLines w:val="0"/>
        <w:pageBreakBefore w:val="0"/>
        <w:widowControl/>
        <w:kinsoku/>
        <w:wordWrap/>
        <w:overflowPunct/>
        <w:topLinePunct w:val="0"/>
        <w:bidi w:val="0"/>
        <w:spacing w:line="360" w:lineRule="auto"/>
        <w:ind w:left="480" w:hanging="480" w:hangingChars="200"/>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2</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5</w:t>
      </w:r>
      <w:r>
        <w:rPr>
          <w:rFonts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具有门自闭装置，</w:t>
      </w:r>
      <w:r>
        <w:rPr>
          <w:rFonts w:ascii="Times New Roman" w:hAnsi="Times New Roman" w:eastAsia="宋体" w:cs="宋体"/>
          <w:color w:val="000000" w:themeColor="text1"/>
          <w:sz w:val="24"/>
          <w:highlight w:val="none"/>
          <w14:textFill>
            <w14:solidFill>
              <w14:schemeClr w14:val="tx1"/>
            </w14:solidFill>
          </w14:textFill>
        </w:rPr>
        <w:t>安全门锁设计，防止随意开启，使用更安全。</w:t>
      </w:r>
    </w:p>
    <w:p w14:paraId="28D74748">
      <w:pPr>
        <w:pStyle w:val="32"/>
        <w:keepNext w:val="0"/>
        <w:keepLines w:val="0"/>
        <w:pageBreakBefore w:val="0"/>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2</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6</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箱体底部配</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带锁止功能的</w:t>
      </w:r>
      <w:r>
        <w:rPr>
          <w:rFonts w:hint="eastAsia" w:ascii="Times New Roman" w:hAnsi="Times New Roman" w:eastAsia="宋体" w:cs="宋体"/>
          <w:color w:val="000000" w:themeColor="text1"/>
          <w:sz w:val="24"/>
          <w:szCs w:val="24"/>
          <w:highlight w:val="none"/>
          <w14:textFill>
            <w14:solidFill>
              <w14:schemeClr w14:val="tx1"/>
            </w14:solidFill>
          </w14:textFill>
        </w:rPr>
        <w:t>万向轮</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便于移动和安放。</w:t>
      </w:r>
    </w:p>
    <w:p w14:paraId="6C15A176">
      <w:pPr>
        <w:pStyle w:val="32"/>
        <w:keepNext w:val="0"/>
        <w:keepLines w:val="0"/>
        <w:pageBreakBefore w:val="0"/>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cs="宋体"/>
          <w:color w:val="000000" w:themeColor="text1"/>
          <w:sz w:val="24"/>
          <w:szCs w:val="24"/>
          <w:highlight w:val="none"/>
          <w:lang w:val="en-US" w:eastAsia="zh-CN"/>
          <w14:textFill>
            <w14:solidFill>
              <w14:schemeClr w14:val="tx1"/>
            </w14:solidFill>
          </w14:textFill>
        </w:rPr>
        <w:t>3</w:t>
      </w: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小容积低温保存箱</w:t>
      </w:r>
    </w:p>
    <w:p w14:paraId="5F695637">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default" w:ascii="Times New Roman" w:hAnsi="Times New Roman" w:eastAsia="宋体" w:cs="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宋体"/>
          <w:color w:val="000000" w:themeColor="text1"/>
          <w:sz w:val="24"/>
          <w:szCs w:val="24"/>
          <w:highlight w:val="none"/>
          <w14:textFill>
            <w14:solidFill>
              <w14:schemeClr w14:val="tx1"/>
            </w14:solidFill>
          </w14:textFill>
        </w:rPr>
        <w:t>、样式：立式</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p>
    <w:p w14:paraId="0D047815">
      <w:pPr>
        <w:keepNext w:val="0"/>
        <w:keepLines w:val="0"/>
        <w:pageBreakBefore w:val="0"/>
        <w:widowControl/>
        <w:kinsoku/>
        <w:wordWrap/>
        <w:overflowPunct/>
        <w:topLinePunct w:val="0"/>
        <w:bidi w:val="0"/>
        <w:adjustRightInd w:val="0"/>
        <w:snapToGrid w:val="0"/>
        <w:spacing w:line="360" w:lineRule="auto"/>
        <w:ind w:left="480" w:hanging="482" w:hangingChars="200"/>
        <w:jc w:val="lef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highlight w:val="none"/>
          <w:lang w:val="en-US" w:eastAsia="zh-CN"/>
          <w14:textFill>
            <w14:solidFill>
              <w14:schemeClr w14:val="tx1"/>
            </w14:solidFill>
          </w14:textFill>
        </w:rPr>
        <w:t>2</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hint="eastAsia" w:ascii="Times New Roman" w:hAnsi="Times New Roman" w:eastAsia="宋体" w:cs="宋体"/>
          <w:b/>
          <w:bCs/>
          <w:color w:val="000000" w:themeColor="text1"/>
          <w:sz w:val="24"/>
          <w:szCs w:val="24"/>
          <w:highlight w:val="none"/>
          <w14:textFill>
            <w14:solidFill>
              <w14:schemeClr w14:val="tx1"/>
            </w14:solidFill>
          </w14:textFill>
        </w:rPr>
        <w:t>有效容积≥</w:t>
      </w:r>
      <w:r>
        <w:rPr>
          <w:rFonts w:ascii="Times New Roman" w:hAnsi="Times New Roman" w:eastAsia="宋体" w:cs="宋体"/>
          <w:b/>
          <w:bCs/>
          <w:color w:val="000000" w:themeColor="text1"/>
          <w:sz w:val="24"/>
          <w:szCs w:val="24"/>
          <w:highlight w:val="none"/>
          <w14:textFill>
            <w14:solidFill>
              <w14:schemeClr w14:val="tx1"/>
            </w14:solidFill>
          </w14:textFill>
        </w:rPr>
        <w:t>400</w:t>
      </w:r>
      <w:r>
        <w:rPr>
          <w:rFonts w:hint="eastAsia" w:ascii="Times New Roman" w:hAnsi="Times New Roman" w:eastAsia="宋体" w:cs="宋体"/>
          <w:b/>
          <w:bCs/>
          <w:color w:val="000000" w:themeColor="text1"/>
          <w:sz w:val="24"/>
          <w:szCs w:val="24"/>
          <w:highlight w:val="none"/>
          <w14:textFill>
            <w14:solidFill>
              <w14:schemeClr w14:val="tx1"/>
            </w14:solidFill>
          </w14:textFill>
        </w:rPr>
        <w:t>L。</w:t>
      </w:r>
    </w:p>
    <w:p w14:paraId="3AA4AA6D">
      <w:pPr>
        <w:keepNext w:val="0"/>
        <w:keepLines w:val="0"/>
        <w:pageBreakBefore w:val="0"/>
        <w:widowControl/>
        <w:kinsoku/>
        <w:wordWrap/>
        <w:overflowPunct/>
        <w:topLinePunct w:val="0"/>
        <w:bidi w:val="0"/>
        <w:adjustRightInd w:val="0"/>
        <w:snapToGrid w:val="0"/>
        <w:spacing w:line="360" w:lineRule="auto"/>
        <w:ind w:left="480" w:hanging="482" w:hangingChars="200"/>
        <w:jc w:val="left"/>
        <w:textAlignment w:val="auto"/>
        <w:rPr>
          <w:rFonts w:ascii="Times New Roman" w:hAnsi="Times New Roman" w:eastAsia="宋体" w:cs="宋体"/>
          <w:b/>
          <w:bCs/>
          <w:color w:val="000000" w:themeColor="text1"/>
          <w:sz w:val="24"/>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宋体"/>
          <w:b/>
          <w:bCs/>
          <w:color w:val="000000" w:themeColor="text1"/>
          <w:sz w:val="24"/>
          <w:szCs w:val="24"/>
          <w:highlight w:val="none"/>
          <w14:textFill>
            <w14:solidFill>
              <w14:schemeClr w14:val="tx1"/>
            </w14:solidFill>
          </w14:textFill>
        </w:rPr>
        <w:t>、温度</w:t>
      </w: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范围至少为</w:t>
      </w:r>
      <w:r>
        <w:rPr>
          <w:rFonts w:ascii="Times New Roman" w:hAnsi="Times New Roman" w:eastAsia="宋体" w:cs="宋体"/>
          <w:b/>
          <w:bCs/>
          <w:color w:val="000000" w:themeColor="text1"/>
          <w:sz w:val="24"/>
          <w:highlight w:val="none"/>
          <w14:textFill>
            <w14:solidFill>
              <w14:schemeClr w14:val="tx1"/>
            </w14:solidFill>
          </w14:textFill>
        </w:rPr>
        <w:t>-10</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ascii="Times New Roman" w:hAnsi="Times New Roman" w:eastAsia="宋体" w:cs="宋体"/>
          <w:b/>
          <w:bCs/>
          <w:color w:val="000000" w:themeColor="text1"/>
          <w:sz w:val="24"/>
          <w:highlight w:val="none"/>
          <w14:textFill>
            <w14:solidFill>
              <w14:schemeClr w14:val="tx1"/>
            </w14:solidFill>
          </w14:textFill>
        </w:rPr>
        <w:t>-25</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hint="eastAsia" w:ascii="Times New Roman" w:hAnsi="Times New Roman" w:eastAsia="宋体" w:cs="宋体"/>
          <w:b/>
          <w:bCs/>
          <w:color w:val="000000" w:themeColor="text1"/>
          <w:sz w:val="24"/>
          <w:highlight w:val="none"/>
          <w:lang w:val="en-US" w:eastAsia="zh-CN"/>
          <w14:textFill>
            <w14:solidFill>
              <w14:schemeClr w14:val="tx1"/>
            </w14:solidFill>
          </w14:textFill>
        </w:rPr>
        <w:t>可调</w:t>
      </w:r>
      <w:r>
        <w:rPr>
          <w:rFonts w:hint="eastAsia" w:ascii="Times New Roman" w:hAnsi="Times New Roman" w:eastAsia="宋体" w:cs="宋体"/>
          <w:b/>
          <w:bCs/>
          <w:color w:val="000000" w:themeColor="text1"/>
          <w:sz w:val="24"/>
          <w:highlight w:val="none"/>
          <w14:textFill>
            <w14:solidFill>
              <w14:schemeClr w14:val="tx1"/>
            </w14:solidFill>
          </w14:textFill>
        </w:rPr>
        <w:t>。</w:t>
      </w:r>
    </w:p>
    <w:p w14:paraId="0294E07A">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default" w:ascii="Times New Roman" w:hAnsi="Times New Roman" w:eastAsia="宋体" w:cs="宋体"/>
          <w:color w:val="000000" w:themeColor="text1"/>
          <w:sz w:val="24"/>
          <w:szCs w:val="24"/>
          <w:highlight w:val="none"/>
          <w:lang w:val="en-US"/>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外部尺寸：宽</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≤87</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0</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mm，</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深</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≤815mm，</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高</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≤1960mm</w:t>
      </w:r>
      <w:r>
        <w:rPr>
          <w:rFonts w:hint="eastAsia" w:ascii="Times New Roman" w:hAnsi="Times New Roman" w:eastAsia="宋体"/>
          <w:color w:val="000000" w:themeColor="text1"/>
          <w:sz w:val="24"/>
          <w:highlight w:val="none"/>
          <w:lang w:eastAsia="zh-CN"/>
          <w14:textFill>
            <w14:solidFill>
              <w14:schemeClr w14:val="tx1"/>
            </w14:solidFill>
          </w14:textFill>
        </w:rPr>
        <w:t>，</w:t>
      </w:r>
      <w:r>
        <w:rPr>
          <w:rFonts w:hint="eastAsia" w:ascii="Times New Roman" w:hAnsi="Times New Roman" w:eastAsia="宋体"/>
          <w:color w:val="000000" w:themeColor="text1"/>
          <w:sz w:val="24"/>
          <w:highlight w:val="none"/>
          <w:lang w:val="en-US" w:eastAsia="zh-CN"/>
          <w14:textFill>
            <w14:solidFill>
              <w14:schemeClr w14:val="tx1"/>
            </w14:solidFill>
          </w14:textFill>
        </w:rPr>
        <w:t>内部尺寸：宽≥645mm，深≥525mm。</w:t>
      </w:r>
    </w:p>
    <w:p w14:paraId="1DC3E729">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default" w:ascii="Times New Roman" w:hAnsi="Times New Roman" w:eastAsia="宋体" w:cs="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宋体"/>
          <w:color w:val="000000" w:themeColor="text1"/>
          <w:sz w:val="24"/>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4"/>
          <w:szCs w:val="24"/>
          <w:highlight w:val="none"/>
          <w14:textFill>
            <w14:solidFill>
              <w14:schemeClr w14:val="tx1"/>
            </w14:solidFill>
          </w14:textFill>
        </w:rPr>
        <w:t>箱体外壳材料：P</w:t>
      </w:r>
      <w:r>
        <w:rPr>
          <w:rFonts w:ascii="Times New Roman" w:hAnsi="Times New Roman" w:eastAsia="宋体" w:cs="宋体"/>
          <w:color w:val="000000" w:themeColor="text1"/>
          <w:sz w:val="24"/>
          <w:szCs w:val="24"/>
          <w:highlight w:val="none"/>
          <w14:textFill>
            <w14:solidFill>
              <w14:schemeClr w14:val="tx1"/>
            </w14:solidFill>
          </w14:textFill>
        </w:rPr>
        <w:t>CM</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钢</w:t>
      </w:r>
      <w:r>
        <w:rPr>
          <w:rFonts w:hint="eastAsia" w:ascii="Times New Roman" w:hAnsi="Times New Roman" w:eastAsia="宋体" w:cs="宋体"/>
          <w:color w:val="000000" w:themeColor="text1"/>
          <w:sz w:val="24"/>
          <w:szCs w:val="24"/>
          <w:highlight w:val="none"/>
          <w14:textFill>
            <w14:solidFill>
              <w14:schemeClr w14:val="tx1"/>
            </w14:solidFill>
          </w14:textFill>
        </w:rPr>
        <w:t>板。</w:t>
      </w:r>
    </w:p>
    <w:p w14:paraId="6B06A2DD">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6、内胆材料：H</w:t>
      </w:r>
      <w:r>
        <w:rPr>
          <w:rFonts w:ascii="Times New Roman" w:hAnsi="Times New Roman" w:eastAsia="宋体" w:cs="宋体"/>
          <w:color w:val="000000" w:themeColor="text1"/>
          <w:sz w:val="24"/>
          <w:szCs w:val="24"/>
          <w:highlight w:val="none"/>
          <w14:textFill>
            <w14:solidFill>
              <w14:schemeClr w14:val="tx1"/>
            </w14:solidFill>
          </w14:textFill>
        </w:rPr>
        <w:t>IPS</w:t>
      </w:r>
      <w:r>
        <w:rPr>
          <w:rFonts w:hint="eastAsia" w:ascii="Times New Roman" w:hAnsi="Times New Roman" w:eastAsia="宋体" w:cs="宋体"/>
          <w:color w:val="000000" w:themeColor="text1"/>
          <w:sz w:val="24"/>
          <w:szCs w:val="24"/>
          <w:highlight w:val="none"/>
          <w14:textFill>
            <w14:solidFill>
              <w14:schemeClr w14:val="tx1"/>
            </w14:solidFill>
          </w14:textFill>
        </w:rPr>
        <w:t>板</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或PCM钢板</w:t>
      </w:r>
      <w:r>
        <w:rPr>
          <w:rFonts w:hint="eastAsia" w:ascii="Times New Roman" w:hAnsi="Times New Roman" w:eastAsia="宋体" w:cs="宋体"/>
          <w:color w:val="000000" w:themeColor="text1"/>
          <w:sz w:val="24"/>
          <w:szCs w:val="24"/>
          <w:highlight w:val="none"/>
          <w14:textFill>
            <w14:solidFill>
              <w14:schemeClr w14:val="tx1"/>
            </w14:solidFill>
          </w14:textFill>
        </w:rPr>
        <w:t>。</w:t>
      </w:r>
    </w:p>
    <w:p w14:paraId="3EADA513">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7</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制冷剂：</w:t>
      </w:r>
      <w:r>
        <w:rPr>
          <w:rFonts w:hint="eastAsia" w:ascii="Times New Roman" w:hAnsi="Times New Roman" w:eastAsia="宋体" w:cs="宋体"/>
          <w:color w:val="000000" w:themeColor="text1"/>
          <w:sz w:val="24"/>
          <w:highlight w:val="none"/>
          <w14:textFill>
            <w14:solidFill>
              <w14:schemeClr w14:val="tx1"/>
            </w14:solidFill>
          </w14:textFill>
        </w:rPr>
        <w:t>无氟制冷剂</w:t>
      </w:r>
      <w:r>
        <w:rPr>
          <w:rFonts w:hint="eastAsia" w:ascii="Times New Roman" w:hAnsi="Times New Roman" w:eastAsia="宋体" w:cs="宋体"/>
          <w:color w:val="000000" w:themeColor="text1"/>
          <w:sz w:val="24"/>
          <w:highlight w:val="none"/>
          <w:lang w:eastAsia="zh-CN"/>
          <w14:textFill>
            <w14:solidFill>
              <w14:schemeClr w14:val="tx1"/>
            </w14:solidFill>
          </w14:textFill>
        </w:rPr>
        <w:t>。</w:t>
      </w:r>
    </w:p>
    <w:p w14:paraId="18039060">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default" w:ascii="Times New Roman" w:hAnsi="Times New Roman" w:eastAsia="宋体"/>
          <w:color w:val="000000" w:themeColor="text1"/>
          <w:sz w:val="24"/>
          <w:highlight w:val="none"/>
          <w:lang w:val="en-US" w:eastAsia="zh-CN"/>
          <w14:textFill>
            <w14:solidFill>
              <w14:schemeClr w14:val="tx1"/>
            </w14:solidFill>
          </w14:textFill>
        </w:rPr>
      </w:pPr>
      <w:r>
        <w:rPr>
          <w:rFonts w:hint="eastAsia" w:ascii="Times New Roman" w:hAnsi="Times New Roman" w:eastAsia="宋体" w:cs="宋体"/>
          <w:color w:val="000000" w:themeColor="text1"/>
          <w:sz w:val="24"/>
          <w:highlight w:val="none"/>
          <w14:textFill>
            <w14:solidFill>
              <w14:schemeClr w14:val="tx1"/>
            </w14:solidFill>
          </w14:textFill>
        </w:rPr>
        <w:t>▲</w:t>
      </w:r>
      <w:r>
        <w:rPr>
          <w:rFonts w:ascii="Times New Roman" w:hAnsi="Times New Roman" w:eastAsia="宋体" w:cs="宋体"/>
          <w:color w:val="000000" w:themeColor="text1"/>
          <w:sz w:val="24"/>
          <w:highlight w:val="none"/>
          <w14:textFill>
            <w14:solidFill>
              <w14:schemeClr w14:val="tx1"/>
            </w14:solidFill>
          </w14:textFill>
        </w:rPr>
        <w:t>8</w:t>
      </w:r>
      <w:r>
        <w:rPr>
          <w:rFonts w:hint="eastAsia" w:ascii="Times New Roman" w:hAnsi="Times New Roman" w:eastAsia="宋体" w:cs="宋体"/>
          <w:color w:val="000000" w:themeColor="text1"/>
          <w:sz w:val="24"/>
          <w:highlight w:val="none"/>
          <w14:textFill>
            <w14:solidFill>
              <w14:schemeClr w14:val="tx1"/>
            </w14:solidFill>
          </w14:textFill>
        </w:rPr>
        <w:t>、温度控制：高精度微电脑温度控制系统，</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控温精度</w:t>
      </w:r>
      <w:r>
        <w:rPr>
          <w:rFonts w:hint="eastAsia" w:ascii="Times New Roman" w:hAnsi="Times New Roman" w:eastAsia="宋体" w:cs="宋体"/>
          <w:color w:val="000000" w:themeColor="text1"/>
          <w:sz w:val="24"/>
          <w:highlight w:val="none"/>
          <w14:textFill>
            <w14:solidFill>
              <w14:schemeClr w14:val="tx1"/>
            </w14:solidFill>
          </w14:textFill>
        </w:rPr>
        <w:t>0.1℃。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若为双压缩机系统，要求上下室可独立控制，独立控温。</w:t>
      </w:r>
    </w:p>
    <w:p w14:paraId="0D325739">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highlight w:val="none"/>
          <w:lang w:val="en-US" w:eastAsia="zh-CN"/>
          <w14:textFill>
            <w14:solidFill>
              <w14:schemeClr w14:val="tx1"/>
            </w14:solidFill>
          </w14:textFill>
        </w:rPr>
        <w:t>9</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显示屏</w:t>
      </w:r>
      <w:r>
        <w:rPr>
          <w:rFonts w:hint="eastAsia" w:ascii="Times New Roman" w:hAnsi="Times New Roman" w:eastAsia="宋体" w:cs="宋体"/>
          <w:color w:val="000000" w:themeColor="text1"/>
          <w:sz w:val="24"/>
          <w:highlight w:val="none"/>
          <w14:textFill>
            <w14:solidFill>
              <w14:schemeClr w14:val="tx1"/>
            </w14:solidFill>
          </w14:textFill>
        </w:rPr>
        <w:t>：微电脑控制，标配LED屏，可显示箱内温度、</w:t>
      </w:r>
      <w:r>
        <w:rPr>
          <w:rFonts w:hint="eastAsia" w:ascii="Times New Roman" w:hAnsi="Times New Roman" w:eastAsia="宋体" w:cs="宋体"/>
          <w:color w:val="000000" w:themeColor="text1"/>
          <w:sz w:val="24"/>
          <w:highlight w:val="none"/>
          <w14:textFill>
            <w14:solidFill>
              <w14:schemeClr w14:val="tx1"/>
            </w14:solidFill>
          </w14:textFill>
        </w:rPr>
        <w:t>设定温度和环境温度，能设定高低温报警值等参数</w:t>
      </w:r>
      <w:r>
        <w:rPr>
          <w:rFonts w:hint="eastAsia" w:ascii="Times New Roman" w:hAnsi="Times New Roman" w:eastAsia="宋体" w:cs="宋体"/>
          <w:color w:val="000000" w:themeColor="text1"/>
          <w:sz w:val="24"/>
          <w:highlight w:val="none"/>
          <w:lang w:eastAsia="zh-CN"/>
          <w14:textFill>
            <w14:solidFill>
              <w14:schemeClr w14:val="tx1"/>
            </w14:solidFill>
          </w14:textFill>
        </w:rPr>
        <w:t>。</w:t>
      </w:r>
    </w:p>
    <w:p w14:paraId="78480C40">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0</w:t>
      </w: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具备</w:t>
      </w:r>
      <w:r>
        <w:rPr>
          <w:rFonts w:hint="eastAsia" w:ascii="Times New Roman" w:hAnsi="Times New Roman" w:eastAsia="宋体" w:cs="宋体"/>
          <w:color w:val="000000" w:themeColor="text1"/>
          <w:sz w:val="24"/>
          <w:highlight w:val="none"/>
          <w14:textFill>
            <w14:solidFill>
              <w14:schemeClr w14:val="tx1"/>
            </w14:solidFill>
          </w14:textFill>
        </w:rPr>
        <w:t>报警功能：</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至少包括</w:t>
      </w:r>
      <w:r>
        <w:rPr>
          <w:rFonts w:ascii="Times New Roman" w:hAnsi="Times New Roman" w:eastAsia="宋体" w:cs="宋体"/>
          <w:color w:val="000000" w:themeColor="text1"/>
          <w:sz w:val="24"/>
          <w:highlight w:val="none"/>
          <w14:textFill>
            <w14:solidFill>
              <w14:schemeClr w14:val="tx1"/>
            </w14:solidFill>
          </w14:textFill>
        </w:rPr>
        <w:t>高温报警、低温报警、传感器故障报警、开门报警、断电报警。</w:t>
      </w:r>
    </w:p>
    <w:p w14:paraId="3C9CD500">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两种报警方式：声音蜂鸣器报警</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和</w:t>
      </w:r>
      <w:r>
        <w:rPr>
          <w:rFonts w:hint="eastAsia" w:ascii="Times New Roman" w:hAnsi="Times New Roman" w:eastAsia="宋体" w:cs="宋体"/>
          <w:color w:val="000000" w:themeColor="text1"/>
          <w:sz w:val="24"/>
          <w:szCs w:val="24"/>
          <w:highlight w:val="none"/>
          <w14:textFill>
            <w14:solidFill>
              <w14:schemeClr w14:val="tx1"/>
            </w14:solidFill>
          </w14:textFill>
        </w:rPr>
        <w:t>闪烁报警。</w:t>
      </w:r>
    </w:p>
    <w:p w14:paraId="3755E14E">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2</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安全运行模式：</w:t>
      </w:r>
      <w:r>
        <w:rPr>
          <w:rFonts w:hint="eastAsia" w:ascii="Times New Roman" w:hAnsi="Times New Roman" w:eastAsia="宋体" w:cs="宋体"/>
          <w:color w:val="000000" w:themeColor="text1"/>
          <w:sz w:val="24"/>
          <w:szCs w:val="24"/>
          <w:highlight w:val="none"/>
          <w14:textFill>
            <w14:solidFill>
              <w14:schemeClr w14:val="tx1"/>
            </w14:solidFill>
          </w14:textFill>
        </w:rPr>
        <w:t>当显示控制/报警传感器发生故障时，</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压缩机应正常运行</w:t>
      </w:r>
      <w:r>
        <w:rPr>
          <w:rFonts w:hint="eastAsia" w:ascii="Times New Roman" w:hAnsi="Times New Roman" w:eastAsia="宋体" w:cs="宋体"/>
          <w:color w:val="000000" w:themeColor="text1"/>
          <w:sz w:val="24"/>
          <w:szCs w:val="24"/>
          <w:highlight w:val="none"/>
          <w14:textFill>
            <w14:solidFill>
              <w14:schemeClr w14:val="tx1"/>
            </w14:solidFill>
          </w14:textFill>
        </w:rPr>
        <w:t>，确保物品存储安全。</w:t>
      </w:r>
    </w:p>
    <w:p w14:paraId="61EDFA05">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3</w:t>
      </w:r>
      <w:r>
        <w:rPr>
          <w:rFonts w:hint="eastAsia" w:ascii="Times New Roman" w:hAnsi="Times New Roman" w:eastAsia="宋体" w:cs="宋体"/>
          <w:color w:val="000000" w:themeColor="text1"/>
          <w:sz w:val="24"/>
          <w:highlight w:val="none"/>
          <w14:textFill>
            <w14:solidFill>
              <w14:schemeClr w14:val="tx1"/>
            </w14:solidFill>
          </w14:textFill>
        </w:rPr>
        <w:t>、采用</w:t>
      </w:r>
      <w:r>
        <w:rPr>
          <w:rFonts w:ascii="Times New Roman" w:hAnsi="Times New Roman" w:eastAsia="宋体" w:cs="宋体"/>
          <w:color w:val="000000" w:themeColor="text1"/>
          <w:sz w:val="24"/>
          <w:highlight w:val="none"/>
          <w14:textFill>
            <w14:solidFill>
              <w14:schemeClr w14:val="tx1"/>
            </w14:solidFill>
          </w14:textFill>
        </w:rPr>
        <w:t>丝管</w:t>
      </w:r>
      <w:r>
        <w:rPr>
          <w:rFonts w:hint="eastAsia" w:ascii="Times New Roman" w:hAnsi="Times New Roman" w:eastAsia="宋体" w:cs="宋体"/>
          <w:color w:val="000000" w:themeColor="text1"/>
          <w:sz w:val="24"/>
          <w:highlight w:val="none"/>
          <w14:textFill>
            <w14:solidFill>
              <w14:schemeClr w14:val="tx1"/>
            </w14:solidFill>
          </w14:textFill>
        </w:rPr>
        <w:t>蒸发器，制冷速度快。</w:t>
      </w:r>
    </w:p>
    <w:p w14:paraId="040EDBB8">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eastAsia" w:ascii="Times New Roman" w:hAnsi="Times New Roman" w:eastAsia="宋体"/>
          <w:color w:val="000000" w:themeColor="text1"/>
          <w:sz w:val="24"/>
          <w:highlight w:val="none"/>
          <w:lang w:eastAsia="zh-CN"/>
          <w14:textFill>
            <w14:solidFill>
              <w14:schemeClr w14:val="tx1"/>
            </w14:solidFill>
          </w14:textFill>
        </w:rPr>
      </w:pPr>
      <w:r>
        <w:rPr>
          <w:rFonts w:hint="eastAsia"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1</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4</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保温材料：无CFC聚氨酯发泡</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highlight w:val="none"/>
          <w14:textFill>
            <w14:solidFill>
              <w14:schemeClr w14:val="tx1"/>
            </w14:solidFill>
          </w14:textFill>
        </w:rPr>
        <w:t>加厚保温层设计，箱体发泡层</w:t>
      </w:r>
      <w:r>
        <w:rPr>
          <w:rFonts w:hint="eastAsia" w:ascii="Times New Roman" w:hAnsi="Times New Roman" w:eastAsia="宋体" w:cs="宋体"/>
          <w:color w:val="000000" w:themeColor="text1"/>
          <w:sz w:val="24"/>
          <w:highlight w:val="none"/>
          <w:lang w:eastAsia="zh-CN"/>
          <w14:textFill>
            <w14:solidFill>
              <w14:schemeClr w14:val="tx1"/>
            </w14:solidFill>
          </w14:textFill>
        </w:rPr>
        <w:t>≥</w:t>
      </w:r>
      <w:r>
        <w:rPr>
          <w:rFonts w:ascii="Times New Roman" w:hAnsi="Times New Roman" w:eastAsia="宋体" w:cs="宋体"/>
          <w:color w:val="000000" w:themeColor="text1"/>
          <w:sz w:val="24"/>
          <w:highlight w:val="none"/>
          <w14:textFill>
            <w14:solidFill>
              <w14:schemeClr w14:val="tx1"/>
            </w14:solidFill>
          </w14:textFill>
        </w:rPr>
        <w:t>60</w:t>
      </w:r>
      <w:r>
        <w:rPr>
          <w:rFonts w:hint="eastAsia" w:ascii="Times New Roman" w:hAnsi="Times New Roman" w:eastAsia="宋体" w:cs="宋体"/>
          <w:color w:val="000000" w:themeColor="text1"/>
          <w:sz w:val="24"/>
          <w:highlight w:val="none"/>
          <w14:textFill>
            <w14:solidFill>
              <w14:schemeClr w14:val="tx1"/>
            </w14:solidFill>
          </w14:textFill>
        </w:rPr>
        <w:t>mm，保温效果卓越。</w:t>
      </w:r>
    </w:p>
    <w:p w14:paraId="735E87EC">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5</w:t>
      </w:r>
      <w:r>
        <w:rPr>
          <w:rFonts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箱体底部配</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带锁止功能的</w:t>
      </w:r>
      <w:r>
        <w:rPr>
          <w:rFonts w:hint="eastAsia" w:ascii="Times New Roman" w:hAnsi="Times New Roman" w:eastAsia="宋体" w:cs="宋体"/>
          <w:color w:val="000000" w:themeColor="text1"/>
          <w:sz w:val="24"/>
          <w:szCs w:val="24"/>
          <w:highlight w:val="none"/>
          <w14:textFill>
            <w14:solidFill>
              <w14:schemeClr w14:val="tx1"/>
            </w14:solidFill>
          </w14:textFill>
        </w:rPr>
        <w:t>万向轮</w:t>
      </w:r>
      <w:r>
        <w:rPr>
          <w:rFonts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便于移动和安放。</w:t>
      </w:r>
    </w:p>
    <w:p w14:paraId="1F99BDDF">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eastAsia="宋体" w:cs="宋体"/>
          <w:color w:val="000000" w:themeColor="text1"/>
          <w:sz w:val="24"/>
          <w:highlight w:val="none"/>
          <w14:textFill>
            <w14:solidFill>
              <w14:schemeClr w14:val="tx1"/>
            </w14:solidFill>
          </w14:textFill>
        </w:rPr>
        <w:t>1</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6</w:t>
      </w:r>
      <w:r>
        <w:rPr>
          <w:rFonts w:ascii="Times New Roman" w:hAnsi="Times New Roman" w:eastAsia="宋体" w:cs="宋体"/>
          <w:color w:val="000000" w:themeColor="text1"/>
          <w:sz w:val="24"/>
          <w:highlight w:val="none"/>
          <w14:textFill>
            <w14:solidFill>
              <w14:schemeClr w14:val="tx1"/>
            </w14:solidFill>
          </w14:textFill>
        </w:rPr>
        <w:t>、</w:t>
      </w:r>
      <w:r>
        <w:rPr>
          <w:rFonts w:ascii="Times New Roman" w:hAnsi="Times New Roman" w:eastAsia="宋体" w:cs="宋体"/>
          <w:color w:val="000000" w:themeColor="text1"/>
          <w:sz w:val="24"/>
          <w:highlight w:val="none"/>
          <w14:textFill>
            <w14:solidFill>
              <w14:schemeClr w14:val="tx1"/>
            </w14:solidFill>
          </w14:textFill>
        </w:rPr>
        <w:t>安全门锁设计，防止随意开启，使用更安全。</w:t>
      </w:r>
    </w:p>
    <w:p w14:paraId="2A6FA7E7">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highlight w:val="none"/>
          <w:lang w:val="en-US" w:eastAsia="zh-CN"/>
          <w14:textFill>
            <w14:solidFill>
              <w14:schemeClr w14:val="tx1"/>
            </w14:solidFill>
          </w14:textFill>
        </w:rPr>
        <w:t>17</w:t>
      </w:r>
      <w:r>
        <w:rPr>
          <w:rFonts w:ascii="Times New Roman" w:hAnsi="Times New Roman" w:eastAsia="宋体" w:cs="宋体"/>
          <w:color w:val="000000" w:themeColor="text1"/>
          <w:sz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配置LED照明系统。</w:t>
      </w:r>
    </w:p>
    <w:p w14:paraId="1E7D5AA7">
      <w:pPr>
        <w:keepNext w:val="0"/>
        <w:keepLines w:val="0"/>
        <w:pageBreakBefore w:val="0"/>
        <w:widowControl/>
        <w:kinsoku/>
        <w:wordWrap/>
        <w:overflowPunct/>
        <w:topLinePunct w:val="0"/>
        <w:bidi w:val="0"/>
        <w:adjustRightInd w:val="0"/>
        <w:snapToGrid w:val="0"/>
        <w:spacing w:line="360" w:lineRule="auto"/>
        <w:ind w:left="480" w:hanging="480" w:hangingChars="200"/>
        <w:jc w:val="left"/>
        <w:textAlignment w:val="auto"/>
        <w:rPr>
          <w:rFonts w:ascii="Times New Roman" w:hAnsi="Times New Roman" w:eastAsia="宋体" w:cs="宋体"/>
          <w:color w:val="000000" w:themeColor="text1"/>
          <w:sz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18</w:t>
      </w:r>
      <w:r>
        <w:rPr>
          <w:rFonts w:hint="eastAsia" w:ascii="Times New Roman" w:hAnsi="Times New Roman" w:eastAsia="宋体" w:cs="宋体"/>
          <w:color w:val="000000" w:themeColor="text1"/>
          <w:sz w:val="24"/>
          <w:szCs w:val="24"/>
          <w:highlight w:val="none"/>
          <w14:textFill>
            <w14:solidFill>
              <w14:schemeClr w14:val="tx1"/>
            </w14:solidFill>
          </w14:textFill>
        </w:rPr>
        <w:t>、箱体标配测试孔</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双间室设计要求上下间室各有一个测试孔</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，便于安装外置温度监控模块。</w:t>
      </w:r>
    </w:p>
    <w:p w14:paraId="576DA5BE">
      <w:pPr>
        <w:pStyle w:val="32"/>
        <w:keepNext w:val="0"/>
        <w:keepLines w:val="0"/>
        <w:pageBreakBefore w:val="0"/>
        <w:kinsoku/>
        <w:wordWrap/>
        <w:overflowPunct/>
        <w:topLinePunct w:val="0"/>
        <w:bidi w:val="0"/>
        <w:spacing w:line="360" w:lineRule="auto"/>
        <w:ind w:left="480" w:hanging="482" w:hangingChars="200"/>
        <w:textAlignment w:val="auto"/>
        <w:rPr>
          <w:rFonts w:hint="eastAsia"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仿宋"/>
          <w:b/>
          <w:bCs/>
          <w:color w:val="000000" w:themeColor="text1"/>
          <w:kern w:val="0"/>
          <w:sz w:val="24"/>
          <w:szCs w:val="28"/>
          <w:highlight w:val="none"/>
          <w14:textFill>
            <w14:solidFill>
              <w14:schemeClr w14:val="tx1"/>
            </w14:solidFill>
          </w14:textFill>
        </w:rPr>
        <w:t>★</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19</w:t>
      </w:r>
      <w:r>
        <w:rPr>
          <w:rFonts w:hint="eastAsia" w:ascii="Times New Roman" w:hAnsi="Times New Roman" w:eastAsia="宋体" w:cs="宋体"/>
          <w:b/>
          <w:bCs/>
          <w:color w:val="000000" w:themeColor="text1"/>
          <w:sz w:val="24"/>
          <w:szCs w:val="28"/>
          <w:highlight w:val="none"/>
          <w14:textFill>
            <w14:solidFill>
              <w14:schemeClr w14:val="tx1"/>
            </w14:solidFill>
          </w14:textFill>
        </w:rPr>
        <w:t>、</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每台冰箱</w:t>
      </w:r>
      <w:r>
        <w:rPr>
          <w:rFonts w:hint="eastAsia" w:ascii="Times New Roman" w:hAnsi="Times New Roman" w:eastAsia="宋体" w:cs="宋体"/>
          <w:b/>
          <w:bCs/>
          <w:color w:val="000000" w:themeColor="text1"/>
          <w:sz w:val="24"/>
          <w:szCs w:val="28"/>
          <w:highlight w:val="none"/>
          <w14:textFill>
            <w14:solidFill>
              <w14:schemeClr w14:val="tx1"/>
            </w14:solidFill>
          </w14:textFill>
        </w:rPr>
        <w:t>标配温度记录</w:t>
      </w:r>
      <w:r>
        <w:rPr>
          <w:rFonts w:hint="eastAsia" w:ascii="Times New Roman" w:hAnsi="Times New Roman" w:eastAsia="宋体" w:cs="宋体"/>
          <w:b/>
          <w:bCs/>
          <w:color w:val="000000" w:themeColor="text1"/>
          <w:sz w:val="24"/>
          <w:szCs w:val="28"/>
          <w:highlight w:val="none"/>
          <w:lang w:val="en-US" w:eastAsia="zh-CN"/>
          <w14:textFill>
            <w14:solidFill>
              <w14:schemeClr w14:val="tx1"/>
            </w14:solidFill>
          </w14:textFill>
        </w:rPr>
        <w:t>仪。</w:t>
      </w:r>
    </w:p>
    <w:p w14:paraId="6B64BEE3">
      <w:pPr>
        <w:pStyle w:val="32"/>
        <w:keepNext w:val="0"/>
        <w:keepLines w:val="0"/>
        <w:pageBreakBefore w:val="0"/>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cs="宋体"/>
          <w:color w:val="000000" w:themeColor="text1"/>
          <w:sz w:val="24"/>
          <w:szCs w:val="24"/>
          <w:highlight w:val="none"/>
          <w:lang w:val="en-US" w:eastAsia="zh-CN"/>
          <w14:textFill>
            <w14:solidFill>
              <w14:schemeClr w14:val="tx1"/>
            </w14:solidFill>
          </w14:textFill>
        </w:rPr>
        <w:t>4</w:t>
      </w: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大容积低温保存箱</w:t>
      </w:r>
    </w:p>
    <w:p w14:paraId="0F48096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ascii="Times New Roman" w:hAnsi="Times New Roman" w:eastAsia="宋体"/>
          <w:color w:val="000000" w:themeColor="text1"/>
          <w:sz w:val="24"/>
          <w:szCs w:val="24"/>
          <w:highlight w:val="none"/>
          <w14:textFill>
            <w14:solidFill>
              <w14:schemeClr w14:val="tx1"/>
            </w14:solidFill>
          </w14:textFill>
        </w:rPr>
        <w:t>样式：</w:t>
      </w:r>
      <w:r>
        <w:rPr>
          <w:rFonts w:hint="eastAsia" w:ascii="Times New Roman" w:hAnsi="Times New Roman" w:eastAsia="宋体"/>
          <w:color w:val="000000" w:themeColor="text1"/>
          <w:sz w:val="24"/>
          <w:szCs w:val="24"/>
          <w:highlight w:val="none"/>
          <w14:textFill>
            <w14:solidFill>
              <w14:schemeClr w14:val="tx1"/>
            </w14:solidFill>
          </w14:textFill>
        </w:rPr>
        <w:t>立式</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9FA3ADC">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jc w:val="left"/>
        <w:textAlignment w:val="auto"/>
        <w:rPr>
          <w:rFonts w:hint="eastAsia" w:ascii="Times New Roman" w:hAnsi="Times New Roman" w:eastAsia="宋体"/>
          <w:b/>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hint="eastAsia"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2</w:t>
      </w:r>
      <w:r>
        <w:rPr>
          <w:rFonts w:hint="default"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w:t>
      </w:r>
      <w:r>
        <w:rPr>
          <w:rFonts w:ascii="Times New Roman" w:hAnsi="Times New Roman" w:eastAsia="宋体"/>
          <w:b/>
          <w:bCs/>
          <w:color w:val="000000" w:themeColor="text1"/>
          <w:sz w:val="24"/>
          <w:szCs w:val="24"/>
          <w:highlight w:val="none"/>
          <w14:textFill>
            <w14:solidFill>
              <w14:schemeClr w14:val="tx1"/>
            </w14:solidFill>
          </w14:textFill>
        </w:rPr>
        <w:t>容积：</w:t>
      </w:r>
      <w:r>
        <w:rPr>
          <w:rFonts w:hint="default" w:ascii="Times New Roman" w:hAnsi="Times New Roman" w:eastAsia="宋体"/>
          <w:b/>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7</w:t>
      </w:r>
      <w:r>
        <w:rPr>
          <w:rFonts w:hint="eastAsia" w:ascii="Times New Roman" w:hAnsi="Times New Roman" w:eastAsia="宋体"/>
          <w:b/>
          <w:bCs/>
          <w:color w:val="000000" w:themeColor="text1"/>
          <w:sz w:val="24"/>
          <w:szCs w:val="24"/>
          <w:highlight w:val="none"/>
          <w:lang w:val="en-US" w:eastAsia="zh-CN"/>
          <w14:textFill>
            <w14:solidFill>
              <w14:schemeClr w14:val="tx1"/>
            </w14:solidFill>
          </w14:textFill>
        </w:rPr>
        <w:t>70</w:t>
      </w:r>
      <w:r>
        <w:rPr>
          <w:rFonts w:ascii="Times New Roman" w:hAnsi="Times New Roman" w:eastAsia="宋体"/>
          <w:b/>
          <w:bCs/>
          <w:color w:val="000000" w:themeColor="text1"/>
          <w:sz w:val="24"/>
          <w:szCs w:val="24"/>
          <w:highlight w:val="none"/>
          <w14:textFill>
            <w14:solidFill>
              <w14:schemeClr w14:val="tx1"/>
            </w14:solidFill>
          </w14:textFill>
        </w:rPr>
        <w:t>升</w:t>
      </w: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p>
    <w:p w14:paraId="211700A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jc w:val="left"/>
        <w:textAlignment w:val="auto"/>
        <w:rPr>
          <w:rFonts w:hint="eastAsia" w:ascii="Times New Roman" w:hAnsi="Times New Roman" w:eastAsia="宋体"/>
          <w:b/>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hint="eastAsia"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3</w:t>
      </w:r>
      <w:r>
        <w:rPr>
          <w:rFonts w:hint="default"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温度范围</w:t>
      </w:r>
      <w:r>
        <w:rPr>
          <w:rFonts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b/>
          <w:bCs/>
          <w:color w:val="000000" w:themeColor="text1"/>
          <w:sz w:val="24"/>
          <w:szCs w:val="24"/>
          <w:highlight w:val="none"/>
          <w14:textFill>
            <w14:solidFill>
              <w14:schemeClr w14:val="tx1"/>
            </w14:solidFill>
          </w14:textFill>
        </w:rPr>
        <w:t>0</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40</w:t>
      </w:r>
      <w:r>
        <w:rPr>
          <w:rFonts w:hint="default"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或-10℃</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-30℃</w:t>
      </w: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p>
    <w:p w14:paraId="538472BA">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jc w:val="left"/>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4</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外部尺寸：</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宽</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≤136</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深</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高</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≤1980mm</w:t>
      </w:r>
      <w:r>
        <w:rPr>
          <w:rFonts w:hint="default" w:ascii="Times New Roman" w:hAnsi="Times New Roman" w:eastAsia="宋体"/>
          <w:color w:val="000000" w:themeColor="text1"/>
          <w:szCs w:val="24"/>
          <w:highlight w:val="none"/>
          <w:lang w:eastAsia="zh-CN"/>
          <w14:textFill>
            <w14:solidFill>
              <w14:schemeClr w14:val="tx1"/>
            </w14:solidFill>
          </w14:textFill>
        </w:rPr>
        <w:t>；</w:t>
      </w:r>
    </w:p>
    <w:p w14:paraId="77641DCD">
      <w:pPr>
        <w:pStyle w:val="85"/>
        <w:keepNext w:val="0"/>
        <w:keepLines w:val="0"/>
        <w:pageBreakBefore w:val="0"/>
        <w:numPr>
          <w:ilvl w:val="-1"/>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内部尺寸</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宽≥</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860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深≥</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690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高≥</w:t>
      </w:r>
      <w:r>
        <w:rPr>
          <w:rFonts w:ascii="Times New Roman" w:hAnsi="Times New Roman" w:eastAsia="宋体"/>
          <w:color w:val="000000" w:themeColor="text1"/>
          <w:sz w:val="24"/>
          <w:szCs w:val="24"/>
          <w:highlight w:val="none"/>
          <w14:textFill>
            <w14:solidFill>
              <w14:schemeClr w14:val="tx1"/>
            </w14:solidFill>
          </w14:textFill>
        </w:rPr>
        <w:t>125</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eastAsia" w:ascii="Times New Roman" w:hAnsi="Times New Roman" w:eastAsia="宋体" w:cstheme="minorBidi"/>
          <w:color w:val="000000" w:themeColor="text1"/>
          <w:sz w:val="24"/>
          <w:szCs w:val="24"/>
          <w:highlight w:val="none"/>
          <w:lang w:val="en-US" w:eastAsia="zh-CN"/>
          <w14:textFill>
            <w14:solidFill>
              <w14:schemeClr w14:val="tx1"/>
            </w14:solidFill>
          </w14:textFill>
        </w:rPr>
        <w:t>。</w:t>
      </w:r>
    </w:p>
    <w:p w14:paraId="44B1EE6D">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5</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材料：</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箱体</w:t>
      </w:r>
      <w:r>
        <w:rPr>
          <w:rFonts w:hint="default" w:ascii="Times New Roman" w:hAnsi="Times New Roman" w:eastAsia="宋体"/>
          <w:color w:val="000000" w:themeColor="text1"/>
          <w:sz w:val="24"/>
          <w:szCs w:val="24"/>
          <w:highlight w:val="none"/>
          <w14:textFill>
            <w14:solidFill>
              <w14:schemeClr w14:val="tx1"/>
            </w14:solidFill>
          </w14:textFill>
        </w:rPr>
        <w:t>采用</w:t>
      </w:r>
      <w:r>
        <w:rPr>
          <w:rFonts w:hint="default" w:ascii="Times New Roman" w:hAnsi="Times New Roman" w:eastAsia="宋体" w:cstheme="minorBidi"/>
          <w:color w:val="000000" w:themeColor="text1"/>
          <w:kern w:val="0"/>
          <w:sz w:val="24"/>
          <w:szCs w:val="24"/>
          <w:highlight w:val="none"/>
          <w14:textFill>
            <w14:solidFill>
              <w14:schemeClr w14:val="tx1"/>
            </w14:solidFill>
          </w14:textFill>
        </w:rPr>
        <w:t>冷轧喷涂钢板</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内胆</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采用</w:t>
      </w:r>
      <w:r>
        <w:rPr>
          <w:rFonts w:hint="default" w:ascii="Times New Roman" w:hAnsi="Times New Roman" w:eastAsia="宋体"/>
          <w:color w:val="000000" w:themeColor="text1"/>
          <w:sz w:val="24"/>
          <w:szCs w:val="24"/>
          <w:highlight w:val="none"/>
          <w14:textFill>
            <w14:solidFill>
              <w14:schemeClr w14:val="tx1"/>
            </w14:solidFill>
          </w14:textFill>
        </w:rPr>
        <w:t>特种电锌板板喷涂</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或304不锈钢</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3549788D">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6</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保温材料：无</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CFC</w:t>
      </w:r>
      <w:r>
        <w:rPr>
          <w:rFonts w:ascii="Times New Roman" w:hAnsi="Times New Roman" w:eastAsia="宋体"/>
          <w:color w:val="000000" w:themeColor="text1"/>
          <w:sz w:val="24"/>
          <w:szCs w:val="24"/>
          <w:highlight w:val="none"/>
          <w14:textFill>
            <w14:solidFill>
              <w14:schemeClr w14:val="tx1"/>
            </w14:solidFill>
          </w14:textFill>
        </w:rPr>
        <w:t>聚氨酯发泡，</w:t>
      </w:r>
      <w:r>
        <w:rPr>
          <w:rFonts w:hint="default" w:ascii="Times New Roman" w:hAnsi="Times New Roman" w:eastAsia="宋体"/>
          <w:color w:val="000000" w:themeColor="text1"/>
          <w:sz w:val="24"/>
          <w:szCs w:val="24"/>
          <w:highlight w:val="none"/>
          <w14:textFill>
            <w14:solidFill>
              <w14:schemeClr w14:val="tx1"/>
            </w14:solidFill>
          </w14:textFill>
        </w:rPr>
        <w:t>保温层</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90</w:t>
      </w:r>
      <w:r>
        <w:rPr>
          <w:rFonts w:hint="default" w:ascii="Times New Roman" w:hAnsi="Times New Roman" w:eastAsia="宋体"/>
          <w:color w:val="000000" w:themeColor="text1"/>
          <w:sz w:val="24"/>
          <w:szCs w:val="24"/>
          <w:highlight w:val="none"/>
          <w14:textFill>
            <w14:solidFill>
              <w14:schemeClr w14:val="tx1"/>
            </w14:solidFill>
          </w14:textFill>
        </w:rPr>
        <w:t>mm</w:t>
      </w:r>
      <w:r>
        <w:rPr>
          <w:rFonts w:hint="eastAsia" w:ascii="Times New Roman" w:hAnsi="Times New Roman" w:eastAsia="宋体"/>
          <w:color w:val="000000" w:themeColor="text1"/>
          <w:szCs w:val="24"/>
          <w:highlight w:val="none"/>
          <w:lang w:eastAsia="zh-CN"/>
          <w14:textFill>
            <w14:solidFill>
              <w14:schemeClr w14:val="tx1"/>
            </w14:solidFill>
          </w14:textFill>
        </w:rPr>
        <w:t>。</w:t>
      </w:r>
    </w:p>
    <w:p w14:paraId="0EFE61AD">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7</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heme="minorBidi"/>
          <w:color w:val="000000" w:themeColor="text1"/>
          <w:kern w:val="0"/>
          <w:sz w:val="24"/>
          <w:szCs w:val="24"/>
          <w:highlight w:val="none"/>
          <w:lang w:val="en-US" w:eastAsia="zh-CN"/>
          <w14:textFill>
            <w14:solidFill>
              <w14:schemeClr w14:val="tx1"/>
            </w14:solidFill>
          </w14:textFill>
        </w:rPr>
        <w:t>内外双层门设计，</w:t>
      </w:r>
      <w:r>
        <w:rPr>
          <w:rFonts w:hint="default" w:ascii="Times New Roman" w:hAnsi="Times New Roman" w:eastAsia="宋体"/>
          <w:color w:val="000000" w:themeColor="text1"/>
          <w:sz w:val="24"/>
          <w:szCs w:val="24"/>
          <w:highlight w:val="none"/>
          <w14:textFill>
            <w14:solidFill>
              <w14:schemeClr w14:val="tx1"/>
            </w14:solidFill>
          </w14:textFill>
        </w:rPr>
        <w:t>内门单独密封</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可独立分别存取物品</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889019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8</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微电脑控制，箱内温度-</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olor w:val="000000" w:themeColor="text1"/>
          <w:sz w:val="24"/>
          <w:szCs w:val="24"/>
          <w:highlight w:val="none"/>
          <w14:textFill>
            <w14:solidFill>
              <w14:schemeClr w14:val="tx1"/>
            </w14:solidFill>
          </w14:textFill>
        </w:rPr>
        <w:t>0℃</w:t>
      </w:r>
      <w:r>
        <w:rPr>
          <w:rFonts w:hint="eastAsia" w:ascii="Times New Roman" w:hAnsi="Times New Roman" w:eastAsia="宋体" w:cs="宋体"/>
          <w:color w:val="000000" w:themeColor="text1"/>
          <w:sz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40</w:t>
      </w:r>
      <w:r>
        <w:rPr>
          <w:rFonts w:hint="default" w:ascii="Times New Roman" w:hAnsi="Times New Roman" w:eastAsia="宋体"/>
          <w:color w:val="000000" w:themeColor="text1"/>
          <w:sz w:val="24"/>
          <w:szCs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或-10℃</w:t>
      </w:r>
      <w:r>
        <w:rPr>
          <w:rFonts w:hint="eastAsia" w:ascii="Times New Roman" w:hAnsi="Times New Roman" w:eastAsia="宋体" w:cs="宋体"/>
          <w:color w:val="000000" w:themeColor="text1"/>
          <w:sz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-30℃</w:t>
      </w:r>
      <w:r>
        <w:rPr>
          <w:rFonts w:hint="default" w:ascii="Times New Roman" w:hAnsi="Times New Roman" w:eastAsia="宋体"/>
          <w:color w:val="000000" w:themeColor="text1"/>
          <w:sz w:val="24"/>
          <w:szCs w:val="24"/>
          <w:highlight w:val="none"/>
          <w14:textFill>
            <w14:solidFill>
              <w14:schemeClr w14:val="tx1"/>
            </w14:solidFill>
          </w14:textFill>
        </w:rPr>
        <w:t>可调，</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控温</w:t>
      </w:r>
      <w:r>
        <w:rPr>
          <w:rFonts w:hint="default" w:ascii="Times New Roman" w:hAnsi="Times New Roman" w:eastAsia="宋体"/>
          <w:color w:val="000000" w:themeColor="text1"/>
          <w:sz w:val="24"/>
          <w:szCs w:val="24"/>
          <w:highlight w:val="none"/>
          <w14:textFill>
            <w14:solidFill>
              <w14:schemeClr w14:val="tx1"/>
            </w14:solidFill>
          </w14:textFill>
        </w:rPr>
        <w:t>精度0.1℃</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163583F9">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9</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显示屏</w:t>
      </w: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LCD或LED</w:t>
      </w:r>
      <w:r>
        <w:rPr>
          <w:rFonts w:ascii="Times New Roman" w:hAnsi="Times New Roman" w:eastAsia="宋体"/>
          <w:color w:val="000000" w:themeColor="text1"/>
          <w:sz w:val="24"/>
          <w:szCs w:val="24"/>
          <w:highlight w:val="none"/>
          <w14:textFill>
            <w14:solidFill>
              <w14:schemeClr w14:val="tx1"/>
            </w14:solidFill>
          </w14:textFill>
        </w:rPr>
        <w:t>显示屏，</w:t>
      </w:r>
      <w:r>
        <w:rPr>
          <w:rFonts w:hint="default" w:ascii="Times New Roman" w:hAnsi="Times New Roman" w:eastAsia="宋体"/>
          <w:color w:val="000000" w:themeColor="text1"/>
          <w:sz w:val="24"/>
          <w:szCs w:val="24"/>
          <w:highlight w:val="none"/>
          <w14:textFill>
            <w14:solidFill>
              <w14:schemeClr w14:val="tx1"/>
            </w14:solidFill>
          </w14:textFill>
        </w:rPr>
        <w:t>可</w:t>
      </w:r>
      <w:r>
        <w:rPr>
          <w:rFonts w:ascii="Times New Roman" w:hAnsi="Times New Roman" w:eastAsia="宋体"/>
          <w:color w:val="000000" w:themeColor="text1"/>
          <w:sz w:val="24"/>
          <w:szCs w:val="24"/>
          <w:highlight w:val="none"/>
          <w14:textFill>
            <w14:solidFill>
              <w14:schemeClr w14:val="tx1"/>
            </w14:solidFill>
          </w14:textFill>
        </w:rPr>
        <w:t>查询数据及查看运行</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状态</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显示</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箱内温度、</w:t>
      </w:r>
      <w:r>
        <w:rPr>
          <w:rFonts w:hint="default" w:ascii="Times New Roman" w:hAnsi="Times New Roman" w:eastAsia="宋体"/>
          <w:color w:val="000000" w:themeColor="text1"/>
          <w:sz w:val="24"/>
          <w:szCs w:val="24"/>
          <w:highlight w:val="none"/>
          <w14:textFill>
            <w14:solidFill>
              <w14:schemeClr w14:val="tx1"/>
            </w14:solidFill>
          </w14:textFill>
        </w:rPr>
        <w:t>设定温度、环境温度等</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1FFCBD5F">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lang w:eastAsia="zh-CN"/>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10</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多种故障报警：高温、低温、环境、传感器故障、断电、冷凝器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异常</w:t>
      </w:r>
      <w:r>
        <w:rPr>
          <w:rFonts w:hint="default" w:ascii="Times New Roman" w:hAnsi="Times New Roman" w:eastAsia="宋体"/>
          <w:color w:val="000000" w:themeColor="text1"/>
          <w:sz w:val="24"/>
          <w:szCs w:val="24"/>
          <w:highlight w:val="none"/>
          <w14:textFill>
            <w14:solidFill>
              <w14:schemeClr w14:val="tx1"/>
            </w14:solidFill>
          </w14:textFill>
        </w:rPr>
        <w:t>、开门、电池电量低</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远程报警等报警</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6CD3F86C">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11、</w:t>
      </w:r>
      <w:r>
        <w:rPr>
          <w:rFonts w:hint="default" w:ascii="Times New Roman" w:hAnsi="Times New Roman" w:eastAsia="宋体"/>
          <w:color w:val="000000" w:themeColor="text1"/>
          <w:sz w:val="24"/>
          <w:szCs w:val="24"/>
          <w:highlight w:val="none"/>
          <w14:textFill>
            <w14:solidFill>
              <w14:schemeClr w14:val="tx1"/>
            </w14:solidFill>
          </w14:textFill>
        </w:rPr>
        <w:t>两种报警方式</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声音蜂鸣报警</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和</w:t>
      </w:r>
      <w:r>
        <w:rPr>
          <w:rFonts w:hint="default" w:ascii="Times New Roman" w:hAnsi="Times New Roman" w:eastAsia="宋体"/>
          <w:color w:val="000000" w:themeColor="text1"/>
          <w:sz w:val="24"/>
          <w:szCs w:val="24"/>
          <w:highlight w:val="none"/>
          <w14:textFill>
            <w14:solidFill>
              <w14:schemeClr w14:val="tx1"/>
            </w14:solidFill>
          </w14:textFill>
        </w:rPr>
        <w:t>闪烁报警</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63283584">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多种保护功能：</w:t>
      </w:r>
      <w:r>
        <w:rPr>
          <w:rFonts w:hint="default" w:ascii="Times New Roman" w:hAnsi="Times New Roman" w:eastAsia="宋体"/>
          <w:color w:val="000000" w:themeColor="text1"/>
          <w:sz w:val="24"/>
          <w:szCs w:val="24"/>
          <w:highlight w:val="none"/>
          <w14:textFill>
            <w14:solidFill>
              <w14:schemeClr w14:val="tx1"/>
            </w14:solidFill>
          </w14:textFill>
        </w:rPr>
        <w:t>开机延时保护可设定时间、密码保护、</w:t>
      </w:r>
      <w:r>
        <w:rPr>
          <w:rFonts w:ascii="Times New Roman" w:hAnsi="Times New Roman" w:eastAsia="宋体"/>
          <w:color w:val="000000" w:themeColor="text1"/>
          <w:sz w:val="24"/>
          <w:szCs w:val="24"/>
          <w:highlight w:val="none"/>
          <w14:textFill>
            <w14:solidFill>
              <w14:schemeClr w14:val="tx1"/>
            </w14:solidFill>
          </w14:textFill>
        </w:rPr>
        <w:t>断电间隔保护、故障模式运行保护</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断电记忆</w:t>
      </w:r>
      <w:r>
        <w:rPr>
          <w:rFonts w:ascii="Times New Roman" w:hAnsi="Times New Roman" w:eastAsia="宋体"/>
          <w:color w:val="000000" w:themeColor="text1"/>
          <w:sz w:val="24"/>
          <w:szCs w:val="24"/>
          <w:highlight w:val="none"/>
          <w14:textFill>
            <w14:solidFill>
              <w14:schemeClr w14:val="tx1"/>
            </w14:solidFill>
          </w14:textFill>
        </w:rPr>
        <w:t>等</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C14E209">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3</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冷凝风机：高效节能冷凝风机，可实现智能开停，有效节能</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0BE8A1FB">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4</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静音运行：整机运行噪音</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55</w:t>
      </w:r>
      <w:r>
        <w:rPr>
          <w:rFonts w:hint="default" w:ascii="Times New Roman" w:hAnsi="Times New Roman" w:eastAsia="宋体"/>
          <w:color w:val="000000" w:themeColor="text1"/>
          <w:sz w:val="24"/>
          <w:szCs w:val="24"/>
          <w:highlight w:val="none"/>
          <w14:textFill>
            <w14:solidFill>
              <w14:schemeClr w14:val="tx1"/>
            </w14:solidFill>
          </w14:textFill>
        </w:rPr>
        <w:t>d</w:t>
      </w:r>
      <w:r>
        <w:rPr>
          <w:rFonts w:ascii="Times New Roman" w:hAnsi="Times New Roman" w:eastAsia="宋体"/>
          <w:color w:val="000000" w:themeColor="text1"/>
          <w:sz w:val="24"/>
          <w:szCs w:val="24"/>
          <w:highlight w:val="none"/>
          <w14:textFill>
            <w14:solidFill>
              <w14:schemeClr w14:val="tx1"/>
            </w14:solidFill>
          </w14:textFill>
        </w:rPr>
        <w:t>B</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8BF85B5">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5</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密封性能：内外门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具备</w:t>
      </w:r>
      <w:r>
        <w:rPr>
          <w:rFonts w:hint="default" w:ascii="Times New Roman" w:hAnsi="Times New Roman" w:eastAsia="宋体"/>
          <w:color w:val="000000" w:themeColor="text1"/>
          <w:sz w:val="24"/>
          <w:szCs w:val="24"/>
          <w:highlight w:val="none"/>
          <w14:textFill>
            <w14:solidFill>
              <w14:schemeClr w14:val="tx1"/>
            </w14:solidFill>
          </w14:textFill>
        </w:rPr>
        <w:t>密封条结构，</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独立气囊结构，</w:t>
      </w:r>
      <w:r>
        <w:rPr>
          <w:rFonts w:hint="default" w:ascii="Times New Roman" w:hAnsi="Times New Roman" w:eastAsia="宋体"/>
          <w:color w:val="000000" w:themeColor="text1"/>
          <w:sz w:val="24"/>
          <w:szCs w:val="24"/>
          <w:highlight w:val="none"/>
          <w14:textFill>
            <w14:solidFill>
              <w14:schemeClr w14:val="tx1"/>
            </w14:solidFill>
          </w14:textFill>
        </w:rPr>
        <w:t>采用耐腐蚀、耐低温的硅胶材料，密封效果好，不易结霜</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63458B6">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16</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标配测试孔</w:t>
      </w:r>
      <w:r>
        <w:rPr>
          <w:rFonts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便于安装外置温度监控模块</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2DC468CB">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textAlignment w:val="auto"/>
        <w:rPr>
          <w:rFonts w:ascii="Times New Roman" w:hAnsi="Times New Roman" w:eastAsia="宋体"/>
          <w:b/>
          <w:bCs/>
          <w:color w:val="000000" w:themeColor="text1"/>
          <w:sz w:val="24"/>
          <w:szCs w:val="24"/>
          <w:highlight w:val="none"/>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17</w:t>
      </w:r>
      <w:r>
        <w:rPr>
          <w:rFonts w:hint="default"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每台冰箱标配温度记录仪</w:t>
      </w:r>
      <w:r>
        <w:rPr>
          <w:rFonts w:hint="eastAsia" w:ascii="Times New Roman" w:hAnsi="Times New Roman" w:eastAsia="宋体"/>
          <w:b/>
          <w:bCs/>
          <w:color w:val="000000" w:themeColor="text1"/>
          <w:sz w:val="24"/>
          <w:szCs w:val="24"/>
          <w:highlight w:val="none"/>
          <w:lang w:val="en-US" w:eastAsia="zh-CN"/>
          <w14:textFill>
            <w14:solidFill>
              <w14:schemeClr w14:val="tx1"/>
            </w14:solidFill>
          </w14:textFill>
        </w:rPr>
        <w:t>。</w:t>
      </w:r>
    </w:p>
    <w:p w14:paraId="195DEDFE">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18</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具备</w:t>
      </w:r>
      <w:r>
        <w:rPr>
          <w:rFonts w:hint="default" w:ascii="Times New Roman" w:hAnsi="Times New Roman" w:eastAsia="宋体"/>
          <w:color w:val="000000" w:themeColor="text1"/>
          <w:sz w:val="24"/>
          <w:szCs w:val="24"/>
          <w:highlight w:val="none"/>
          <w14:textFill>
            <w14:solidFill>
              <w14:schemeClr w14:val="tx1"/>
            </w14:solidFill>
          </w14:textFill>
        </w:rPr>
        <w:t>解决短时间内连续多次开门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情况的</w:t>
      </w:r>
      <w:r>
        <w:rPr>
          <w:rFonts w:hint="default" w:ascii="Times New Roman" w:hAnsi="Times New Roman" w:eastAsia="宋体"/>
          <w:color w:val="000000" w:themeColor="text1"/>
          <w:sz w:val="24"/>
          <w:szCs w:val="24"/>
          <w:highlight w:val="none"/>
          <w14:textFill>
            <w14:solidFill>
              <w14:schemeClr w14:val="tx1"/>
            </w14:solidFill>
          </w14:textFill>
        </w:rPr>
        <w:t>平衡阀</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或平衡孔等设计</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1B68512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19</w:t>
      </w: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接口：</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标配</w:t>
      </w:r>
      <w:r>
        <w:rPr>
          <w:rFonts w:hint="default" w:ascii="Times New Roman" w:hAnsi="Times New Roman" w:eastAsia="宋体"/>
          <w:color w:val="000000" w:themeColor="text1"/>
          <w:sz w:val="24"/>
          <w:szCs w:val="24"/>
          <w:highlight w:val="none"/>
          <w14:textFill>
            <w14:solidFill>
              <w14:schemeClr w14:val="tx1"/>
            </w14:solidFill>
          </w14:textFill>
        </w:rPr>
        <w:t>USB接口下载箱内温度、设定温度、环境温度等</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数据可</w:t>
      </w:r>
      <w:r>
        <w:rPr>
          <w:rFonts w:ascii="Times New Roman" w:hAnsi="Times New Roman" w:eastAsia="宋体"/>
          <w:color w:val="000000" w:themeColor="text1"/>
          <w:sz w:val="24"/>
          <w:szCs w:val="24"/>
          <w:highlight w:val="none"/>
          <w14:textFill>
            <w14:solidFill>
              <w14:schemeClr w14:val="tx1"/>
            </w14:solidFill>
          </w14:textFill>
        </w:rPr>
        <w:t>保存</w:t>
      </w:r>
      <w:r>
        <w:rPr>
          <w:rFonts w:hint="default" w:ascii="Times New Roman" w:hAnsi="Times New Roman" w:eastAsia="宋体"/>
          <w:color w:val="000000" w:themeColor="text1"/>
          <w:sz w:val="24"/>
          <w:szCs w:val="24"/>
          <w:highlight w:val="none"/>
          <w14:textFill>
            <w14:solidFill>
              <w14:schemeClr w14:val="tx1"/>
            </w14:solidFill>
          </w14:textFill>
        </w:rPr>
        <w:t>10年</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6C53A0B">
      <w:pPr>
        <w:pStyle w:val="32"/>
        <w:keepNext w:val="0"/>
        <w:keepLines w:val="0"/>
        <w:pageBreakBefore w:val="0"/>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20、</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标配蓄电池，</w:t>
      </w:r>
      <w:r>
        <w:rPr>
          <w:rFonts w:hint="default" w:ascii="Times New Roman" w:hAnsi="Times New Roman" w:eastAsia="宋体"/>
          <w:color w:val="000000" w:themeColor="text1"/>
          <w:sz w:val="24"/>
          <w:szCs w:val="24"/>
          <w:highlight w:val="none"/>
          <w14:textFill>
            <w14:solidFill>
              <w14:schemeClr w14:val="tx1"/>
            </w14:solidFill>
          </w14:textFill>
        </w:rPr>
        <w:t>确保断电后报警</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12小时</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31D9E25D">
      <w:pPr>
        <w:pStyle w:val="32"/>
        <w:keepNext w:val="0"/>
        <w:keepLines w:val="0"/>
        <w:pageBreakBefore w:val="0"/>
        <w:kinsoku/>
        <w:wordWrap/>
        <w:overflowPunct/>
        <w:topLinePunct w:val="0"/>
        <w:bidi w:val="0"/>
        <w:spacing w:line="360" w:lineRule="auto"/>
        <w:ind w:left="480" w:hanging="480" w:hangingChars="200"/>
        <w:textAlignment w:val="auto"/>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cs="宋体"/>
          <w:color w:val="000000" w:themeColor="text1"/>
          <w:sz w:val="24"/>
          <w:szCs w:val="24"/>
          <w:highlight w:val="none"/>
          <w:lang w:val="en-US" w:eastAsia="zh-CN"/>
          <w14:textFill>
            <w14:solidFill>
              <w14:schemeClr w14:val="tx1"/>
            </w14:solidFill>
          </w14:textFill>
        </w:rPr>
        <w:t>5</w:t>
      </w:r>
      <w:r>
        <w:rPr>
          <w:rFonts w:hint="eastAsia" w:ascii="Times New Roman" w:hAnsi="Times New Roman" w:cs="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超低温冰箱</w:t>
      </w:r>
    </w:p>
    <w:p w14:paraId="66BA11E6">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lang w:eastAsia="zh-CN"/>
          <w14:textFill>
            <w14:solidFill>
              <w14:schemeClr w14:val="tx1"/>
            </w14:solidFill>
          </w14:textFill>
        </w:rPr>
      </w:pP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ascii="Times New Roman" w:hAnsi="Times New Roman" w:eastAsia="宋体"/>
          <w:color w:val="000000" w:themeColor="text1"/>
          <w:sz w:val="24"/>
          <w:szCs w:val="24"/>
          <w:highlight w:val="none"/>
          <w14:textFill>
            <w14:solidFill>
              <w14:schemeClr w14:val="tx1"/>
            </w14:solidFill>
          </w14:textFill>
        </w:rPr>
        <w:t>样式：</w:t>
      </w:r>
      <w:r>
        <w:rPr>
          <w:rFonts w:hint="default" w:ascii="Times New Roman" w:hAnsi="Times New Roman" w:eastAsia="宋体"/>
          <w:color w:val="000000" w:themeColor="text1"/>
          <w:sz w:val="24"/>
          <w:szCs w:val="24"/>
          <w:highlight w:val="none"/>
          <w14:textFill>
            <w14:solidFill>
              <w14:schemeClr w14:val="tx1"/>
            </w14:solidFill>
          </w14:textFill>
        </w:rPr>
        <w:t>立式</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540C50F">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lang w:eastAsia="zh-CN"/>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ascii="Times New Roman" w:hAnsi="Times New Roman" w:eastAsia="宋体"/>
          <w:color w:val="000000" w:themeColor="text1"/>
          <w:sz w:val="24"/>
          <w:szCs w:val="24"/>
          <w:highlight w:val="none"/>
          <w14:textFill>
            <w14:solidFill>
              <w14:schemeClr w14:val="tx1"/>
            </w14:solidFill>
          </w14:textFill>
        </w:rPr>
        <w:t>容积：</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800</w:t>
      </w:r>
      <w:r>
        <w:rPr>
          <w:rFonts w:ascii="Times New Roman" w:hAnsi="Times New Roman" w:eastAsia="宋体"/>
          <w:color w:val="000000" w:themeColor="text1"/>
          <w:sz w:val="24"/>
          <w:szCs w:val="24"/>
          <w:highlight w:val="none"/>
          <w14:textFill>
            <w14:solidFill>
              <w14:schemeClr w14:val="tx1"/>
            </w14:solidFill>
          </w14:textFill>
        </w:rPr>
        <w:t>升</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5D27A0A5">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textAlignment w:val="auto"/>
        <w:rPr>
          <w:rFonts w:hint="eastAsia" w:ascii="Times New Roman" w:hAnsi="Times New Roman" w:eastAsia="宋体"/>
          <w:b/>
          <w:bCs/>
          <w:color w:val="000000" w:themeColor="text1"/>
          <w:sz w:val="24"/>
          <w:szCs w:val="24"/>
          <w:highlight w:val="none"/>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hint="eastAsia"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3、</w:t>
      </w:r>
      <w:r>
        <w:rPr>
          <w:rFonts w:hint="default" w:ascii="Times New Roman" w:hAnsi="Times New Roman" w:eastAsia="宋体"/>
          <w:b/>
          <w:bCs/>
          <w:color w:val="000000" w:themeColor="text1"/>
          <w:sz w:val="24"/>
          <w:szCs w:val="24"/>
          <w:highlight w:val="none"/>
          <w14:textFill>
            <w14:solidFill>
              <w14:schemeClr w14:val="tx1"/>
            </w14:solidFill>
          </w14:textFill>
        </w:rPr>
        <w:t>温度范围</w:t>
      </w:r>
      <w:r>
        <w:rPr>
          <w:rFonts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-40℃</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-86℃</w:t>
      </w: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p>
    <w:p w14:paraId="7C67BB01">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4、</w:t>
      </w:r>
      <w:r>
        <w:rPr>
          <w:rFonts w:hint="default" w:ascii="Times New Roman" w:hAnsi="Times New Roman" w:eastAsia="宋体"/>
          <w:color w:val="000000" w:themeColor="text1"/>
          <w:sz w:val="24"/>
          <w:szCs w:val="24"/>
          <w:highlight w:val="none"/>
          <w14:textFill>
            <w14:solidFill>
              <w14:schemeClr w14:val="tx1"/>
            </w14:solidFill>
          </w14:textFill>
        </w:rPr>
        <w:t>压缩机</w:t>
      </w:r>
      <w:r>
        <w:rPr>
          <w:rFonts w:ascii="Times New Roman" w:hAnsi="Times New Roman" w:eastAsia="宋体"/>
          <w:color w:val="000000" w:themeColor="text1"/>
          <w:sz w:val="24"/>
          <w:szCs w:val="24"/>
          <w:highlight w:val="none"/>
          <w14:textFill>
            <w14:solidFill>
              <w14:schemeClr w14:val="tx1"/>
            </w14:solidFill>
          </w14:textFill>
        </w:rPr>
        <w:t>：2</w:t>
      </w:r>
      <w:r>
        <w:rPr>
          <w:rFonts w:hint="default" w:ascii="Times New Roman" w:hAnsi="Times New Roman" w:eastAsia="宋体"/>
          <w:color w:val="000000" w:themeColor="text1"/>
          <w:sz w:val="24"/>
          <w:szCs w:val="24"/>
          <w:highlight w:val="none"/>
          <w14:textFill>
            <w14:solidFill>
              <w14:schemeClr w14:val="tx1"/>
            </w14:solidFill>
          </w14:textFill>
        </w:rPr>
        <w:t>个</w:t>
      </w:r>
      <w:r>
        <w:rPr>
          <w:rFonts w:ascii="Times New Roman" w:hAnsi="Times New Roman" w:eastAsia="宋体"/>
          <w:color w:val="000000" w:themeColor="text1"/>
          <w:sz w:val="24"/>
          <w:szCs w:val="24"/>
          <w:highlight w:val="none"/>
          <w14:textFill>
            <w14:solidFill>
              <w14:schemeClr w14:val="tx1"/>
            </w14:solidFill>
          </w14:textFill>
        </w:rPr>
        <w:t>原装</w:t>
      </w:r>
      <w:r>
        <w:rPr>
          <w:rFonts w:hint="default" w:ascii="Times New Roman" w:hAnsi="Times New Roman" w:eastAsia="宋体"/>
          <w:color w:val="000000" w:themeColor="text1"/>
          <w:sz w:val="24"/>
          <w:szCs w:val="24"/>
          <w:highlight w:val="none"/>
          <w14:textFill>
            <w14:solidFill>
              <w14:schemeClr w14:val="tx1"/>
            </w14:solidFill>
          </w14:textFill>
        </w:rPr>
        <w:t>碳氢</w:t>
      </w:r>
      <w:r>
        <w:rPr>
          <w:rFonts w:ascii="Times New Roman" w:hAnsi="Times New Roman" w:eastAsia="宋体"/>
          <w:color w:val="000000" w:themeColor="text1"/>
          <w:sz w:val="24"/>
          <w:szCs w:val="24"/>
          <w:highlight w:val="none"/>
          <w14:textFill>
            <w14:solidFill>
              <w14:schemeClr w14:val="tx1"/>
            </w14:solidFill>
          </w14:textFill>
        </w:rPr>
        <w:t>变频</w:t>
      </w:r>
      <w:r>
        <w:rPr>
          <w:rFonts w:hint="default" w:ascii="Times New Roman" w:hAnsi="Times New Roman" w:eastAsia="宋体"/>
          <w:color w:val="000000" w:themeColor="text1"/>
          <w:sz w:val="24"/>
          <w:szCs w:val="24"/>
          <w:highlight w:val="none"/>
          <w14:textFill>
            <w14:solidFill>
              <w14:schemeClr w14:val="tx1"/>
            </w14:solidFill>
          </w14:textFill>
        </w:rPr>
        <w:t>压缩机</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5647754E">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stheme="minorBidi"/>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外部尺寸：</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宽</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≤136</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深</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≤1030mm，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高</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≤2000mm</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内部尺寸</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宽≥</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860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深≥</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690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default" w:ascii="Times New Roman" w:hAnsi="Times New Roman" w:eastAsia="宋体" w:cstheme="minorBidi"/>
          <w:color w:val="000000" w:themeColor="text1"/>
          <w:sz w:val="24"/>
          <w:szCs w:val="24"/>
          <w:highlight w:val="none"/>
          <w:lang w:eastAsia="zh-CN"/>
          <w14:textFill>
            <w14:solidFill>
              <w14:schemeClr w14:val="tx1"/>
            </w14:solidFill>
          </w14:textFill>
        </w:rPr>
        <w:t>高≥</w:t>
      </w:r>
      <w:r>
        <w:rPr>
          <w:rFonts w:ascii="Times New Roman" w:hAnsi="Times New Roman" w:eastAsia="宋体"/>
          <w:color w:val="000000" w:themeColor="text1"/>
          <w:sz w:val="24"/>
          <w:szCs w:val="24"/>
          <w:highlight w:val="none"/>
          <w14:textFill>
            <w14:solidFill>
              <w14:schemeClr w14:val="tx1"/>
            </w14:solidFill>
          </w14:textFill>
        </w:rPr>
        <w:t>125</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0</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mm</w:t>
      </w:r>
      <w:r>
        <w:rPr>
          <w:rFonts w:hint="eastAsia" w:ascii="Times New Roman" w:hAnsi="Times New Roman" w:eastAsia="宋体" w:cstheme="minorBidi"/>
          <w:color w:val="000000" w:themeColor="text1"/>
          <w:sz w:val="24"/>
          <w:szCs w:val="24"/>
          <w:highlight w:val="none"/>
          <w:lang w:val="en-US" w:eastAsia="zh-CN"/>
          <w14:textFill>
            <w14:solidFill>
              <w14:schemeClr w14:val="tx1"/>
            </w14:solidFill>
          </w14:textFill>
        </w:rPr>
        <w:t>。</w:t>
      </w:r>
    </w:p>
    <w:p w14:paraId="4AB9A0C5">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stheme="minorBidi"/>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6、</w:t>
      </w:r>
      <w:r>
        <w:rPr>
          <w:rFonts w:hint="default" w:ascii="Times New Roman" w:hAnsi="Times New Roman" w:eastAsia="宋体"/>
          <w:color w:val="000000" w:themeColor="text1"/>
          <w:sz w:val="24"/>
          <w:szCs w:val="24"/>
          <w:highlight w:val="none"/>
          <w14:textFill>
            <w14:solidFill>
              <w14:schemeClr w14:val="tx1"/>
            </w14:solidFill>
          </w14:textFill>
        </w:rPr>
        <w:t>材料：</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箱体</w:t>
      </w:r>
      <w:r>
        <w:rPr>
          <w:rFonts w:hint="default" w:ascii="Times New Roman" w:hAnsi="Times New Roman" w:eastAsia="宋体"/>
          <w:color w:val="000000" w:themeColor="text1"/>
          <w:sz w:val="24"/>
          <w:szCs w:val="24"/>
          <w:highlight w:val="none"/>
          <w14:textFill>
            <w14:solidFill>
              <w14:schemeClr w14:val="tx1"/>
            </w14:solidFill>
          </w14:textFill>
        </w:rPr>
        <w:t>采用</w:t>
      </w:r>
      <w:r>
        <w:rPr>
          <w:rFonts w:hint="default" w:ascii="Times New Roman" w:hAnsi="Times New Roman" w:eastAsia="宋体" w:cstheme="minorBidi"/>
          <w:color w:val="000000" w:themeColor="text1"/>
          <w:kern w:val="0"/>
          <w:sz w:val="24"/>
          <w:szCs w:val="24"/>
          <w:highlight w:val="none"/>
          <w14:textFill>
            <w14:solidFill>
              <w14:schemeClr w14:val="tx1"/>
            </w14:solidFill>
          </w14:textFill>
        </w:rPr>
        <w:t>冷轧喷涂钢板</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内胆</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采用</w:t>
      </w:r>
      <w:r>
        <w:rPr>
          <w:rFonts w:hint="default" w:ascii="Times New Roman" w:hAnsi="Times New Roman" w:eastAsia="宋体"/>
          <w:color w:val="000000" w:themeColor="text1"/>
          <w:sz w:val="24"/>
          <w:szCs w:val="24"/>
          <w:highlight w:val="none"/>
          <w14:textFill>
            <w14:solidFill>
              <w14:schemeClr w14:val="tx1"/>
            </w14:solidFill>
          </w14:textFill>
        </w:rPr>
        <w:t>特种电锌板板喷涂</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或304不锈钢</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3A72C7DB">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color w:val="000000" w:themeColor="text1"/>
          <w:highlight w:val="none"/>
          <w14:textFill>
            <w14:solidFill>
              <w14:schemeClr w14:val="tx1"/>
            </w14:solidFill>
          </w14:textFill>
        </w:rPr>
      </w:pP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7、</w:t>
      </w:r>
      <w:r>
        <w:rPr>
          <w:rFonts w:ascii="Times New Roman" w:hAnsi="Times New Roman" w:eastAsia="宋体"/>
          <w:color w:val="000000" w:themeColor="text1"/>
          <w:sz w:val="24"/>
          <w:szCs w:val="24"/>
          <w:highlight w:val="none"/>
          <w14:textFill>
            <w14:solidFill>
              <w14:schemeClr w14:val="tx1"/>
            </w14:solidFill>
          </w14:textFill>
        </w:rPr>
        <w:t>保温材料：无</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CFC</w:t>
      </w:r>
      <w:r>
        <w:rPr>
          <w:rFonts w:ascii="Times New Roman" w:hAnsi="Times New Roman" w:eastAsia="宋体"/>
          <w:color w:val="000000" w:themeColor="text1"/>
          <w:sz w:val="24"/>
          <w:szCs w:val="24"/>
          <w:highlight w:val="none"/>
          <w14:textFill>
            <w14:solidFill>
              <w14:schemeClr w14:val="tx1"/>
            </w14:solidFill>
          </w14:textFill>
        </w:rPr>
        <w:t>聚氨酯发泡，</w:t>
      </w:r>
      <w:r>
        <w:rPr>
          <w:rFonts w:hint="default" w:ascii="Times New Roman" w:hAnsi="Times New Roman" w:eastAsia="宋体"/>
          <w:color w:val="000000" w:themeColor="text1"/>
          <w:sz w:val="24"/>
          <w:szCs w:val="24"/>
          <w:highlight w:val="none"/>
          <w14:textFill>
            <w14:solidFill>
              <w14:schemeClr w14:val="tx1"/>
            </w14:solidFill>
          </w14:textFill>
        </w:rPr>
        <w:t>保温层</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90</w:t>
      </w:r>
      <w:r>
        <w:rPr>
          <w:rFonts w:hint="default" w:ascii="Times New Roman" w:hAnsi="Times New Roman" w:eastAsia="宋体"/>
          <w:color w:val="000000" w:themeColor="text1"/>
          <w:sz w:val="24"/>
          <w:szCs w:val="24"/>
          <w:highlight w:val="none"/>
          <w14:textFill>
            <w14:solidFill>
              <w14:schemeClr w14:val="tx1"/>
            </w14:solidFill>
          </w14:textFill>
        </w:rPr>
        <w:t>mm</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2FC8F9C6">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8</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内门：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2</w:t>
      </w:r>
      <w:r>
        <w:rPr>
          <w:rFonts w:hint="default" w:ascii="Times New Roman" w:hAnsi="Times New Roman" w:eastAsia="宋体"/>
          <w:color w:val="000000" w:themeColor="text1"/>
          <w:sz w:val="24"/>
          <w:szCs w:val="24"/>
          <w:highlight w:val="none"/>
          <w14:textFill>
            <w14:solidFill>
              <w14:schemeClr w14:val="tx1"/>
            </w14:solidFill>
          </w14:textFill>
        </w:rPr>
        <w:t>个</w:t>
      </w:r>
      <w:r>
        <w:rPr>
          <w:rFonts w:ascii="Times New Roman" w:hAnsi="Times New Roman" w:eastAsia="宋体"/>
          <w:color w:val="000000" w:themeColor="text1"/>
          <w:sz w:val="24"/>
          <w:szCs w:val="24"/>
          <w:highlight w:val="none"/>
          <w14:textFill>
            <w14:solidFill>
              <w14:schemeClr w14:val="tx1"/>
            </w14:solidFill>
          </w14:textFill>
        </w:rPr>
        <w:t>可拆卸独立发泡内门</w:t>
      </w:r>
      <w:r>
        <w:rPr>
          <w:rFonts w:hint="eastAsia" w:ascii="Times New Roman" w:hAnsi="Times New Roman" w:eastAsia="宋体"/>
          <w:color w:val="000000" w:themeColor="text1"/>
          <w:szCs w:val="24"/>
          <w:highlight w:val="none"/>
          <w:lang w:eastAsia="zh-CN"/>
          <w14:textFill>
            <w14:solidFill>
              <w14:schemeClr w14:val="tx1"/>
            </w14:solidFill>
          </w14:textFill>
        </w:rPr>
        <w:t>。</w:t>
      </w:r>
    </w:p>
    <w:p w14:paraId="66D8C46D">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9</w:t>
      </w:r>
      <w:r>
        <w:rPr>
          <w:rFonts w:hint="eastAsia" w:ascii="Times New Roman" w:hAnsi="Times New Roman" w:eastAsia="宋体" w:cstheme="minorBidi"/>
          <w:b/>
          <w:bCs/>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制冷系统</w:t>
      </w:r>
      <w:r>
        <w:rPr>
          <w:rFonts w:ascii="Times New Roman" w:hAnsi="Times New Roman" w:eastAsia="宋体"/>
          <w:b/>
          <w:bCs/>
          <w:color w:val="000000" w:themeColor="text1"/>
          <w:sz w:val="24"/>
          <w:szCs w:val="24"/>
          <w:highlight w:val="none"/>
          <w14:textFill>
            <w14:solidFill>
              <w14:schemeClr w14:val="tx1"/>
            </w14:solidFill>
          </w14:textFill>
        </w:rPr>
        <w:t>：</w:t>
      </w:r>
      <w:r>
        <w:rPr>
          <w:rFonts w:hint="default" w:ascii="Times New Roman" w:hAnsi="Times New Roman" w:eastAsia="宋体"/>
          <w:b/>
          <w:bCs/>
          <w:color w:val="000000" w:themeColor="text1"/>
          <w:sz w:val="24"/>
          <w:szCs w:val="24"/>
          <w:highlight w:val="none"/>
          <w14:textFill>
            <w14:solidFill>
              <w14:schemeClr w14:val="tx1"/>
            </w14:solidFill>
          </w14:textFill>
        </w:rPr>
        <w:t>双独立碳氢变频制冷系统</w:t>
      </w: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p>
    <w:p w14:paraId="68607639">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10</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单一系统均可独立制冷至-80℃</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稳定运行</w:t>
      </w:r>
      <w:r>
        <w:rPr>
          <w:rFonts w:hint="default" w:ascii="Times New Roman" w:hAnsi="Times New Roman" w:eastAsia="宋体"/>
          <w:color w:val="000000" w:themeColor="text1"/>
          <w:sz w:val="24"/>
          <w:szCs w:val="24"/>
          <w:highlight w:val="none"/>
          <w14:textFill>
            <w14:solidFill>
              <w14:schemeClr w14:val="tx1"/>
            </w14:solidFill>
          </w14:textFill>
        </w:rPr>
        <w:t>，单系统故障时仍能保障样本安全</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A3B1F86">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11</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样本</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存放</w:t>
      </w:r>
      <w:r>
        <w:rPr>
          <w:rFonts w:ascii="Times New Roman" w:hAnsi="Times New Roman" w:eastAsia="宋体"/>
          <w:color w:val="000000" w:themeColor="text1"/>
          <w:sz w:val="24"/>
          <w:szCs w:val="24"/>
          <w:highlight w:val="none"/>
          <w14:textFill>
            <w14:solidFill>
              <w14:schemeClr w14:val="tx1"/>
            </w14:solidFill>
          </w14:textFill>
        </w:rPr>
        <w:t>量</w:t>
      </w:r>
      <w:r>
        <w:rPr>
          <w:rFonts w:hint="default" w:ascii="Times New Roman" w:hAnsi="Times New Roman" w:eastAsia="宋体"/>
          <w:color w:val="000000" w:themeColor="text1"/>
          <w:sz w:val="24"/>
          <w:szCs w:val="24"/>
          <w:highlight w:val="none"/>
          <w14:textFill>
            <w14:solidFill>
              <w14:schemeClr w14:val="tx1"/>
            </w14:solidFill>
          </w14:textFill>
        </w:rPr>
        <w:t>：2英寸冻存盒</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10</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10</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可存放≥6</w:t>
      </w:r>
      <w:r>
        <w:rPr>
          <w:rFonts w:ascii="Times New Roman" w:hAnsi="Times New Roman" w:eastAsia="宋体"/>
          <w:color w:val="000000" w:themeColor="text1"/>
          <w:sz w:val="24"/>
          <w:szCs w:val="24"/>
          <w:highlight w:val="none"/>
          <w14:textFill>
            <w14:solidFill>
              <w14:schemeClr w14:val="tx1"/>
            </w14:solidFill>
          </w14:textFill>
        </w:rPr>
        <w:t>00</w:t>
      </w:r>
      <w:r>
        <w:rPr>
          <w:rFonts w:hint="default" w:ascii="Times New Roman" w:hAnsi="Times New Roman" w:eastAsia="宋体"/>
          <w:color w:val="000000" w:themeColor="text1"/>
          <w:sz w:val="24"/>
          <w:szCs w:val="24"/>
          <w:highlight w:val="none"/>
          <w14:textFill>
            <w14:solidFill>
              <w14:schemeClr w14:val="tx1"/>
            </w14:solidFill>
          </w14:textFill>
        </w:rPr>
        <w:t>个</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2</w:t>
      </w:r>
      <w:r>
        <w:rPr>
          <w:rFonts w:ascii="Times New Roman" w:hAnsi="Times New Roman" w:eastAsia="宋体"/>
          <w:color w:val="000000" w:themeColor="text1"/>
          <w:sz w:val="24"/>
          <w:szCs w:val="24"/>
          <w:highlight w:val="none"/>
          <w14:textFill>
            <w14:solidFill>
              <w14:schemeClr w14:val="tx1"/>
            </w14:solidFill>
          </w14:textFill>
        </w:rPr>
        <w:t>ml冻存管</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可存放≥6</w:t>
      </w:r>
      <w:r>
        <w:rPr>
          <w:rFonts w:hint="default" w:ascii="Times New Roman" w:hAnsi="Times New Roman" w:eastAsia="宋体"/>
          <w:color w:val="000000" w:themeColor="text1"/>
          <w:sz w:val="24"/>
          <w:szCs w:val="24"/>
          <w:highlight w:val="none"/>
          <w14:textFill>
            <w14:solidFill>
              <w14:schemeClr w14:val="tx1"/>
            </w14:solidFill>
          </w14:textFill>
        </w:rPr>
        <w:t>0000个</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8C5EC7F">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微电脑控制，箱内温度-40℃</w:t>
      </w:r>
      <w:r>
        <w:rPr>
          <w:rFonts w:hint="eastAsia" w:ascii="Times New Roman" w:hAnsi="Times New Roman" w:eastAsia="宋体" w:cs="宋体"/>
          <w:color w:val="000000" w:themeColor="text1"/>
          <w:sz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-86℃可调，</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控温</w:t>
      </w:r>
      <w:r>
        <w:rPr>
          <w:rFonts w:hint="default" w:ascii="Times New Roman" w:hAnsi="Times New Roman" w:eastAsia="宋体"/>
          <w:color w:val="000000" w:themeColor="text1"/>
          <w:sz w:val="24"/>
          <w:szCs w:val="24"/>
          <w:highlight w:val="none"/>
          <w14:textFill>
            <w14:solidFill>
              <w14:schemeClr w14:val="tx1"/>
            </w14:solidFill>
          </w14:textFill>
        </w:rPr>
        <w:t>精度0.1℃</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E798ABB">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13</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显示</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屏</w:t>
      </w:r>
      <w:r>
        <w:rPr>
          <w:rFonts w:hint="default"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LCD或</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LED</w:t>
      </w:r>
      <w:r>
        <w:rPr>
          <w:rFonts w:ascii="Times New Roman" w:hAnsi="Times New Roman" w:eastAsia="宋体"/>
          <w:color w:val="000000" w:themeColor="text1"/>
          <w:sz w:val="24"/>
          <w:szCs w:val="24"/>
          <w:highlight w:val="none"/>
          <w14:textFill>
            <w14:solidFill>
              <w14:schemeClr w14:val="tx1"/>
            </w14:solidFill>
          </w14:textFill>
        </w:rPr>
        <w:t>显示屏，</w:t>
      </w:r>
      <w:r>
        <w:rPr>
          <w:rFonts w:hint="default" w:ascii="Times New Roman" w:hAnsi="Times New Roman" w:eastAsia="宋体"/>
          <w:color w:val="000000" w:themeColor="text1"/>
          <w:sz w:val="24"/>
          <w:szCs w:val="24"/>
          <w:highlight w:val="none"/>
          <w14:textFill>
            <w14:solidFill>
              <w14:schemeClr w14:val="tx1"/>
            </w14:solidFill>
          </w14:textFill>
        </w:rPr>
        <w:t>可</w:t>
      </w:r>
      <w:r>
        <w:rPr>
          <w:rFonts w:ascii="Times New Roman" w:hAnsi="Times New Roman" w:eastAsia="宋体"/>
          <w:color w:val="000000" w:themeColor="text1"/>
          <w:sz w:val="24"/>
          <w:szCs w:val="24"/>
          <w:highlight w:val="none"/>
          <w14:textFill>
            <w14:solidFill>
              <w14:schemeClr w14:val="tx1"/>
            </w14:solidFill>
          </w14:textFill>
        </w:rPr>
        <w:t>查询数据及查看运行</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状态</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显示设定温度、当前电压、环境温度、</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箱内温度等</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61A4012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14</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设定温度在-40℃～-86℃范围调节，箱内温度均匀度</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 xml:space="preserve"> </w:t>
      </w:r>
      <w:r>
        <w:rPr>
          <w:rFonts w:ascii="Times New Roman" w:hAnsi="Times New Roman" w:eastAsia="宋体"/>
          <w:color w:val="000000" w:themeColor="text1"/>
          <w:sz w:val="24"/>
          <w:szCs w:val="24"/>
          <w:highlight w:val="none"/>
          <w14:textFill>
            <w14:solidFill>
              <w14:schemeClr w14:val="tx1"/>
            </w14:solidFill>
          </w14:textFill>
        </w:rPr>
        <w:t>2</w:t>
      </w:r>
      <w:r>
        <w:rPr>
          <w:rFonts w:hint="default" w:ascii="Times New Roman" w:hAnsi="Times New Roman" w:eastAsia="宋体"/>
          <w:color w:val="000000" w:themeColor="text1"/>
          <w:sz w:val="24"/>
          <w:szCs w:val="24"/>
          <w:highlight w:val="none"/>
          <w14:textFill>
            <w14:solidFill>
              <w14:schemeClr w14:val="tx1"/>
            </w14:solidFill>
          </w14:textFill>
        </w:rPr>
        <w:t>℃；温度</w:t>
      </w:r>
      <w:r>
        <w:rPr>
          <w:rFonts w:hint="default" w:ascii="Times New Roman" w:hAnsi="Times New Roman" w:eastAsia="宋体"/>
          <w:color w:val="000000" w:themeColor="text1"/>
          <w:sz w:val="24"/>
          <w:szCs w:val="24"/>
          <w:highlight w:val="none"/>
          <w:lang w:eastAsia="zh-CN"/>
          <w14:textFill>
            <w14:solidFill>
              <w14:schemeClr w14:val="tx1"/>
            </w14:solidFill>
          </w14:textFill>
        </w:rPr>
        <w:t>波动度</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olor w:val="000000" w:themeColor="text1"/>
          <w:sz w:val="24"/>
          <w:szCs w:val="24"/>
          <w:highlight w:val="none"/>
          <w14:textFill>
            <w14:solidFill>
              <w14:schemeClr w14:val="tx1"/>
            </w14:solidFill>
          </w14:textFill>
        </w:rPr>
        <w:t>℃</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提供具有CMA以及CNAS资质的省级或以上相关产品监督检验机构出具的第三方检测报告</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672CF17E">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15</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多种故障报警：高温、低温、电压超标、环境温度、传感器故障、断电、冷凝器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异常</w:t>
      </w:r>
      <w:r>
        <w:rPr>
          <w:rFonts w:hint="default" w:ascii="Times New Roman" w:hAnsi="Times New Roman" w:eastAsia="宋体"/>
          <w:color w:val="000000" w:themeColor="text1"/>
          <w:sz w:val="24"/>
          <w:szCs w:val="24"/>
          <w:highlight w:val="none"/>
          <w14:textFill>
            <w14:solidFill>
              <w14:schemeClr w14:val="tx1"/>
            </w14:solidFill>
          </w14:textFill>
        </w:rPr>
        <w:t>、开门时间长、电池电量低等报警</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5149BEF8">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16</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两种报警方式</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声音蜂鸣报警</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和</w:t>
      </w:r>
      <w:r>
        <w:rPr>
          <w:rFonts w:hint="default" w:ascii="Times New Roman" w:hAnsi="Times New Roman" w:eastAsia="宋体"/>
          <w:color w:val="000000" w:themeColor="text1"/>
          <w:sz w:val="24"/>
          <w:szCs w:val="24"/>
          <w:highlight w:val="none"/>
          <w14:textFill>
            <w14:solidFill>
              <w14:schemeClr w14:val="tx1"/>
            </w14:solidFill>
          </w14:textFill>
        </w:rPr>
        <w:t>闪烁报警</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01D98B4">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17</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多种保护功能：</w:t>
      </w:r>
      <w:r>
        <w:rPr>
          <w:rFonts w:hint="default" w:ascii="Times New Roman" w:hAnsi="Times New Roman" w:eastAsia="宋体"/>
          <w:color w:val="000000" w:themeColor="text1"/>
          <w:sz w:val="24"/>
          <w:szCs w:val="24"/>
          <w:highlight w:val="none"/>
          <w14:textFill>
            <w14:solidFill>
              <w14:schemeClr w14:val="tx1"/>
            </w14:solidFill>
          </w14:textFill>
        </w:rPr>
        <w:t>开机延时保护可设定时间、密码保护、</w:t>
      </w:r>
      <w:r>
        <w:rPr>
          <w:rFonts w:ascii="Times New Roman" w:hAnsi="Times New Roman" w:eastAsia="宋体"/>
          <w:color w:val="000000" w:themeColor="text1"/>
          <w:sz w:val="24"/>
          <w:szCs w:val="24"/>
          <w:highlight w:val="none"/>
          <w14:textFill>
            <w14:solidFill>
              <w14:schemeClr w14:val="tx1"/>
            </w14:solidFill>
          </w14:textFill>
        </w:rPr>
        <w:t>断电间隔保护、故障模式运行保护</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密码保护</w:t>
      </w:r>
      <w:r>
        <w:rPr>
          <w:rFonts w:ascii="Times New Roman" w:hAnsi="Times New Roman" w:eastAsia="宋体"/>
          <w:color w:val="000000" w:themeColor="text1"/>
          <w:sz w:val="24"/>
          <w:szCs w:val="24"/>
          <w:highlight w:val="none"/>
          <w14:textFill>
            <w14:solidFill>
              <w14:schemeClr w14:val="tx1"/>
            </w14:solidFill>
          </w14:textFill>
        </w:rPr>
        <w:t>等</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C12B1F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18</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冷凝风机：高效节能冷凝风机两个，可根据环境温度实现智能开停，有效节能</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610EFBD1">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19</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超静音运行：整机运行噪音</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5</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olor w:val="000000" w:themeColor="text1"/>
          <w:sz w:val="24"/>
          <w:szCs w:val="24"/>
          <w:highlight w:val="none"/>
          <w14:textFill>
            <w14:solidFill>
              <w14:schemeClr w14:val="tx1"/>
            </w14:solidFill>
          </w14:textFill>
        </w:rPr>
        <w:t>d</w:t>
      </w:r>
      <w:r>
        <w:rPr>
          <w:rFonts w:ascii="Times New Roman" w:hAnsi="Times New Roman" w:eastAsia="宋体"/>
          <w:color w:val="000000" w:themeColor="text1"/>
          <w:sz w:val="24"/>
          <w:szCs w:val="24"/>
          <w:highlight w:val="none"/>
          <w14:textFill>
            <w14:solidFill>
              <w14:schemeClr w14:val="tx1"/>
            </w14:solidFill>
          </w14:textFill>
        </w:rPr>
        <w:t>B</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03BE0276">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20</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密封性能：内外门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具备</w:t>
      </w:r>
      <w:r>
        <w:rPr>
          <w:rFonts w:hint="default" w:ascii="Times New Roman" w:hAnsi="Times New Roman" w:eastAsia="宋体"/>
          <w:color w:val="000000" w:themeColor="text1"/>
          <w:sz w:val="24"/>
          <w:szCs w:val="24"/>
          <w:highlight w:val="none"/>
          <w14:textFill>
            <w14:solidFill>
              <w14:schemeClr w14:val="tx1"/>
            </w14:solidFill>
          </w14:textFill>
        </w:rPr>
        <w:t>密封条结构，采用耐腐蚀、耐低温的硅胶材料，独立气囊结构，密封效果好，不易结霜</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7C9C0C1D">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1、</w:t>
      </w:r>
      <w:r>
        <w:rPr>
          <w:rFonts w:hint="default" w:ascii="Times New Roman" w:hAnsi="Times New Roman" w:eastAsia="宋体"/>
          <w:color w:val="000000" w:themeColor="text1"/>
          <w:sz w:val="24"/>
          <w:szCs w:val="24"/>
          <w:highlight w:val="none"/>
          <w14:textFill>
            <w14:solidFill>
              <w14:schemeClr w14:val="tx1"/>
            </w14:solidFill>
          </w14:textFill>
        </w:rPr>
        <w:t>内门具有气囊密封条，单独密封。可独立分别存取物品，以减小箱内温度波动，并有效保证物品安全保存</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0E01C140">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default" w:ascii="Times New Roman" w:hAnsi="Times New Roman" w:eastAsia="宋体"/>
          <w:color w:val="000000" w:themeColor="text1"/>
          <w:sz w:val="24"/>
          <w:szCs w:val="24"/>
          <w:highlight w:val="none"/>
          <w14:textFill>
            <w14:solidFill>
              <w14:schemeClr w14:val="tx1"/>
            </w14:solidFill>
          </w14:textFill>
        </w:rPr>
        <w:t>标配双测试孔，</w:t>
      </w:r>
      <w:r>
        <w:rPr>
          <w:rFonts w:hint="eastAsia" w:ascii="Times New Roman" w:hAnsi="Times New Roman" w:eastAsia="宋体" w:cs="宋体"/>
          <w:color w:val="000000" w:themeColor="text1"/>
          <w:sz w:val="24"/>
          <w:szCs w:val="24"/>
          <w:highlight w:val="none"/>
          <w14:textFill>
            <w14:solidFill>
              <w14:schemeClr w14:val="tx1"/>
            </w14:solidFill>
          </w14:textFill>
        </w:rPr>
        <w:t>便于安装外置温度监控模块</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405FA12">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2" w:hangingChars="200"/>
        <w:textAlignment w:val="auto"/>
        <w:rPr>
          <w:rFonts w:ascii="Times New Roman" w:hAnsi="Times New Roman" w:eastAsia="宋体"/>
          <w:b/>
          <w:bCs/>
          <w:color w:val="000000" w:themeColor="text1"/>
          <w:sz w:val="24"/>
          <w:szCs w:val="24"/>
          <w:highlight w:val="none"/>
          <w14:textFill>
            <w14:solidFill>
              <w14:schemeClr w14:val="tx1"/>
            </w14:solidFill>
          </w14:textFill>
        </w:rPr>
      </w:pPr>
      <w:r>
        <w:rPr>
          <w:rFonts w:hint="default" w:ascii="Times New Roman" w:hAnsi="Times New Roman" w:eastAsia="宋体" w:cstheme="minorBidi"/>
          <w:b/>
          <w:bCs/>
          <w:color w:val="000000" w:themeColor="text1"/>
          <w:kern w:val="0"/>
          <w:sz w:val="24"/>
          <w:szCs w:val="24"/>
          <w:highlight w:val="none"/>
          <w14:textFill>
            <w14:solidFill>
              <w14:schemeClr w14:val="tx1"/>
            </w14:solidFill>
          </w14:textFill>
        </w:rPr>
        <w:t>★</w:t>
      </w:r>
      <w:r>
        <w:rPr>
          <w:rFonts w:hint="eastAsia" w:ascii="Times New Roman" w:hAnsi="Times New Roman" w:eastAsia="宋体" w:cstheme="minorBidi"/>
          <w:b/>
          <w:bCs/>
          <w:color w:val="000000" w:themeColor="text1"/>
          <w:kern w:val="0"/>
          <w:sz w:val="24"/>
          <w:szCs w:val="24"/>
          <w:highlight w:val="none"/>
          <w:lang w:val="en-US" w:eastAsia="zh-CN"/>
          <w14:textFill>
            <w14:solidFill>
              <w14:schemeClr w14:val="tx1"/>
            </w14:solidFill>
          </w14:textFill>
        </w:rPr>
        <w:t>23、</w:t>
      </w:r>
      <w:r>
        <w:rPr>
          <w:rFonts w:hint="default" w:ascii="Times New Roman" w:hAnsi="Times New Roman" w:eastAsia="宋体"/>
          <w:b/>
          <w:bCs/>
          <w:color w:val="000000" w:themeColor="text1"/>
          <w:sz w:val="24"/>
          <w:szCs w:val="24"/>
          <w:highlight w:val="none"/>
          <w14:textFill>
            <w14:solidFill>
              <w14:schemeClr w14:val="tx1"/>
            </w14:solidFill>
          </w14:textFill>
        </w:rPr>
        <w:t>标配</w:t>
      </w:r>
      <w:r>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t>温度记录仪</w:t>
      </w:r>
      <w:r>
        <w:rPr>
          <w:rFonts w:hint="eastAsia" w:ascii="Times New Roman" w:hAnsi="Times New Roman" w:eastAsia="宋体"/>
          <w:b/>
          <w:bCs/>
          <w:color w:val="000000" w:themeColor="text1"/>
          <w:sz w:val="24"/>
          <w:szCs w:val="24"/>
          <w:highlight w:val="none"/>
          <w:lang w:val="en-US" w:eastAsia="zh-CN"/>
          <w14:textFill>
            <w14:solidFill>
              <w14:schemeClr w14:val="tx1"/>
            </w14:solidFill>
          </w14:textFill>
        </w:rPr>
        <w:t>和满配冻存架。</w:t>
      </w:r>
    </w:p>
    <w:p w14:paraId="017C34B7">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hint="default" w:ascii="Times New Roman" w:hAnsi="Times New Roman" w:eastAsia="宋体"/>
          <w:color w:val="000000" w:themeColor="text1"/>
          <w:sz w:val="24"/>
          <w:szCs w:val="24"/>
          <w:highlight w:val="none"/>
          <w14:textFill>
            <w14:solidFill>
              <w14:schemeClr w14:val="tx1"/>
            </w14:solidFill>
          </w14:textFill>
        </w:rPr>
        <w:t>▲</w:t>
      </w: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4、</w:t>
      </w:r>
      <w:r>
        <w:rPr>
          <w:rFonts w:hint="default" w:ascii="Times New Roman" w:hAnsi="Times New Roman" w:eastAsia="宋体"/>
          <w:color w:val="000000" w:themeColor="text1"/>
          <w:sz w:val="24"/>
          <w:szCs w:val="24"/>
          <w:highlight w:val="none"/>
          <w14:textFill>
            <w14:solidFill>
              <w14:schemeClr w14:val="tx1"/>
            </w14:solidFill>
          </w14:textFill>
        </w:rPr>
        <w:t>25℃环温时，机器断电后，从-80℃回温到-50℃的时间≥</w:t>
      </w:r>
      <w:r>
        <w:rPr>
          <w:rFonts w:ascii="Times New Roman" w:hAnsi="Times New Roman" w:eastAsia="宋体"/>
          <w:color w:val="000000" w:themeColor="text1"/>
          <w:sz w:val="24"/>
          <w:szCs w:val="24"/>
          <w:highlight w:val="none"/>
          <w14:textFill>
            <w14:solidFill>
              <w14:schemeClr w14:val="tx1"/>
            </w14:solidFill>
          </w14:textFill>
        </w:rPr>
        <w:t>320min</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stheme="minorBidi"/>
          <w:color w:val="000000" w:themeColor="text1"/>
          <w:sz w:val="24"/>
          <w:szCs w:val="24"/>
          <w:highlight w:val="none"/>
          <w:lang w:val="en-US" w:eastAsia="zh-CN"/>
          <w14:textFill>
            <w14:solidFill>
              <w14:schemeClr w14:val="tx1"/>
            </w14:solidFill>
          </w14:textFill>
        </w:rPr>
        <w:t>提供具有CMA以及CNAS资质的省级或以上相关产品监督检验机构出具的第三方检测报告</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067A89E8">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hint="eastAsia"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5、</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具备</w:t>
      </w:r>
      <w:r>
        <w:rPr>
          <w:rFonts w:hint="default" w:ascii="Times New Roman" w:hAnsi="Times New Roman" w:eastAsia="宋体"/>
          <w:color w:val="000000" w:themeColor="text1"/>
          <w:sz w:val="24"/>
          <w:szCs w:val="24"/>
          <w:highlight w:val="none"/>
          <w14:textFill>
            <w14:solidFill>
              <w14:schemeClr w14:val="tx1"/>
            </w14:solidFill>
          </w14:textFill>
        </w:rPr>
        <w:t>解决短时间内连续多次开门</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olor w:val="000000" w:themeColor="text1"/>
          <w:sz w:val="24"/>
          <w:szCs w:val="24"/>
          <w:highlight w:val="none"/>
          <w14:textFill>
            <w14:solidFill>
              <w14:schemeClr w14:val="tx1"/>
            </w14:solidFill>
          </w14:textFill>
        </w:rPr>
        <w:t>气压平衡阀</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或平衡孔等设计</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p>
    <w:p w14:paraId="4EB01934">
      <w:pPr>
        <w:pStyle w:val="85"/>
        <w:keepNext w:val="0"/>
        <w:keepLines w:val="0"/>
        <w:pageBreakBefore w:val="0"/>
        <w:numPr>
          <w:ilvl w:val="0"/>
          <w:numId w:val="0"/>
        </w:numPr>
        <w:kinsoku/>
        <w:wordWrap/>
        <w:overflowPunct/>
        <w:topLinePunct w:val="0"/>
        <w:autoSpaceDE w:val="0"/>
        <w:autoSpaceDN w:val="0"/>
        <w:bidi w:val="0"/>
        <w:adjustRightInd w:val="0"/>
        <w:spacing w:line="360" w:lineRule="auto"/>
        <w:ind w:left="480" w:hanging="480" w:hangingChars="200"/>
        <w:textAlignment w:val="auto"/>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6、</w:t>
      </w:r>
      <w:r>
        <w:rPr>
          <w:rFonts w:hint="default" w:ascii="Times New Roman" w:hAnsi="Times New Roman" w:eastAsia="宋体"/>
          <w:color w:val="000000" w:themeColor="text1"/>
          <w:sz w:val="24"/>
          <w:szCs w:val="24"/>
          <w:highlight w:val="none"/>
          <w14:textFill>
            <w14:solidFill>
              <w14:schemeClr w14:val="tx1"/>
            </w14:solidFill>
          </w14:textFill>
        </w:rPr>
        <w:t>接口：</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标配</w:t>
      </w:r>
      <w:r>
        <w:rPr>
          <w:rFonts w:hint="default" w:ascii="Times New Roman" w:hAnsi="Times New Roman" w:eastAsia="宋体"/>
          <w:color w:val="000000" w:themeColor="text1"/>
          <w:sz w:val="24"/>
          <w:szCs w:val="24"/>
          <w:highlight w:val="none"/>
          <w14:textFill>
            <w14:solidFill>
              <w14:schemeClr w14:val="tx1"/>
            </w14:solidFill>
          </w14:textFill>
        </w:rPr>
        <w:t>USB接口下载箱内温度、设定温度、环境温度、开关门次数等</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数据可</w:t>
      </w:r>
      <w:r>
        <w:rPr>
          <w:rFonts w:ascii="Times New Roman" w:hAnsi="Times New Roman" w:eastAsia="宋体"/>
          <w:color w:val="000000" w:themeColor="text1"/>
          <w:sz w:val="24"/>
          <w:szCs w:val="24"/>
          <w:highlight w:val="none"/>
          <w14:textFill>
            <w14:solidFill>
              <w14:schemeClr w14:val="tx1"/>
            </w14:solidFill>
          </w14:textFill>
        </w:rPr>
        <w:t>保存</w:t>
      </w:r>
      <w:r>
        <w:rPr>
          <w:rFonts w:hint="default" w:ascii="Times New Roman" w:hAnsi="Times New Roman" w:eastAsia="宋体"/>
          <w:color w:val="000000" w:themeColor="text1"/>
          <w:sz w:val="24"/>
          <w:szCs w:val="24"/>
          <w:highlight w:val="none"/>
          <w14:textFill>
            <w14:solidFill>
              <w14:schemeClr w14:val="tx1"/>
            </w14:solidFill>
          </w14:textFill>
        </w:rPr>
        <w:t>10年</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p>
    <w:p w14:paraId="6C449555">
      <w:pPr>
        <w:pStyle w:val="32"/>
        <w:keepNext w:val="0"/>
        <w:keepLines w:val="0"/>
        <w:pageBreakBefore w:val="0"/>
        <w:kinsoku/>
        <w:wordWrap/>
        <w:overflowPunct/>
        <w:topLinePunct w:val="0"/>
        <w:bidi w:val="0"/>
        <w:spacing w:line="360" w:lineRule="auto"/>
        <w:ind w:left="480" w:hanging="480" w:hangingChars="200"/>
        <w:textAlignment w:val="auto"/>
        <w:rPr>
          <w:rFonts w:hint="default" w:ascii="Times New Roman" w:hAnsi="Times New Roman" w:eastAsia="宋体"/>
          <w:color w:val="000000" w:themeColor="text1"/>
          <w:sz w:val="24"/>
          <w:szCs w:val="24"/>
          <w:highlight w:val="none"/>
          <w:lang w:eastAsia="zh-CN"/>
          <w14:textFill>
            <w14:solidFill>
              <w14:schemeClr w14:val="tx1"/>
            </w14:solidFill>
          </w14:textFill>
        </w:rPr>
      </w:pPr>
      <w:r>
        <w:rPr>
          <w:rFonts w:hint="default"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heme="minorBidi"/>
          <w:color w:val="000000" w:themeColor="text1"/>
          <w:kern w:val="0"/>
          <w:sz w:val="24"/>
          <w:szCs w:val="24"/>
          <w:highlight w:val="none"/>
          <w:lang w:val="en-US" w:eastAsia="zh-CN" w:bidi="ar-SA"/>
          <w14:textFill>
            <w14:solidFill>
              <w14:schemeClr w14:val="tx1"/>
            </w14:solidFill>
          </w14:textFill>
        </w:rPr>
        <w:t>7、</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标配蓄电池，</w:t>
      </w:r>
      <w:r>
        <w:rPr>
          <w:rFonts w:hint="default" w:ascii="Times New Roman" w:hAnsi="Times New Roman" w:eastAsia="宋体"/>
          <w:color w:val="000000" w:themeColor="text1"/>
          <w:sz w:val="24"/>
          <w:szCs w:val="24"/>
          <w:highlight w:val="none"/>
          <w14:textFill>
            <w14:solidFill>
              <w14:schemeClr w14:val="tx1"/>
            </w14:solidFill>
          </w14:textFill>
        </w:rPr>
        <w:t>确保断电后报警</w:t>
      </w:r>
      <w:r>
        <w:rPr>
          <w:rFonts w:hint="default" w:ascii="Times New Roman" w:hAnsi="Times New Roman" w:eastAsia="宋体"/>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olor w:val="000000" w:themeColor="text1"/>
          <w:sz w:val="24"/>
          <w:szCs w:val="24"/>
          <w:highlight w:val="none"/>
          <w14:textFill>
            <w14:solidFill>
              <w14:schemeClr w14:val="tx1"/>
            </w14:solidFill>
          </w14:textFill>
        </w:rPr>
        <w:t>12小时</w:t>
      </w:r>
      <w:r>
        <w:rPr>
          <w:rFonts w:hint="default" w:ascii="Times New Roman" w:hAnsi="Times New Roman" w:eastAsia="宋体"/>
          <w:color w:val="000000" w:themeColor="text1"/>
          <w:sz w:val="24"/>
          <w:szCs w:val="24"/>
          <w:highlight w:val="none"/>
          <w:lang w:eastAsia="zh-CN"/>
          <w14:textFill>
            <w14:solidFill>
              <w14:schemeClr w14:val="tx1"/>
            </w14:solidFill>
          </w14:textFill>
        </w:rPr>
        <w:t>。</w:t>
      </w:r>
    </w:p>
    <w:p w14:paraId="4337034F">
      <w:pPr>
        <w:pStyle w:val="32"/>
        <w:keepNext w:val="0"/>
        <w:keepLines w:val="0"/>
        <w:pageBreakBefore w:val="0"/>
        <w:kinsoku/>
        <w:wordWrap/>
        <w:overflowPunct/>
        <w:topLinePunct w:val="0"/>
        <w:bidi w:val="0"/>
        <w:spacing w:line="360" w:lineRule="auto"/>
        <w:ind w:left="480" w:hanging="480" w:hangingChars="200"/>
        <w:textAlignment w:val="auto"/>
        <w:rPr>
          <w:rFonts w:hint="default" w:ascii="Times New Roman" w:hAnsi="Times New Roman" w:eastAsia="宋体"/>
          <w:color w:val="000000" w:themeColor="text1"/>
          <w:sz w:val="24"/>
          <w:szCs w:val="24"/>
          <w:highlight w:val="none"/>
          <w:lang w:eastAsia="zh-CN"/>
          <w14:textFill>
            <w14:solidFill>
              <w14:schemeClr w14:val="tx1"/>
            </w14:solidFill>
          </w14:textFill>
        </w:rPr>
      </w:pPr>
      <w:r>
        <w:rPr>
          <w:rFonts w:hint="eastAsia" w:ascii="Times New Roman" w:hAnsi="Times New Roman"/>
          <w:color w:val="000000" w:themeColor="text1"/>
          <w:sz w:val="24"/>
          <w:szCs w:val="24"/>
          <w:highlight w:val="none"/>
          <w:lang w:eastAsia="zh-CN"/>
          <w14:textFill>
            <w14:solidFill>
              <w14:schemeClr w14:val="tx1"/>
            </w14:solidFill>
          </w14:textFill>
        </w:rPr>
        <w:t>（</w:t>
      </w:r>
      <w:r>
        <w:rPr>
          <w:rFonts w:hint="eastAsia" w:ascii="Times New Roman" w:hAnsi="Times New Roman"/>
          <w:color w:val="000000" w:themeColor="text1"/>
          <w:sz w:val="24"/>
          <w:szCs w:val="24"/>
          <w:highlight w:val="none"/>
          <w:lang w:val="en-US" w:eastAsia="zh-CN"/>
          <w14:textFill>
            <w14:solidFill>
              <w14:schemeClr w14:val="tx1"/>
            </w14:solidFill>
          </w14:textFill>
        </w:rPr>
        <w:t>6</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olor w:val="000000" w:themeColor="text1"/>
          <w:sz w:val="24"/>
          <w:szCs w:val="24"/>
          <w:highlight w:val="none"/>
          <w:lang w:eastAsia="zh-CN"/>
          <w14:textFill>
            <w14:solidFill>
              <w14:schemeClr w14:val="tx1"/>
            </w14:solidFill>
          </w14:textFill>
        </w:rPr>
        <w:t>小容积医用冷藏冷冻箱</w:t>
      </w:r>
    </w:p>
    <w:p w14:paraId="40594357">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、样式：立式，双门</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1B93CDD">
      <w:pPr>
        <w:pStyle w:val="32"/>
        <w:keepNext w:val="0"/>
        <w:keepLines w:val="0"/>
        <w:pageBreakBefore w:val="0"/>
        <w:kinsoku/>
        <w:wordWrap/>
        <w:overflowPunct/>
        <w:topLinePunct w:val="0"/>
        <w:bidi w:val="0"/>
        <w:spacing w:line="360" w:lineRule="auto"/>
        <w:ind w:left="480" w:hanging="482" w:hangingChars="200"/>
        <w:textAlignment w:val="auto"/>
        <w:rPr>
          <w:rFonts w:ascii="宋体" w:hAnsi="宋体" w:eastAsia="宋体" w:cs="宋体"/>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、有效容积</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b/>
          <w:bCs/>
          <w:color w:val="000000" w:themeColor="text1"/>
          <w:sz w:val="24"/>
          <w:szCs w:val="24"/>
          <w:highlight w:val="none"/>
          <w14:textFill>
            <w14:solidFill>
              <w14:schemeClr w14:val="tx1"/>
            </w14:solidFill>
          </w14:textFill>
        </w:rPr>
        <w:t>L</w:t>
      </w:r>
      <w:r>
        <w:rPr>
          <w:rFonts w:hint="eastAsia" w:ascii="宋体" w:eastAsia="宋体" w:cs="宋体"/>
          <w:b/>
          <w:bCs/>
          <w:color w:val="000000" w:themeColor="text1"/>
          <w:sz w:val="24"/>
          <w:szCs w:val="24"/>
          <w:highlight w:val="none"/>
          <w:lang w:eastAsia="zh-CN"/>
          <w14:textFill>
            <w14:solidFill>
              <w14:schemeClr w14:val="tx1"/>
            </w14:solidFill>
          </w14:textFill>
        </w:rPr>
        <w:t>。</w:t>
      </w:r>
    </w:p>
    <w:p w14:paraId="4575D0A6">
      <w:pPr>
        <w:pStyle w:val="32"/>
        <w:keepNext w:val="0"/>
        <w:keepLines w:val="0"/>
        <w:pageBreakBefore w:val="0"/>
        <w:kinsoku/>
        <w:wordWrap/>
        <w:overflowPunct/>
        <w:topLinePunct w:val="0"/>
        <w:bidi w:val="0"/>
        <w:spacing w:line="360" w:lineRule="auto"/>
        <w:ind w:left="480" w:hanging="482" w:hangingChars="200"/>
        <w:textAlignment w:val="auto"/>
        <w:rPr>
          <w:rFonts w:hint="eastAsia" w:ascii="宋体" w:eastAsia="宋体" w:cs="宋体"/>
          <w:b/>
          <w:bCs/>
          <w:color w:val="000000" w:themeColor="text1"/>
          <w:sz w:val="24"/>
          <w:szCs w:val="24"/>
          <w:highlight w:val="none"/>
          <w:lang w:eastAsia="zh-CN"/>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eastAsia="宋体" w:cs="宋体"/>
          <w:b/>
          <w:bCs/>
          <w:color w:val="000000" w:themeColor="text1"/>
          <w:sz w:val="24"/>
          <w:szCs w:val="24"/>
          <w:highlight w:val="none"/>
          <w14:textFill>
            <w14:solidFill>
              <w14:schemeClr w14:val="tx1"/>
            </w14:solidFill>
          </w14:textFill>
        </w:rPr>
        <w:t>、冷藏温度2</w:t>
      </w:r>
      <w:r>
        <w:rPr>
          <w:rFonts w:ascii="宋体" w:eastAsia="宋体" w:cs="宋体"/>
          <w:b/>
          <w:bCs/>
          <w:color w:val="000000" w:themeColor="text1"/>
          <w:sz w:val="24"/>
          <w:szCs w:val="24"/>
          <w:highlight w:val="none"/>
          <w14:textFill>
            <w14:solidFill>
              <w14:schemeClr w14:val="tx1"/>
            </w14:solidFill>
          </w14:textFill>
        </w:rPr>
        <w:t>℃</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ascii="宋体" w:eastAsia="宋体" w:cs="宋体"/>
          <w:b/>
          <w:bCs/>
          <w:color w:val="000000" w:themeColor="text1"/>
          <w:sz w:val="24"/>
          <w:szCs w:val="24"/>
          <w:highlight w:val="none"/>
          <w14:textFill>
            <w14:solidFill>
              <w14:schemeClr w14:val="tx1"/>
            </w14:solidFill>
          </w14:textFill>
        </w:rPr>
        <w:t>8℃，冷冻温度</w:t>
      </w:r>
      <w:r>
        <w:rPr>
          <w:rFonts w:hint="eastAsia" w:ascii="宋体" w:eastAsia="宋体" w:cs="宋体"/>
          <w:b/>
          <w:bCs/>
          <w:color w:val="000000" w:themeColor="text1"/>
          <w:sz w:val="24"/>
          <w:szCs w:val="24"/>
          <w:highlight w:val="none"/>
          <w:lang w:val="en-US" w:eastAsia="zh-CN"/>
          <w14:textFill>
            <w14:solidFill>
              <w14:schemeClr w14:val="tx1"/>
            </w14:solidFill>
          </w14:textFill>
        </w:rPr>
        <w:t>至少为</w:t>
      </w:r>
      <w:r>
        <w:rPr>
          <w:rFonts w:hint="eastAsia" w:ascii="宋体" w:eastAsia="宋体" w:cs="宋体"/>
          <w:b/>
          <w:bCs/>
          <w:color w:val="000000" w:themeColor="text1"/>
          <w:sz w:val="24"/>
          <w:szCs w:val="24"/>
          <w:highlight w:val="none"/>
          <w14:textFill>
            <w14:solidFill>
              <w14:schemeClr w14:val="tx1"/>
            </w14:solidFill>
          </w14:textFill>
        </w:rPr>
        <w:t>-</w:t>
      </w:r>
      <w:r>
        <w:rPr>
          <w:rFonts w:ascii="宋体" w:eastAsia="宋体" w:cs="宋体"/>
          <w:b/>
          <w:bCs/>
          <w:color w:val="000000" w:themeColor="text1"/>
          <w:sz w:val="24"/>
          <w:szCs w:val="24"/>
          <w:highlight w:val="none"/>
          <w14:textFill>
            <w14:solidFill>
              <w14:schemeClr w14:val="tx1"/>
            </w14:solidFill>
          </w14:textFill>
        </w:rPr>
        <w:t>10℃</w:t>
      </w:r>
      <w:r>
        <w:rPr>
          <w:rFonts w:hint="eastAsia" w:ascii="Times New Roman" w:hAnsi="Times New Roman" w:eastAsia="宋体" w:cs="宋体"/>
          <w:b/>
          <w:bCs/>
          <w:color w:val="000000" w:themeColor="text1"/>
          <w:sz w:val="24"/>
          <w:highlight w:val="none"/>
          <w14:textFill>
            <w14:solidFill>
              <w14:schemeClr w14:val="tx1"/>
            </w14:solidFill>
          </w14:textFill>
        </w:rPr>
        <w:t>～</w:t>
      </w:r>
      <w:r>
        <w:rPr>
          <w:rFonts w:ascii="宋体" w:eastAsia="宋体" w:cs="宋体"/>
          <w:b/>
          <w:bCs/>
          <w:color w:val="000000" w:themeColor="text1"/>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25</w:t>
      </w:r>
      <w:r>
        <w:rPr>
          <w:rFonts w:ascii="宋体" w:eastAsia="宋体" w:cs="宋体"/>
          <w:b/>
          <w:bCs/>
          <w:color w:val="000000" w:themeColor="text1"/>
          <w:sz w:val="24"/>
          <w:szCs w:val="24"/>
          <w:highlight w:val="none"/>
          <w14:textFill>
            <w14:solidFill>
              <w14:schemeClr w14:val="tx1"/>
            </w14:solidFill>
          </w14:textFill>
        </w:rPr>
        <w:t>℃（可调）</w:t>
      </w:r>
      <w:r>
        <w:rPr>
          <w:rFonts w:hint="eastAsia" w:ascii="宋体" w:eastAsia="宋体" w:cs="宋体"/>
          <w:b/>
          <w:bCs/>
          <w:color w:val="000000" w:themeColor="text1"/>
          <w:sz w:val="24"/>
          <w:szCs w:val="24"/>
          <w:highlight w:val="none"/>
          <w:lang w:eastAsia="zh-CN"/>
          <w14:textFill>
            <w14:solidFill>
              <w14:schemeClr w14:val="tx1"/>
            </w14:solidFill>
          </w14:textFill>
        </w:rPr>
        <w:t>。</w:t>
      </w:r>
    </w:p>
    <w:p w14:paraId="4C0D0377">
      <w:pPr>
        <w:pStyle w:val="32"/>
        <w:keepNext w:val="0"/>
        <w:keepLines w:val="0"/>
        <w:pageBreakBefore w:val="0"/>
        <w:kinsoku/>
        <w:wordWrap/>
        <w:overflowPunct/>
        <w:topLinePunct w:val="0"/>
        <w:bidi w:val="0"/>
        <w:spacing w:line="360" w:lineRule="auto"/>
        <w:ind w:left="480" w:hanging="480" w:hangingChars="200"/>
        <w:textAlignment w:val="auto"/>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4、</w:t>
      </w:r>
      <w:r>
        <w:rPr>
          <w:rFonts w:hint="eastAsia" w:ascii="宋体" w:eastAsia="宋体" w:cs="宋体"/>
          <w:color w:val="000000" w:themeColor="text1"/>
          <w:sz w:val="24"/>
          <w:szCs w:val="24"/>
          <w:highlight w:val="none"/>
          <w14:textFill>
            <w14:solidFill>
              <w14:schemeClr w14:val="tx1"/>
            </w14:solidFill>
          </w14:textFill>
        </w:rPr>
        <w:t>外部尺寸：</w:t>
      </w:r>
      <w:r>
        <w:rPr>
          <w:rFonts w:hint="eastAsia" w:ascii="宋体" w:eastAsia="宋体" w:cs="宋体"/>
          <w:color w:val="000000" w:themeColor="text1"/>
          <w:sz w:val="24"/>
          <w:szCs w:val="24"/>
          <w:highlight w:val="none"/>
          <w:lang w:eastAsia="zh-CN"/>
          <w14:textFill>
            <w14:solidFill>
              <w14:schemeClr w14:val="tx1"/>
            </w14:solidFill>
          </w14:textFill>
        </w:rPr>
        <w:t>宽</w:t>
      </w:r>
      <w:r>
        <w:rPr>
          <w:rFonts w:hint="eastAsia" w:ascii="宋体" w:eastAsia="宋体" w:cs="宋体"/>
          <w:color w:val="000000" w:themeColor="text1"/>
          <w:sz w:val="24"/>
          <w:szCs w:val="24"/>
          <w:highlight w:val="none"/>
          <w:lang w:val="en-US" w:eastAsia="zh-CN"/>
          <w14:textFill>
            <w14:solidFill>
              <w14:schemeClr w14:val="tx1"/>
            </w14:solidFill>
          </w14:textFill>
        </w:rPr>
        <w:t>≤700mm，</w:t>
      </w:r>
      <w:r>
        <w:rPr>
          <w:rFonts w:hint="eastAsia" w:ascii="宋体" w:eastAsia="宋体" w:cs="宋体"/>
          <w:color w:val="000000" w:themeColor="text1"/>
          <w:sz w:val="24"/>
          <w:szCs w:val="24"/>
          <w:highlight w:val="none"/>
          <w:lang w:eastAsia="zh-CN"/>
          <w14:textFill>
            <w14:solidFill>
              <w14:schemeClr w14:val="tx1"/>
            </w14:solidFill>
          </w14:textFill>
        </w:rPr>
        <w:t>深</w:t>
      </w:r>
      <w:r>
        <w:rPr>
          <w:rFonts w:hint="eastAsia" w:ascii="宋体" w:eastAsia="宋体" w:cs="宋体"/>
          <w:color w:val="000000" w:themeColor="text1"/>
          <w:sz w:val="24"/>
          <w:szCs w:val="24"/>
          <w:highlight w:val="none"/>
          <w:lang w:val="en-US" w:eastAsia="zh-CN"/>
          <w14:textFill>
            <w14:solidFill>
              <w14:schemeClr w14:val="tx1"/>
            </w14:solidFill>
          </w14:textFill>
        </w:rPr>
        <w:t>≤700mm，</w:t>
      </w:r>
      <w:r>
        <w:rPr>
          <w:rFonts w:hint="eastAsia" w:ascii="宋体" w:eastAsia="宋体" w:cs="宋体"/>
          <w:color w:val="000000" w:themeColor="text1"/>
          <w:sz w:val="24"/>
          <w:szCs w:val="24"/>
          <w:highlight w:val="none"/>
          <w:lang w:eastAsia="zh-CN"/>
          <w14:textFill>
            <w14:solidFill>
              <w14:schemeClr w14:val="tx1"/>
            </w14:solidFill>
          </w14:textFill>
        </w:rPr>
        <w:t>高</w:t>
      </w:r>
      <w:r>
        <w:rPr>
          <w:rFonts w:hint="eastAsia" w:ascii="宋体" w:eastAsia="宋体" w:cs="宋体"/>
          <w:color w:val="000000" w:themeColor="text1"/>
          <w:sz w:val="24"/>
          <w:szCs w:val="24"/>
          <w:highlight w:val="none"/>
          <w:lang w:val="en-US" w:eastAsia="zh-CN"/>
          <w14:textFill>
            <w14:solidFill>
              <w14:schemeClr w14:val="tx1"/>
            </w14:solidFill>
          </w14:textFill>
        </w:rPr>
        <w:t>≤1950mm。</w:t>
      </w:r>
    </w:p>
    <w:p w14:paraId="05096452">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5</w:t>
      </w:r>
      <w:r>
        <w:rPr>
          <w:rFonts w:hint="eastAsia" w:ascii="宋体" w:eastAsia="宋体" w:cs="宋体"/>
          <w:color w:val="000000" w:themeColor="text1"/>
          <w:sz w:val="24"/>
          <w:szCs w:val="24"/>
          <w:highlight w:val="none"/>
          <w:lang w:eastAsia="zh-CN"/>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微电脑控制</w:t>
      </w:r>
      <w:r>
        <w:rPr>
          <w:rFonts w:ascii="宋体" w:eastAsia="宋体" w:cs="宋体"/>
          <w:color w:val="000000" w:themeColor="text1"/>
          <w:sz w:val="24"/>
          <w:szCs w:val="24"/>
          <w:highlight w:val="none"/>
          <w14:textFill>
            <w14:solidFill>
              <w14:schemeClr w14:val="tx1"/>
            </w14:solidFill>
          </w14:textFill>
        </w:rPr>
        <w:t>，冷藏</w:t>
      </w:r>
      <w:r>
        <w:rPr>
          <w:rFonts w:hint="eastAsia" w:ascii="宋体" w:eastAsia="宋体" w:cs="宋体"/>
          <w:color w:val="000000" w:themeColor="text1"/>
          <w:sz w:val="24"/>
          <w:szCs w:val="24"/>
          <w:highlight w:val="none"/>
          <w:lang w:eastAsia="zh-CN"/>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冷冻</w:t>
      </w:r>
      <w:r>
        <w:rPr>
          <w:rFonts w:hint="eastAsia" w:ascii="宋体" w:eastAsia="宋体" w:cs="宋体"/>
          <w:color w:val="000000" w:themeColor="text1"/>
          <w:sz w:val="24"/>
          <w:szCs w:val="24"/>
          <w:highlight w:val="none"/>
          <w:lang w:val="en-US" w:eastAsia="zh-CN"/>
          <w14:textFill>
            <w14:solidFill>
              <w14:schemeClr w14:val="tx1"/>
            </w14:solidFill>
          </w14:textFill>
        </w:rPr>
        <w:t>控温精度</w:t>
      </w:r>
      <w:r>
        <w:rPr>
          <w:rFonts w:hint="eastAsia" w:ascii="宋体" w:eastAsia="宋体" w:cs="宋体"/>
          <w:color w:val="000000" w:themeColor="text1"/>
          <w:sz w:val="24"/>
          <w:szCs w:val="24"/>
          <w:highlight w:val="none"/>
          <w14:textFill>
            <w14:solidFill>
              <w14:schemeClr w14:val="tx1"/>
            </w14:solidFill>
          </w14:textFill>
        </w:rPr>
        <w:t>0</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eastAsia="zh-CN"/>
          <w14:textFill>
            <w14:solidFill>
              <w14:schemeClr w14:val="tx1"/>
            </w14:solidFill>
          </w14:textFill>
        </w:rPr>
        <w:t>。</w:t>
      </w:r>
    </w:p>
    <w:p w14:paraId="6EB7667B">
      <w:pPr>
        <w:pStyle w:val="32"/>
        <w:keepNext w:val="0"/>
        <w:keepLines w:val="0"/>
        <w:pageBreakBefore w:val="0"/>
        <w:kinsoku/>
        <w:wordWrap/>
        <w:overflowPunct/>
        <w:topLinePunct w:val="0"/>
        <w:bidi w:val="0"/>
        <w:spacing w:line="360" w:lineRule="auto"/>
        <w:ind w:left="480" w:hanging="480" w:hangingChars="200"/>
        <w:textAlignment w:val="auto"/>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6</w:t>
      </w:r>
      <w:r>
        <w:rPr>
          <w:rFonts w:hint="eastAsia" w:ascii="宋体" w:eastAsia="宋体" w:cs="宋体"/>
          <w:color w:val="000000" w:themeColor="text1"/>
          <w:sz w:val="24"/>
          <w:szCs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上下门配备独立锁扣</w:t>
      </w:r>
      <w:r>
        <w:rPr>
          <w:rFonts w:hint="eastAsia" w:ascii="宋体" w:eastAsia="宋体" w:cs="宋体"/>
          <w:color w:val="000000" w:themeColor="text1"/>
          <w:sz w:val="24"/>
          <w:szCs w:val="24"/>
          <w:highlight w:val="none"/>
          <w:lang w:eastAsia="zh-CN"/>
          <w14:textFill>
            <w14:solidFill>
              <w14:schemeClr w14:val="tx1"/>
            </w14:solidFill>
          </w14:textFill>
        </w:rPr>
        <w:t>。</w:t>
      </w:r>
    </w:p>
    <w:p w14:paraId="47F9983E">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7</w:t>
      </w: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具备</w:t>
      </w:r>
      <w:r>
        <w:rPr>
          <w:rFonts w:ascii="宋体" w:eastAsia="宋体" w:cs="宋体"/>
          <w:color w:val="000000" w:themeColor="text1"/>
          <w:sz w:val="24"/>
          <w:szCs w:val="24"/>
          <w:highlight w:val="none"/>
          <w14:textFill>
            <w14:solidFill>
              <w14:schemeClr w14:val="tx1"/>
            </w14:solidFill>
          </w14:textFill>
        </w:rPr>
        <w:t>报警功能：</w:t>
      </w:r>
      <w:r>
        <w:rPr>
          <w:rFonts w:hint="eastAsia" w:ascii="宋体" w:eastAsia="宋体" w:cs="宋体"/>
          <w:color w:val="000000" w:themeColor="text1"/>
          <w:sz w:val="24"/>
          <w:szCs w:val="24"/>
          <w:highlight w:val="none"/>
          <w14:textFill>
            <w14:solidFill>
              <w14:schemeClr w14:val="tx1"/>
            </w14:solidFill>
          </w14:textFill>
        </w:rPr>
        <w:t>高低温报警、开门报警、断电报警、环温报警、电池电量低报警、通讯故障报警、传感器故障报警</w:t>
      </w:r>
      <w:r>
        <w:rPr>
          <w:rFonts w:hint="eastAsia" w:ascii="宋体" w:eastAsia="宋体" w:cs="宋体"/>
          <w:color w:val="000000" w:themeColor="text1"/>
          <w:sz w:val="24"/>
          <w:szCs w:val="24"/>
          <w:highlight w:val="none"/>
          <w:lang w:val="en-US" w:eastAsia="zh-CN"/>
          <w14:textFill>
            <w14:solidFill>
              <w14:schemeClr w14:val="tx1"/>
            </w14:solidFill>
          </w14:textFill>
        </w:rPr>
        <w:t>等。</w:t>
      </w:r>
    </w:p>
    <w:p w14:paraId="3554125D">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8</w:t>
      </w:r>
      <w:r>
        <w:rPr>
          <w:rFonts w:hint="eastAsia" w:ascii="宋体" w:eastAsia="宋体" w:cs="宋体"/>
          <w:color w:val="000000" w:themeColor="text1"/>
          <w:sz w:val="24"/>
          <w:szCs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两种报警方式：声音蜂鸣器报警</w:t>
      </w:r>
      <w:r>
        <w:rPr>
          <w:rFonts w:hint="eastAsia" w:ascii="宋体" w:eastAsia="宋体" w:cs="宋体"/>
          <w:color w:val="000000" w:themeColor="text1"/>
          <w:sz w:val="24"/>
          <w:szCs w:val="24"/>
          <w:highlight w:val="none"/>
          <w:lang w:val="en-US" w:eastAsia="zh-CN"/>
          <w14:textFill>
            <w14:solidFill>
              <w14:schemeClr w14:val="tx1"/>
            </w14:solidFill>
          </w14:textFill>
        </w:rPr>
        <w:t>和</w:t>
      </w:r>
      <w:r>
        <w:rPr>
          <w:rFonts w:ascii="宋体" w:eastAsia="宋体" w:cs="宋体"/>
          <w:color w:val="000000" w:themeColor="text1"/>
          <w:sz w:val="24"/>
          <w:szCs w:val="24"/>
          <w:highlight w:val="none"/>
          <w14:textFill>
            <w14:solidFill>
              <w14:schemeClr w14:val="tx1"/>
            </w14:solidFill>
          </w14:textFill>
        </w:rPr>
        <w:t>闪烁报警</w:t>
      </w:r>
      <w:r>
        <w:rPr>
          <w:rFonts w:hint="eastAsia" w:ascii="宋体" w:eastAsia="宋体" w:cs="宋体"/>
          <w:color w:val="000000" w:themeColor="text1"/>
          <w:sz w:val="24"/>
          <w:szCs w:val="24"/>
          <w:highlight w:val="none"/>
          <w:lang w:eastAsia="zh-CN"/>
          <w14:textFill>
            <w14:solidFill>
              <w14:schemeClr w14:val="tx1"/>
            </w14:solidFill>
          </w14:textFill>
        </w:rPr>
        <w:t>。</w:t>
      </w:r>
    </w:p>
    <w:p w14:paraId="48D2E90F">
      <w:pPr>
        <w:pStyle w:val="32"/>
        <w:keepNext w:val="0"/>
        <w:keepLines w:val="0"/>
        <w:pageBreakBefore w:val="0"/>
        <w:kinsoku/>
        <w:wordWrap/>
        <w:overflowPunct/>
        <w:topLinePunct w:val="0"/>
        <w:bidi w:val="0"/>
        <w:spacing w:line="360" w:lineRule="auto"/>
        <w:ind w:left="480" w:hanging="482" w:hangingChars="200"/>
        <w:textAlignment w:val="auto"/>
        <w:rPr>
          <w:rFonts w:hint="eastAsia" w:ascii="宋体" w:eastAsia="宋体" w:cs="宋体"/>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9</w:t>
      </w:r>
      <w:r>
        <w:rPr>
          <w:rFonts w:hint="eastAsia" w:ascii="宋体" w:eastAsia="宋体" w:cs="宋体"/>
          <w:b/>
          <w:bCs/>
          <w:color w:val="000000" w:themeColor="text1"/>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制冷系统</w:t>
      </w:r>
      <w:r>
        <w:rPr>
          <w:rFonts w:ascii="宋体" w:eastAsia="宋体" w:cs="宋体"/>
          <w:b/>
          <w:bCs/>
          <w:color w:val="000000" w:themeColor="text1"/>
          <w:sz w:val="24"/>
          <w:szCs w:val="24"/>
          <w:highlight w:val="none"/>
          <w14:textFill>
            <w14:solidFill>
              <w14:schemeClr w14:val="tx1"/>
            </w14:solidFill>
          </w14:textFill>
        </w:rPr>
        <w:t>：双压缩机独立制冷系统，</w:t>
      </w:r>
      <w:r>
        <w:rPr>
          <w:rFonts w:hint="eastAsia" w:ascii="宋体" w:eastAsia="宋体" w:cs="宋体"/>
          <w:b/>
          <w:bCs/>
          <w:color w:val="000000" w:themeColor="text1"/>
          <w:sz w:val="24"/>
          <w:szCs w:val="24"/>
          <w:highlight w:val="none"/>
          <w:lang w:val="en-US" w:eastAsia="zh-CN"/>
          <w14:textFill>
            <w14:solidFill>
              <w14:schemeClr w14:val="tx1"/>
            </w14:solidFill>
          </w14:textFill>
        </w:rPr>
        <w:t>冷藏室和冷冻室独立</w:t>
      </w:r>
      <w:r>
        <w:rPr>
          <w:rFonts w:ascii="宋体" w:eastAsia="宋体" w:cs="宋体"/>
          <w:b/>
          <w:bCs/>
          <w:color w:val="000000" w:themeColor="text1"/>
          <w:sz w:val="24"/>
          <w:szCs w:val="24"/>
          <w:highlight w:val="none"/>
          <w14:textFill>
            <w14:solidFill>
              <w14:schemeClr w14:val="tx1"/>
            </w14:solidFill>
          </w14:textFill>
        </w:rPr>
        <w:t>显示</w:t>
      </w:r>
      <w:r>
        <w:rPr>
          <w:rFonts w:hint="eastAsia" w:ascii="宋体" w:eastAsia="宋体" w:cs="宋体"/>
          <w:b/>
          <w:bCs/>
          <w:color w:val="000000" w:themeColor="text1"/>
          <w:sz w:val="24"/>
          <w:szCs w:val="24"/>
          <w:highlight w:val="none"/>
          <w:lang w:eastAsia="zh-CN"/>
          <w14:textFill>
            <w14:solidFill>
              <w14:schemeClr w14:val="tx1"/>
            </w14:solidFill>
          </w14:textFill>
        </w:rPr>
        <w:t>、</w:t>
      </w:r>
      <w:r>
        <w:rPr>
          <w:rFonts w:ascii="宋体" w:eastAsia="宋体" w:cs="宋体"/>
          <w:b/>
          <w:bCs/>
          <w:color w:val="000000" w:themeColor="text1"/>
          <w:sz w:val="24"/>
          <w:szCs w:val="24"/>
          <w:highlight w:val="none"/>
          <w14:textFill>
            <w14:solidFill>
              <w14:schemeClr w14:val="tx1"/>
            </w14:solidFill>
          </w14:textFill>
        </w:rPr>
        <w:t>独立</w:t>
      </w:r>
      <w:r>
        <w:rPr>
          <w:rFonts w:hint="eastAsia" w:ascii="宋体" w:eastAsia="宋体" w:cs="宋体"/>
          <w:b/>
          <w:bCs/>
          <w:color w:val="000000" w:themeColor="text1"/>
          <w:sz w:val="24"/>
          <w:szCs w:val="24"/>
          <w:highlight w:val="none"/>
          <w:lang w:val="en-US" w:eastAsia="zh-CN"/>
          <w14:textFill>
            <w14:solidFill>
              <w14:schemeClr w14:val="tx1"/>
            </w14:solidFill>
          </w14:textFill>
        </w:rPr>
        <w:t>控制。</w:t>
      </w:r>
    </w:p>
    <w:p w14:paraId="463F4843">
      <w:pPr>
        <w:pStyle w:val="32"/>
        <w:keepNext w:val="0"/>
        <w:keepLines w:val="0"/>
        <w:pageBreakBefore w:val="0"/>
        <w:kinsoku/>
        <w:wordWrap/>
        <w:overflowPunct/>
        <w:topLinePunct w:val="0"/>
        <w:bidi w:val="0"/>
        <w:spacing w:line="360" w:lineRule="auto"/>
        <w:ind w:left="480" w:hanging="480" w:hangingChars="200"/>
        <w:textAlignment w:val="auto"/>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10、双制冷系统独立运行，其中一个故障不影响另一系统正常使用。</w:t>
      </w:r>
    </w:p>
    <w:p w14:paraId="69B5035D">
      <w:pPr>
        <w:pStyle w:val="32"/>
        <w:keepNext w:val="0"/>
        <w:keepLines w:val="0"/>
        <w:pageBreakBefore w:val="0"/>
        <w:kinsoku/>
        <w:wordWrap/>
        <w:overflowPunct/>
        <w:topLinePunct w:val="0"/>
        <w:bidi w:val="0"/>
        <w:spacing w:line="360" w:lineRule="auto"/>
        <w:ind w:left="480" w:hanging="480" w:hangingChars="200"/>
        <w:textAlignment w:val="auto"/>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11</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采用碳氢制冷剂</w:t>
      </w:r>
      <w:r>
        <w:rPr>
          <w:rFonts w:hint="eastAsia" w:ascii="宋体" w:eastAsia="宋体" w:cs="宋体"/>
          <w:color w:val="000000" w:themeColor="text1"/>
          <w:sz w:val="24"/>
          <w:szCs w:val="24"/>
          <w:highlight w:val="none"/>
          <w:lang w:eastAsia="zh-CN"/>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低噪音风机，</w:t>
      </w:r>
      <w:r>
        <w:rPr>
          <w:rFonts w:hint="eastAsia" w:ascii="宋体" w:eastAsia="宋体" w:cs="宋体"/>
          <w:color w:val="000000" w:themeColor="text1"/>
          <w:sz w:val="24"/>
          <w:szCs w:val="24"/>
          <w:highlight w:val="none"/>
          <w:lang w:val="en-US" w:eastAsia="zh-CN"/>
          <w14:textFill>
            <w14:solidFill>
              <w14:schemeClr w14:val="tx1"/>
            </w14:solidFill>
          </w14:textFill>
        </w:rPr>
        <w:t>整机噪音≤45dB</w:t>
      </w:r>
      <w:r>
        <w:rPr>
          <w:rFonts w:hint="eastAsia" w:ascii="宋体" w:eastAsia="宋体" w:cs="宋体"/>
          <w:color w:val="000000" w:themeColor="text1"/>
          <w:sz w:val="24"/>
          <w:szCs w:val="24"/>
          <w:highlight w:val="none"/>
          <w14:textFill>
            <w14:solidFill>
              <w14:schemeClr w14:val="tx1"/>
            </w14:solidFill>
          </w14:textFill>
        </w:rPr>
        <w:t>。</w:t>
      </w:r>
    </w:p>
    <w:p w14:paraId="647326EE">
      <w:pPr>
        <w:pStyle w:val="32"/>
        <w:keepNext w:val="0"/>
        <w:keepLines w:val="0"/>
        <w:pageBreakBefore w:val="0"/>
        <w:numPr>
          <w:ilvl w:val="0"/>
          <w:numId w:val="0"/>
        </w:numPr>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显示屏</w:t>
      </w:r>
      <w:r>
        <w:rPr>
          <w:rFonts w:hint="eastAsia" w:ascii="宋体" w:eastAsia="宋体" w:cs="宋体"/>
          <w:color w:val="000000" w:themeColor="text1"/>
          <w:sz w:val="24"/>
          <w:szCs w:val="24"/>
          <w:highlight w:val="none"/>
          <w14:textFill>
            <w14:solidFill>
              <w14:schemeClr w14:val="tx1"/>
            </w14:solidFill>
          </w14:textFill>
        </w:rPr>
        <w:t>：可同时显示冷藏室温度和冷冻室温度，能设定箱内温度</w:t>
      </w:r>
      <w:r>
        <w:rPr>
          <w:rFonts w:hint="eastAsia" w:ascii="宋体" w:eastAsia="宋体" w:cs="宋体"/>
          <w:color w:val="000000" w:themeColor="text1"/>
          <w:sz w:val="24"/>
          <w:szCs w:val="24"/>
          <w:highlight w:val="none"/>
          <w:lang w:val="en-US" w:eastAsia="zh-CN"/>
          <w14:textFill>
            <w14:solidFill>
              <w14:schemeClr w14:val="tx1"/>
            </w14:solidFill>
          </w14:textFill>
        </w:rPr>
        <w:t>等参数。</w:t>
      </w:r>
    </w:p>
    <w:p w14:paraId="621A449A">
      <w:pPr>
        <w:pStyle w:val="32"/>
        <w:keepNext w:val="0"/>
        <w:keepLines w:val="0"/>
        <w:pageBreakBefore w:val="0"/>
        <w:numPr>
          <w:ilvl w:val="0"/>
          <w:numId w:val="0"/>
        </w:numPr>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标配测试孔2个（冷藏、冷冻室各1个），方便接入温度监控设备。</w:t>
      </w:r>
    </w:p>
    <w:p w14:paraId="07C96047">
      <w:pPr>
        <w:pStyle w:val="32"/>
        <w:keepNext w:val="0"/>
        <w:keepLines w:val="0"/>
        <w:pageBreakBefore w:val="0"/>
        <w:kinsoku/>
        <w:wordWrap/>
        <w:overflowPunct/>
        <w:topLinePunct w:val="0"/>
        <w:bidi w:val="0"/>
        <w:spacing w:line="360" w:lineRule="auto"/>
        <w:ind w:left="480" w:hanging="482" w:hangingChars="200"/>
        <w:textAlignment w:val="auto"/>
        <w:rPr>
          <w:rFonts w:hint="eastAsia" w:ascii="宋体" w:eastAsia="宋体" w:cs="宋体"/>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14:textFill>
            <w14:solidFill>
              <w14:schemeClr w14:val="tx1"/>
            </w14:solidFill>
          </w14:textFill>
        </w:rPr>
        <w:t>1</w:t>
      </w:r>
      <w:r>
        <w:rPr>
          <w:rFonts w:hint="eastAsia" w:ascii="宋体" w:eastAsia="宋体" w:cs="宋体"/>
          <w:b/>
          <w:bCs/>
          <w:color w:val="000000" w:themeColor="text1"/>
          <w:sz w:val="24"/>
          <w:szCs w:val="24"/>
          <w:highlight w:val="none"/>
          <w:lang w:val="en-US" w:eastAsia="zh-CN"/>
          <w14:textFill>
            <w14:solidFill>
              <w14:schemeClr w14:val="tx1"/>
            </w14:solidFill>
          </w14:textFill>
        </w:rPr>
        <w:t>4</w:t>
      </w:r>
      <w:r>
        <w:rPr>
          <w:rFonts w:ascii="宋体" w:eastAsia="宋体" w:cs="宋体"/>
          <w:b/>
          <w:bCs/>
          <w:color w:val="000000" w:themeColor="text1"/>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标</w:t>
      </w:r>
      <w:r>
        <w:rPr>
          <w:rFonts w:ascii="宋体" w:eastAsia="宋体" w:cs="宋体"/>
          <w:b/>
          <w:bCs/>
          <w:color w:val="000000" w:themeColor="text1"/>
          <w:sz w:val="24"/>
          <w:szCs w:val="24"/>
          <w:highlight w:val="none"/>
          <w14:textFill>
            <w14:solidFill>
              <w14:schemeClr w14:val="tx1"/>
            </w14:solidFill>
          </w14:textFill>
        </w:rPr>
        <w:t>配温度记录</w:t>
      </w:r>
      <w:r>
        <w:rPr>
          <w:rFonts w:hint="eastAsia" w:ascii="宋体" w:eastAsia="宋体" w:cs="宋体"/>
          <w:b/>
          <w:bCs/>
          <w:color w:val="000000" w:themeColor="text1"/>
          <w:sz w:val="24"/>
          <w:szCs w:val="24"/>
          <w:highlight w:val="none"/>
          <w:lang w:val="en-US" w:eastAsia="zh-CN"/>
          <w14:textFill>
            <w14:solidFill>
              <w14:schemeClr w14:val="tx1"/>
            </w14:solidFill>
          </w14:textFill>
        </w:rPr>
        <w:t>仪。</w:t>
      </w:r>
    </w:p>
    <w:p w14:paraId="1947B5E0">
      <w:pPr>
        <w:pStyle w:val="32"/>
        <w:keepNext w:val="0"/>
        <w:keepLines w:val="0"/>
        <w:pageBreakBefore w:val="0"/>
        <w:numPr>
          <w:ilvl w:val="0"/>
          <w:numId w:val="0"/>
        </w:numPr>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标配</w:t>
      </w:r>
      <w:r>
        <w:rPr>
          <w:rFonts w:ascii="宋体" w:eastAsia="宋体" w:cs="宋体"/>
          <w:color w:val="000000" w:themeColor="text1"/>
          <w:sz w:val="24"/>
          <w:szCs w:val="24"/>
          <w:highlight w:val="none"/>
          <w14:textFill>
            <w14:solidFill>
              <w14:schemeClr w14:val="tx1"/>
            </w14:solidFill>
          </w14:textFill>
        </w:rPr>
        <w:t>USB数据导出接口</w:t>
      </w:r>
      <w:r>
        <w:rPr>
          <w:rFonts w:hint="eastAsia" w:ascii="宋体" w:eastAsia="宋体" w:cs="宋体"/>
          <w:color w:val="000000" w:themeColor="text1"/>
          <w:sz w:val="24"/>
          <w:szCs w:val="24"/>
          <w:highlight w:val="none"/>
          <w:lang w:eastAsia="zh-CN"/>
          <w14:textFill>
            <w14:solidFill>
              <w14:schemeClr w14:val="tx1"/>
            </w14:solidFill>
          </w14:textFill>
        </w:rPr>
        <w:t>。</w:t>
      </w:r>
    </w:p>
    <w:p w14:paraId="1E2598DB">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val="en-US" w:eastAsia="zh-CN"/>
          <w14:textFill>
            <w14:solidFill>
              <w14:schemeClr w14:val="tx1"/>
            </w14:solidFill>
          </w14:textFill>
        </w:rPr>
        <w:t>6</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标配蓄电池，断电后可为屏幕供电≥</w:t>
      </w:r>
      <w:r>
        <w:rPr>
          <w:rFonts w:hint="eastAsia" w:ascii="宋体" w:eastAsia="宋体" w:cs="宋体"/>
          <w:color w:val="000000" w:themeColor="text1"/>
          <w:sz w:val="24"/>
          <w:szCs w:val="24"/>
          <w:highlight w:val="none"/>
          <w:lang w:val="en-US" w:eastAsia="zh-CN"/>
          <w14:textFill>
            <w14:solidFill>
              <w14:schemeClr w14:val="tx1"/>
            </w14:solidFill>
          </w14:textFill>
        </w:rPr>
        <w:t>24</w:t>
      </w:r>
      <w:r>
        <w:rPr>
          <w:rFonts w:hint="eastAsia" w:ascii="宋体" w:eastAsia="宋体" w:cs="宋体"/>
          <w:color w:val="000000" w:themeColor="text1"/>
          <w:sz w:val="24"/>
          <w:szCs w:val="24"/>
          <w:highlight w:val="none"/>
          <w14:textFill>
            <w14:solidFill>
              <w14:schemeClr w14:val="tx1"/>
            </w14:solidFill>
          </w14:textFill>
        </w:rPr>
        <w:t>小时</w:t>
      </w:r>
      <w:r>
        <w:rPr>
          <w:rFonts w:hint="eastAsia" w:ascii="宋体" w:eastAsia="宋体" w:cs="宋体"/>
          <w:color w:val="000000" w:themeColor="text1"/>
          <w:sz w:val="24"/>
          <w:szCs w:val="24"/>
          <w:highlight w:val="none"/>
          <w:lang w:eastAsia="zh-CN"/>
          <w14:textFill>
            <w14:solidFill>
              <w14:schemeClr w14:val="tx1"/>
            </w14:solidFill>
          </w14:textFill>
        </w:rPr>
        <w:t>。</w:t>
      </w:r>
    </w:p>
    <w:p w14:paraId="4EC2A44A">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17、冷藏室≥3个搁架，冷冻室≥6个抽屉。</w:t>
      </w:r>
    </w:p>
    <w:p w14:paraId="5C3F7DF7">
      <w:pPr>
        <w:pStyle w:val="32"/>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cs="宋体"/>
          <w:color w:val="000000" w:themeColor="text1"/>
          <w:sz w:val="24"/>
          <w:szCs w:val="24"/>
          <w:highlight w:val="none"/>
          <w:lang w:val="en-US" w:eastAsia="zh-CN"/>
          <w14:textFill>
            <w14:solidFill>
              <w14:schemeClr w14:val="tx1"/>
            </w14:solidFill>
          </w14:textFill>
        </w:rPr>
        <w:t>（7）</w:t>
      </w:r>
      <w:r>
        <w:rPr>
          <w:rFonts w:hint="eastAsia" w:ascii="宋体" w:eastAsia="宋体" w:cs="宋体"/>
          <w:color w:val="000000" w:themeColor="text1"/>
          <w:sz w:val="24"/>
          <w:szCs w:val="24"/>
          <w:highlight w:val="none"/>
          <w:lang w:val="en-US" w:eastAsia="zh-CN"/>
          <w14:textFill>
            <w14:solidFill>
              <w14:schemeClr w14:val="tx1"/>
            </w14:solidFill>
          </w14:textFill>
        </w:rPr>
        <w:t>大容积医用冷藏冷冻箱</w:t>
      </w:r>
    </w:p>
    <w:p w14:paraId="31249C7E">
      <w:pPr>
        <w:keepNext w:val="0"/>
        <w:keepLines w:val="0"/>
        <w:pageBreakBefore w:val="0"/>
        <w:kinsoku/>
        <w:wordWrap/>
        <w:overflowPunct/>
        <w:topLinePunct w:val="0"/>
        <w:bidi w:val="0"/>
        <w:spacing w:line="360" w:lineRule="auto"/>
        <w:ind w:left="480" w:hanging="480" w:hanging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样式：立式，双门</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9CD6FD1">
      <w:pPr>
        <w:keepNext w:val="0"/>
        <w:keepLines w:val="0"/>
        <w:pageBreakBefore w:val="0"/>
        <w:kinsoku/>
        <w:wordWrap/>
        <w:overflowPunct/>
        <w:topLinePunct w:val="0"/>
        <w:bidi w:val="0"/>
        <w:spacing w:line="360" w:lineRule="auto"/>
        <w:ind w:left="480" w:hanging="482" w:hangingChars="200"/>
        <w:textAlignment w:val="auto"/>
        <w:rPr>
          <w:rFonts w:ascii="宋体" w:hAnsi="宋体" w:eastAsia="宋体" w:cs="宋体"/>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、有效容积</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b/>
          <w:bCs/>
          <w:color w:val="000000" w:themeColor="text1"/>
          <w:sz w:val="24"/>
          <w:szCs w:val="24"/>
          <w:highlight w:val="none"/>
          <w14:textFill>
            <w14:solidFill>
              <w14:schemeClr w14:val="tx1"/>
            </w14:solidFill>
          </w14:textFill>
        </w:rPr>
        <w:t>L。</w:t>
      </w:r>
    </w:p>
    <w:p w14:paraId="5BBB0637">
      <w:pPr>
        <w:keepNext w:val="0"/>
        <w:keepLines w:val="0"/>
        <w:pageBreakBefore w:val="0"/>
        <w:kinsoku/>
        <w:wordWrap/>
        <w:overflowPunct/>
        <w:topLinePunct w:val="0"/>
        <w:bidi w:val="0"/>
        <w:spacing w:line="360" w:lineRule="auto"/>
        <w:ind w:left="480" w:hanging="480" w:hangingChars="200"/>
        <w:textAlignment w:val="auto"/>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3</w:t>
      </w:r>
      <w:r>
        <w:rPr>
          <w:rFonts w:hint="eastAsia" w:ascii="宋体" w:eastAsia="宋体" w:cs="宋体"/>
          <w:color w:val="000000" w:themeColor="text1"/>
          <w:sz w:val="24"/>
          <w:szCs w:val="24"/>
          <w:highlight w:val="none"/>
          <w14:textFill>
            <w14:solidFill>
              <w14:schemeClr w14:val="tx1"/>
            </w14:solidFill>
          </w14:textFill>
        </w:rPr>
        <w:t>、冷藏温度2</w:t>
      </w:r>
      <w:r>
        <w:rPr>
          <w:rFonts w:ascii="宋体"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8℃，冷冻温度</w:t>
      </w:r>
      <w:r>
        <w:rPr>
          <w:rFonts w:hint="eastAsia" w:ascii="宋体" w:eastAsia="宋体" w:cs="宋体"/>
          <w:color w:val="000000" w:themeColor="text1"/>
          <w:sz w:val="24"/>
          <w:szCs w:val="24"/>
          <w:highlight w:val="none"/>
          <w:lang w:val="en-US" w:eastAsia="zh-CN"/>
          <w14:textFill>
            <w14:solidFill>
              <w14:schemeClr w14:val="tx1"/>
            </w14:solidFill>
          </w14:textFill>
        </w:rPr>
        <w:t>至少</w:t>
      </w:r>
      <w:r>
        <w:rPr>
          <w:rFonts w:hint="eastAsia" w:ascii="宋体" w:eastAsia="宋体" w:cs="宋体"/>
          <w:color w:val="000000" w:themeColor="text1"/>
          <w:sz w:val="24"/>
          <w:szCs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10℃</w:t>
      </w:r>
      <w:r>
        <w:rPr>
          <w:rFonts w:hint="eastAsia" w:ascii="Times New Roman" w:hAnsi="Times New Roman" w:eastAsia="宋体" w:cs="宋体"/>
          <w:color w:val="000000" w:themeColor="text1"/>
          <w:sz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25</w:t>
      </w:r>
      <w:r>
        <w:rPr>
          <w:rFonts w:ascii="宋体" w:eastAsia="宋体" w:cs="宋体"/>
          <w:color w:val="000000" w:themeColor="text1"/>
          <w:sz w:val="24"/>
          <w:szCs w:val="24"/>
          <w:highlight w:val="none"/>
          <w14:textFill>
            <w14:solidFill>
              <w14:schemeClr w14:val="tx1"/>
            </w14:solidFill>
          </w14:textFill>
        </w:rPr>
        <w:t>℃（可调）</w:t>
      </w:r>
    </w:p>
    <w:p w14:paraId="30C4ED44">
      <w:pPr>
        <w:keepNext w:val="0"/>
        <w:keepLines w:val="0"/>
        <w:pageBreakBefore w:val="0"/>
        <w:kinsoku/>
        <w:wordWrap/>
        <w:overflowPunct/>
        <w:topLinePunct w:val="0"/>
        <w:autoSpaceDE w:val="0"/>
        <w:autoSpaceDN w:val="0"/>
        <w:bidi w:val="0"/>
        <w:adjustRightInd w:val="0"/>
        <w:spacing w:line="360" w:lineRule="auto"/>
        <w:ind w:left="480" w:leftChars="0" w:hanging="480" w:hangingChars="200"/>
        <w:textAlignment w:val="auto"/>
        <w:rPr>
          <w:rFonts w:hint="eastAsia" w:ascii="宋体" w:cs="宋体" w:eastAsiaTheme="minorEastAsia"/>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外部尺寸：</w:t>
      </w:r>
      <w:r>
        <w:rPr>
          <w:rFonts w:hint="eastAsia" w:ascii="宋体" w:eastAsia="宋体" w:cs="宋体"/>
          <w:color w:val="000000" w:themeColor="text1"/>
          <w:sz w:val="24"/>
          <w:szCs w:val="24"/>
          <w:highlight w:val="none"/>
          <w:lang w:eastAsia="zh-CN"/>
          <w14:textFill>
            <w14:solidFill>
              <w14:schemeClr w14:val="tx1"/>
            </w14:solidFill>
          </w14:textFill>
        </w:rPr>
        <w:t>宽</w:t>
      </w:r>
      <w:r>
        <w:rPr>
          <w:rFonts w:hint="eastAsia" w:ascii="宋体" w:eastAsia="宋体" w:cs="宋体"/>
          <w:color w:val="000000" w:themeColor="text1"/>
          <w:sz w:val="24"/>
          <w:szCs w:val="24"/>
          <w:highlight w:val="none"/>
          <w:lang w:val="en-US" w:eastAsia="zh-CN"/>
          <w14:textFill>
            <w14:solidFill>
              <w14:schemeClr w14:val="tx1"/>
            </w14:solidFill>
          </w14:textFill>
        </w:rPr>
        <w:t>≤910mm，</w:t>
      </w:r>
      <w:r>
        <w:rPr>
          <w:rFonts w:hint="eastAsia" w:ascii="宋体" w:eastAsia="宋体" w:cs="宋体"/>
          <w:color w:val="000000" w:themeColor="text1"/>
          <w:sz w:val="24"/>
          <w:szCs w:val="24"/>
          <w:highlight w:val="none"/>
          <w:lang w:eastAsia="zh-CN"/>
          <w14:textFill>
            <w14:solidFill>
              <w14:schemeClr w14:val="tx1"/>
            </w14:solidFill>
          </w14:textFill>
        </w:rPr>
        <w:t>深</w:t>
      </w:r>
      <w:r>
        <w:rPr>
          <w:rFonts w:hint="eastAsia" w:ascii="宋体" w:eastAsia="宋体" w:cs="宋体"/>
          <w:color w:val="000000" w:themeColor="text1"/>
          <w:sz w:val="24"/>
          <w:szCs w:val="24"/>
          <w:highlight w:val="none"/>
          <w:lang w:val="en-US" w:eastAsia="zh-CN"/>
          <w14:textFill>
            <w14:solidFill>
              <w14:schemeClr w14:val="tx1"/>
            </w14:solidFill>
          </w14:textFill>
        </w:rPr>
        <w:t>≤83</w:t>
      </w:r>
      <w:r>
        <w:rPr>
          <w:rFonts w:hint="eastAsia" w:ascii="宋体" w:eastAsia="宋体" w:cs="宋体"/>
          <w:color w:val="000000" w:themeColor="text1"/>
          <w:sz w:val="24"/>
          <w:szCs w:val="24"/>
          <w:highlight w:val="none"/>
          <w:lang w:eastAsia="zh-CN"/>
          <w14:textFill>
            <w14:solidFill>
              <w14:schemeClr w14:val="tx1"/>
            </w14:solidFill>
          </w14:textFill>
        </w:rPr>
        <w:t>0</w:t>
      </w:r>
      <w:r>
        <w:rPr>
          <w:rFonts w:hint="eastAsia" w:ascii="宋体" w:eastAsia="宋体" w:cs="宋体"/>
          <w:color w:val="000000" w:themeColor="text1"/>
          <w:sz w:val="24"/>
          <w:szCs w:val="24"/>
          <w:highlight w:val="none"/>
          <w:lang w:val="en-US" w:eastAsia="zh-CN"/>
          <w14:textFill>
            <w14:solidFill>
              <w14:schemeClr w14:val="tx1"/>
            </w14:solidFill>
          </w14:textFill>
        </w:rPr>
        <w:t>mm，</w:t>
      </w:r>
      <w:r>
        <w:rPr>
          <w:rFonts w:hint="eastAsia" w:ascii="宋体" w:eastAsia="宋体" w:cs="宋体"/>
          <w:color w:val="000000" w:themeColor="text1"/>
          <w:sz w:val="24"/>
          <w:szCs w:val="24"/>
          <w:highlight w:val="none"/>
          <w:lang w:eastAsia="zh-CN"/>
          <w14:textFill>
            <w14:solidFill>
              <w14:schemeClr w14:val="tx1"/>
            </w14:solidFill>
          </w14:textFill>
        </w:rPr>
        <w:t>高</w:t>
      </w:r>
      <w:r>
        <w:rPr>
          <w:rFonts w:hint="eastAsia" w:ascii="宋体" w:eastAsia="宋体" w:cs="宋体"/>
          <w:color w:val="000000" w:themeColor="text1"/>
          <w:sz w:val="24"/>
          <w:szCs w:val="24"/>
          <w:highlight w:val="none"/>
          <w:lang w:val="en-US" w:eastAsia="zh-CN"/>
          <w14:textFill>
            <w14:solidFill>
              <w14:schemeClr w14:val="tx1"/>
            </w14:solidFill>
          </w14:textFill>
        </w:rPr>
        <w:t>≤1980mm</w:t>
      </w:r>
      <w:r>
        <w:rPr>
          <w:rFonts w:hint="eastAsia"/>
          <w:color w:val="000000" w:themeColor="text1"/>
          <w:highlight w:val="none"/>
          <w:lang w:eastAsia="zh-CN"/>
          <w14:textFill>
            <w14:solidFill>
              <w14:schemeClr w14:val="tx1"/>
            </w14:solidFill>
          </w14:textFill>
        </w:rPr>
        <w:t>。</w:t>
      </w:r>
    </w:p>
    <w:p w14:paraId="01455DAF">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5</w:t>
      </w:r>
      <w:r>
        <w:rPr>
          <w:rFonts w:hint="eastAsia" w:ascii="宋体" w:eastAsia="宋体" w:cs="宋体"/>
          <w:color w:val="000000" w:themeColor="text1"/>
          <w:sz w:val="24"/>
          <w:szCs w:val="24"/>
          <w:highlight w:val="none"/>
          <w14:textFill>
            <w14:solidFill>
              <w14:schemeClr w14:val="tx1"/>
            </w14:solidFill>
          </w14:textFill>
        </w:rPr>
        <w:t>、微电脑控制</w:t>
      </w:r>
      <w:r>
        <w:rPr>
          <w:rFonts w:ascii="宋体" w:eastAsia="宋体" w:cs="宋体"/>
          <w:color w:val="000000" w:themeColor="text1"/>
          <w:sz w:val="24"/>
          <w:szCs w:val="24"/>
          <w:highlight w:val="none"/>
          <w14:textFill>
            <w14:solidFill>
              <w14:schemeClr w14:val="tx1"/>
            </w14:solidFill>
          </w14:textFill>
        </w:rPr>
        <w:t>，冷藏</w:t>
      </w:r>
      <w:r>
        <w:rPr>
          <w:rFonts w:hint="eastAsia" w:ascii="宋体" w:eastAsia="宋体" w:cs="宋体"/>
          <w:color w:val="000000" w:themeColor="text1"/>
          <w:sz w:val="24"/>
          <w:szCs w:val="24"/>
          <w:highlight w:val="none"/>
          <w:lang w:val="en-US" w:eastAsia="zh-CN"/>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冷冻</w:t>
      </w:r>
      <w:r>
        <w:rPr>
          <w:rFonts w:hint="eastAsia" w:ascii="宋体" w:eastAsia="宋体" w:cs="宋体"/>
          <w:color w:val="000000" w:themeColor="text1"/>
          <w:sz w:val="24"/>
          <w:szCs w:val="24"/>
          <w:highlight w:val="none"/>
          <w:lang w:val="en-US" w:eastAsia="zh-CN"/>
          <w14:textFill>
            <w14:solidFill>
              <w14:schemeClr w14:val="tx1"/>
            </w14:solidFill>
          </w14:textFill>
        </w:rPr>
        <w:t>控温精度</w:t>
      </w:r>
      <w:r>
        <w:rPr>
          <w:rFonts w:hint="eastAsia" w:ascii="宋体" w:eastAsia="宋体" w:cs="宋体"/>
          <w:color w:val="000000" w:themeColor="text1"/>
          <w:sz w:val="24"/>
          <w:szCs w:val="24"/>
          <w:highlight w:val="none"/>
          <w14:textFill>
            <w14:solidFill>
              <w14:schemeClr w14:val="tx1"/>
            </w14:solidFill>
          </w14:textFill>
        </w:rPr>
        <w:t>0</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eastAsia="zh-CN"/>
          <w14:textFill>
            <w14:solidFill>
              <w14:schemeClr w14:val="tx1"/>
            </w14:solidFill>
          </w14:textFill>
        </w:rPr>
        <w:t>。</w:t>
      </w:r>
    </w:p>
    <w:p w14:paraId="1CB69E4A">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6</w:t>
      </w:r>
      <w:r>
        <w:rPr>
          <w:rFonts w:hint="eastAsia" w:ascii="宋体" w:eastAsia="宋体" w:cs="宋体"/>
          <w:color w:val="000000" w:themeColor="text1"/>
          <w:sz w:val="24"/>
          <w:szCs w:val="24"/>
          <w:highlight w:val="none"/>
          <w14:textFill>
            <w14:solidFill>
              <w14:schemeClr w14:val="tx1"/>
            </w14:solidFill>
          </w14:textFill>
        </w:rPr>
        <w:t>、</w:t>
      </w:r>
      <w:r>
        <w:rPr>
          <w:rFonts w:ascii="宋体" w:eastAsia="宋体" w:cs="宋体"/>
          <w:color w:val="000000" w:themeColor="text1"/>
          <w:sz w:val="24"/>
          <w:szCs w:val="24"/>
          <w:highlight w:val="none"/>
          <w14:textFill>
            <w14:solidFill>
              <w14:schemeClr w14:val="tx1"/>
            </w14:solidFill>
          </w14:textFill>
        </w:rPr>
        <w:t>上下门配备独立锁扣</w:t>
      </w:r>
      <w:r>
        <w:rPr>
          <w:rFonts w:hint="eastAsia" w:ascii="宋体" w:eastAsia="宋体" w:cs="宋体"/>
          <w:color w:val="000000" w:themeColor="text1"/>
          <w:sz w:val="24"/>
          <w:szCs w:val="24"/>
          <w:highlight w:val="none"/>
          <w:lang w:eastAsia="zh-CN"/>
          <w14:textFill>
            <w14:solidFill>
              <w14:schemeClr w14:val="tx1"/>
            </w14:solidFill>
          </w14:textFill>
        </w:rPr>
        <w:t>。</w:t>
      </w:r>
    </w:p>
    <w:p w14:paraId="5EBF06EE">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7</w:t>
      </w: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具备</w:t>
      </w:r>
      <w:r>
        <w:rPr>
          <w:rFonts w:ascii="宋体" w:eastAsia="宋体" w:cs="宋体"/>
          <w:color w:val="000000" w:themeColor="text1"/>
          <w:sz w:val="24"/>
          <w:szCs w:val="24"/>
          <w:highlight w:val="none"/>
          <w14:textFill>
            <w14:solidFill>
              <w14:schemeClr w14:val="tx1"/>
            </w14:solidFill>
          </w14:textFill>
        </w:rPr>
        <w:t>报警功能：</w:t>
      </w:r>
      <w:r>
        <w:rPr>
          <w:rFonts w:hint="eastAsia" w:ascii="宋体" w:eastAsia="宋体" w:cs="宋体"/>
          <w:color w:val="000000" w:themeColor="text1"/>
          <w:sz w:val="24"/>
          <w:szCs w:val="24"/>
          <w:highlight w:val="none"/>
          <w14:textFill>
            <w14:solidFill>
              <w14:schemeClr w14:val="tx1"/>
            </w14:solidFill>
          </w14:textFill>
        </w:rPr>
        <w:t>高低温报警、开门报警、断电报警、环温报警、电池电量低报警、通讯故障报警、传感器故障报警</w:t>
      </w:r>
      <w:r>
        <w:rPr>
          <w:rFonts w:hint="eastAsia" w:ascii="宋体" w:eastAsia="宋体" w:cs="宋体"/>
          <w:color w:val="000000" w:themeColor="text1"/>
          <w:sz w:val="24"/>
          <w:szCs w:val="24"/>
          <w:highlight w:val="none"/>
          <w:lang w:val="en-US" w:eastAsia="zh-CN"/>
          <w14:textFill>
            <w14:solidFill>
              <w14:schemeClr w14:val="tx1"/>
            </w14:solidFill>
          </w14:textFill>
        </w:rPr>
        <w:t>等。</w:t>
      </w:r>
    </w:p>
    <w:p w14:paraId="17A85DC4">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8、</w:t>
      </w:r>
      <w:r>
        <w:rPr>
          <w:rFonts w:ascii="宋体" w:eastAsia="宋体" w:cs="宋体"/>
          <w:color w:val="000000" w:themeColor="text1"/>
          <w:sz w:val="24"/>
          <w:szCs w:val="24"/>
          <w:highlight w:val="none"/>
          <w14:textFill>
            <w14:solidFill>
              <w14:schemeClr w14:val="tx1"/>
            </w14:solidFill>
          </w14:textFill>
        </w:rPr>
        <w:t>两种报警方式：声音蜂鸣器报警</w:t>
      </w:r>
      <w:r>
        <w:rPr>
          <w:rFonts w:hint="eastAsia" w:ascii="宋体" w:eastAsia="宋体" w:cs="宋体"/>
          <w:color w:val="000000" w:themeColor="text1"/>
          <w:sz w:val="24"/>
          <w:szCs w:val="24"/>
          <w:highlight w:val="none"/>
          <w:lang w:val="en-US" w:eastAsia="zh-CN"/>
          <w14:textFill>
            <w14:solidFill>
              <w14:schemeClr w14:val="tx1"/>
            </w14:solidFill>
          </w14:textFill>
        </w:rPr>
        <w:t>和</w:t>
      </w:r>
      <w:r>
        <w:rPr>
          <w:rFonts w:ascii="宋体" w:eastAsia="宋体" w:cs="宋体"/>
          <w:color w:val="000000" w:themeColor="text1"/>
          <w:sz w:val="24"/>
          <w:szCs w:val="24"/>
          <w:highlight w:val="none"/>
          <w14:textFill>
            <w14:solidFill>
              <w14:schemeClr w14:val="tx1"/>
            </w14:solidFill>
          </w14:textFill>
        </w:rPr>
        <w:t>闪烁报警</w:t>
      </w:r>
      <w:r>
        <w:rPr>
          <w:rFonts w:hint="eastAsia" w:ascii="宋体" w:eastAsia="宋体" w:cs="宋体"/>
          <w:color w:val="000000" w:themeColor="text1"/>
          <w:sz w:val="24"/>
          <w:szCs w:val="24"/>
          <w:highlight w:val="none"/>
          <w:lang w:eastAsia="zh-CN"/>
          <w14:textFill>
            <w14:solidFill>
              <w14:schemeClr w14:val="tx1"/>
            </w14:solidFill>
          </w14:textFill>
        </w:rPr>
        <w:t>。</w:t>
      </w:r>
    </w:p>
    <w:p w14:paraId="285ED532">
      <w:pPr>
        <w:keepNext w:val="0"/>
        <w:keepLines w:val="0"/>
        <w:pageBreakBefore w:val="0"/>
        <w:kinsoku/>
        <w:wordWrap/>
        <w:overflowPunct/>
        <w:topLinePunct w:val="0"/>
        <w:bidi w:val="0"/>
        <w:spacing w:line="360" w:lineRule="auto"/>
        <w:ind w:left="480" w:hanging="482" w:hangingChars="200"/>
        <w:textAlignment w:val="auto"/>
        <w:rPr>
          <w:rFonts w:hint="eastAsia" w:ascii="宋体" w:eastAsia="宋体" w:cs="宋体"/>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14:textFill>
            <w14:solidFill>
              <w14:schemeClr w14:val="tx1"/>
            </w14:solidFill>
          </w14:textFill>
        </w:rPr>
        <w:t>9、</w:t>
      </w:r>
      <w:r>
        <w:rPr>
          <w:rFonts w:hint="eastAsia" w:ascii="宋体" w:eastAsia="宋体" w:cs="宋体"/>
          <w:b/>
          <w:bCs/>
          <w:color w:val="000000" w:themeColor="text1"/>
          <w:sz w:val="24"/>
          <w:szCs w:val="24"/>
          <w:highlight w:val="none"/>
          <w:lang w:val="en-US" w:eastAsia="zh-CN"/>
          <w14:textFill>
            <w14:solidFill>
              <w14:schemeClr w14:val="tx1"/>
            </w14:solidFill>
          </w14:textFill>
        </w:rPr>
        <w:t>制冷系统</w:t>
      </w:r>
      <w:r>
        <w:rPr>
          <w:rFonts w:ascii="宋体" w:eastAsia="宋体" w:cs="宋体"/>
          <w:b/>
          <w:bCs/>
          <w:color w:val="000000" w:themeColor="text1"/>
          <w:sz w:val="24"/>
          <w:szCs w:val="24"/>
          <w:highlight w:val="none"/>
          <w14:textFill>
            <w14:solidFill>
              <w14:schemeClr w14:val="tx1"/>
            </w14:solidFill>
          </w14:textFill>
        </w:rPr>
        <w:t>：双压缩机独立制冷系统，</w:t>
      </w:r>
      <w:r>
        <w:rPr>
          <w:rFonts w:hint="eastAsia" w:ascii="宋体" w:eastAsia="宋体" w:cs="宋体"/>
          <w:b/>
          <w:bCs/>
          <w:color w:val="000000" w:themeColor="text1"/>
          <w:sz w:val="24"/>
          <w:szCs w:val="24"/>
          <w:highlight w:val="none"/>
          <w:lang w:val="en-US" w:eastAsia="zh-CN"/>
          <w14:textFill>
            <w14:solidFill>
              <w14:schemeClr w14:val="tx1"/>
            </w14:solidFill>
          </w14:textFill>
        </w:rPr>
        <w:t>冷藏室和冷冻室独立</w:t>
      </w:r>
      <w:r>
        <w:rPr>
          <w:rFonts w:ascii="宋体" w:eastAsia="宋体" w:cs="宋体"/>
          <w:b/>
          <w:bCs/>
          <w:color w:val="000000" w:themeColor="text1"/>
          <w:sz w:val="24"/>
          <w:szCs w:val="24"/>
          <w:highlight w:val="none"/>
          <w14:textFill>
            <w14:solidFill>
              <w14:schemeClr w14:val="tx1"/>
            </w14:solidFill>
          </w14:textFill>
        </w:rPr>
        <w:t>显示</w:t>
      </w:r>
      <w:r>
        <w:rPr>
          <w:rFonts w:hint="eastAsia" w:ascii="宋体" w:eastAsia="宋体" w:cs="宋体"/>
          <w:b/>
          <w:bCs/>
          <w:color w:val="000000" w:themeColor="text1"/>
          <w:sz w:val="24"/>
          <w:szCs w:val="24"/>
          <w:highlight w:val="none"/>
          <w:lang w:eastAsia="zh-CN"/>
          <w14:textFill>
            <w14:solidFill>
              <w14:schemeClr w14:val="tx1"/>
            </w14:solidFill>
          </w14:textFill>
        </w:rPr>
        <w:t>、</w:t>
      </w:r>
      <w:r>
        <w:rPr>
          <w:rFonts w:ascii="宋体" w:eastAsia="宋体" w:cs="宋体"/>
          <w:b/>
          <w:bCs/>
          <w:color w:val="000000" w:themeColor="text1"/>
          <w:sz w:val="24"/>
          <w:szCs w:val="24"/>
          <w:highlight w:val="none"/>
          <w14:textFill>
            <w14:solidFill>
              <w14:schemeClr w14:val="tx1"/>
            </w14:solidFill>
          </w14:textFill>
        </w:rPr>
        <w:t>独立</w:t>
      </w:r>
      <w:r>
        <w:rPr>
          <w:rFonts w:hint="eastAsia" w:ascii="宋体" w:eastAsia="宋体" w:cs="宋体"/>
          <w:b/>
          <w:bCs/>
          <w:color w:val="000000" w:themeColor="text1"/>
          <w:sz w:val="24"/>
          <w:szCs w:val="24"/>
          <w:highlight w:val="none"/>
          <w:lang w:val="en-US" w:eastAsia="zh-CN"/>
          <w14:textFill>
            <w14:solidFill>
              <w14:schemeClr w14:val="tx1"/>
            </w14:solidFill>
          </w14:textFill>
        </w:rPr>
        <w:t>控制。</w:t>
      </w:r>
    </w:p>
    <w:p w14:paraId="5559BD0E">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10、双制冷系统独立运行，其中一个故障不影响另一系统正常使用。</w:t>
      </w:r>
    </w:p>
    <w:p w14:paraId="7FD67EAA">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val="en-US" w:eastAsia="zh-CN"/>
          <w14:textFill>
            <w14:solidFill>
              <w14:schemeClr w14:val="tx1"/>
            </w14:solidFill>
          </w14:textFill>
        </w:rPr>
        <w:t>1</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采用碳氢制冷剂</w:t>
      </w:r>
      <w:r>
        <w:rPr>
          <w:rFonts w:hint="eastAsia" w:ascii="宋体" w:eastAsia="宋体" w:cs="宋体"/>
          <w:color w:val="000000" w:themeColor="text1"/>
          <w:sz w:val="24"/>
          <w:szCs w:val="24"/>
          <w:highlight w:val="none"/>
          <w:lang w:eastAsia="zh-CN"/>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低噪音风机，</w:t>
      </w:r>
      <w:r>
        <w:rPr>
          <w:rFonts w:hint="eastAsia" w:ascii="宋体" w:eastAsia="宋体" w:cs="宋体"/>
          <w:color w:val="000000" w:themeColor="text1"/>
          <w:sz w:val="24"/>
          <w:szCs w:val="24"/>
          <w:highlight w:val="none"/>
          <w:lang w:val="en-US" w:eastAsia="zh-CN"/>
          <w14:textFill>
            <w14:solidFill>
              <w14:schemeClr w14:val="tx1"/>
            </w14:solidFill>
          </w14:textFill>
        </w:rPr>
        <w:t>整机噪音≤50dB</w:t>
      </w:r>
      <w:r>
        <w:rPr>
          <w:rFonts w:hint="eastAsia" w:ascii="宋体" w:eastAsia="宋体" w:cs="宋体"/>
          <w:color w:val="000000" w:themeColor="text1"/>
          <w:sz w:val="24"/>
          <w:szCs w:val="24"/>
          <w:highlight w:val="none"/>
          <w14:textFill>
            <w14:solidFill>
              <w14:schemeClr w14:val="tx1"/>
            </w14:solidFill>
          </w14:textFill>
        </w:rPr>
        <w:t>。</w:t>
      </w:r>
    </w:p>
    <w:p w14:paraId="5D7EBDA9">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12、</w:t>
      </w:r>
      <w:r>
        <w:rPr>
          <w:rFonts w:hint="eastAsia" w:ascii="宋体" w:eastAsia="宋体" w:cs="宋体"/>
          <w:color w:val="000000" w:themeColor="text1"/>
          <w:sz w:val="24"/>
          <w:szCs w:val="24"/>
          <w:highlight w:val="none"/>
          <w:lang w:val="en-US" w:eastAsia="zh-CN"/>
          <w14:textFill>
            <w14:solidFill>
              <w14:schemeClr w14:val="tx1"/>
            </w14:solidFill>
          </w14:textFill>
        </w:rPr>
        <w:t>显示</w:t>
      </w:r>
      <w:r>
        <w:rPr>
          <w:rFonts w:hint="eastAsia" w:ascii="宋体" w:eastAsia="宋体" w:cs="宋体"/>
          <w:color w:val="000000" w:themeColor="text1"/>
          <w:sz w:val="24"/>
          <w:szCs w:val="24"/>
          <w:highlight w:val="none"/>
          <w14:textFill>
            <w14:solidFill>
              <w14:schemeClr w14:val="tx1"/>
            </w14:solidFill>
          </w14:textFill>
        </w:rPr>
        <w:t>屏功能：可同时显示冷藏室温度和冷冻室温度，能设定箱内温度</w:t>
      </w:r>
      <w:r>
        <w:rPr>
          <w:rFonts w:hint="eastAsia" w:ascii="宋体" w:eastAsia="宋体" w:cs="宋体"/>
          <w:color w:val="000000" w:themeColor="text1"/>
          <w:sz w:val="24"/>
          <w:szCs w:val="24"/>
          <w:highlight w:val="none"/>
          <w:lang w:val="en-US" w:eastAsia="zh-CN"/>
          <w14:textFill>
            <w14:solidFill>
              <w14:schemeClr w14:val="tx1"/>
            </w14:solidFill>
          </w14:textFill>
        </w:rPr>
        <w:t>等参数。</w:t>
      </w:r>
    </w:p>
    <w:p w14:paraId="701CDAF3">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标配测试孔2个（冷藏、冷冻室各1个），方便接入温度监控设备。</w:t>
      </w:r>
    </w:p>
    <w:p w14:paraId="1E1AB6DC">
      <w:pPr>
        <w:keepNext w:val="0"/>
        <w:keepLines w:val="0"/>
        <w:pageBreakBefore w:val="0"/>
        <w:kinsoku/>
        <w:wordWrap/>
        <w:overflowPunct/>
        <w:topLinePunct w:val="0"/>
        <w:bidi w:val="0"/>
        <w:spacing w:line="360" w:lineRule="auto"/>
        <w:ind w:left="480" w:hanging="482" w:hangingChars="200"/>
        <w:textAlignment w:val="auto"/>
        <w:rPr>
          <w:rFonts w:hint="default" w:ascii="宋体" w:eastAsia="宋体" w:cs="宋体"/>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14:textFill>
            <w14:solidFill>
              <w14:schemeClr w14:val="tx1"/>
            </w14:solidFill>
          </w14:textFill>
        </w:rPr>
        <w:t>1</w:t>
      </w:r>
      <w:r>
        <w:rPr>
          <w:rFonts w:hint="eastAsia" w:ascii="宋体" w:eastAsia="宋体" w:cs="宋体"/>
          <w:b/>
          <w:bCs/>
          <w:color w:val="000000" w:themeColor="text1"/>
          <w:sz w:val="24"/>
          <w:szCs w:val="24"/>
          <w:highlight w:val="none"/>
          <w:lang w:val="en-US" w:eastAsia="zh-CN"/>
          <w14:textFill>
            <w14:solidFill>
              <w14:schemeClr w14:val="tx1"/>
            </w14:solidFill>
          </w14:textFill>
        </w:rPr>
        <w:t>4</w:t>
      </w:r>
      <w:r>
        <w:rPr>
          <w:rFonts w:ascii="宋体" w:eastAsia="宋体" w:cs="宋体"/>
          <w:b/>
          <w:bCs/>
          <w:color w:val="000000" w:themeColor="text1"/>
          <w:sz w:val="24"/>
          <w:szCs w:val="24"/>
          <w:highlight w:val="none"/>
          <w14:textFill>
            <w14:solidFill>
              <w14:schemeClr w14:val="tx1"/>
            </w14:solidFill>
          </w14:textFill>
        </w:rPr>
        <w:t>、</w:t>
      </w:r>
      <w:r>
        <w:rPr>
          <w:rFonts w:hint="eastAsia" w:ascii="宋体" w:eastAsia="宋体" w:cs="宋体"/>
          <w:b/>
          <w:bCs/>
          <w:color w:val="000000" w:themeColor="text1"/>
          <w:sz w:val="24"/>
          <w:szCs w:val="24"/>
          <w:highlight w:val="none"/>
          <w:lang w:val="en-US" w:eastAsia="zh-CN"/>
          <w14:textFill>
            <w14:solidFill>
              <w14:schemeClr w14:val="tx1"/>
            </w14:solidFill>
          </w14:textFill>
        </w:rPr>
        <w:t>标</w:t>
      </w:r>
      <w:r>
        <w:rPr>
          <w:rFonts w:ascii="宋体" w:eastAsia="宋体" w:cs="宋体"/>
          <w:b/>
          <w:bCs/>
          <w:color w:val="000000" w:themeColor="text1"/>
          <w:sz w:val="24"/>
          <w:szCs w:val="24"/>
          <w:highlight w:val="none"/>
          <w14:textFill>
            <w14:solidFill>
              <w14:schemeClr w14:val="tx1"/>
            </w14:solidFill>
          </w14:textFill>
        </w:rPr>
        <w:t>配温度记录</w:t>
      </w:r>
      <w:r>
        <w:rPr>
          <w:rFonts w:hint="eastAsia" w:ascii="宋体" w:eastAsia="宋体" w:cs="宋体"/>
          <w:b/>
          <w:bCs/>
          <w:color w:val="000000" w:themeColor="text1"/>
          <w:sz w:val="24"/>
          <w:szCs w:val="24"/>
          <w:highlight w:val="none"/>
          <w:lang w:val="en-US" w:eastAsia="zh-CN"/>
          <w14:textFill>
            <w14:solidFill>
              <w14:schemeClr w14:val="tx1"/>
            </w14:solidFill>
          </w14:textFill>
        </w:rPr>
        <w:t>仪。</w:t>
      </w:r>
    </w:p>
    <w:p w14:paraId="05F4FD78">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val="en-US"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val="en-US" w:eastAsia="zh-CN"/>
          <w14:textFill>
            <w14:solidFill>
              <w14:schemeClr w14:val="tx1"/>
            </w14:solidFill>
          </w14:textFill>
        </w:rPr>
        <w:t>5、标配</w:t>
      </w:r>
      <w:r>
        <w:rPr>
          <w:rFonts w:ascii="宋体" w:eastAsia="宋体" w:cs="宋体"/>
          <w:color w:val="000000" w:themeColor="text1"/>
          <w:sz w:val="24"/>
          <w:szCs w:val="24"/>
          <w:highlight w:val="none"/>
          <w14:textFill>
            <w14:solidFill>
              <w14:schemeClr w14:val="tx1"/>
            </w14:solidFill>
          </w14:textFill>
        </w:rPr>
        <w:t>USB数据导出接口</w:t>
      </w:r>
      <w:r>
        <w:rPr>
          <w:rFonts w:hint="eastAsia" w:ascii="宋体" w:eastAsia="宋体" w:cs="宋体"/>
          <w:color w:val="000000" w:themeColor="text1"/>
          <w:sz w:val="24"/>
          <w:szCs w:val="24"/>
          <w:highlight w:val="none"/>
          <w:lang w:val="en-US" w:eastAsia="zh-CN"/>
          <w14:textFill>
            <w14:solidFill>
              <w14:schemeClr w14:val="tx1"/>
            </w14:solidFill>
          </w14:textFill>
        </w:rPr>
        <w:t>。</w:t>
      </w:r>
    </w:p>
    <w:p w14:paraId="45A043F3">
      <w:pPr>
        <w:keepNext w:val="0"/>
        <w:keepLines w:val="0"/>
        <w:pageBreakBefore w:val="0"/>
        <w:kinsoku/>
        <w:wordWrap/>
        <w:overflowPunct/>
        <w:topLinePunct w:val="0"/>
        <w:bidi w:val="0"/>
        <w:spacing w:line="360" w:lineRule="auto"/>
        <w:ind w:left="480" w:hanging="480" w:hangingChars="200"/>
        <w:textAlignment w:val="auto"/>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1</w:t>
      </w:r>
      <w:r>
        <w:rPr>
          <w:rFonts w:hint="eastAsia" w:ascii="宋体" w:eastAsia="宋体" w:cs="宋体"/>
          <w:color w:val="000000" w:themeColor="text1"/>
          <w:sz w:val="24"/>
          <w:szCs w:val="24"/>
          <w:highlight w:val="none"/>
          <w:lang w:val="en-US" w:eastAsia="zh-CN"/>
          <w14:textFill>
            <w14:solidFill>
              <w14:schemeClr w14:val="tx1"/>
            </w14:solidFill>
          </w14:textFill>
        </w:rPr>
        <w:t>6</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标配蓄电池，断电后可为屏幕供电≥</w:t>
      </w:r>
      <w:r>
        <w:rPr>
          <w:rFonts w:hint="eastAsia" w:ascii="宋体" w:eastAsia="宋体" w:cs="宋体"/>
          <w:color w:val="000000" w:themeColor="text1"/>
          <w:sz w:val="24"/>
          <w:szCs w:val="24"/>
          <w:highlight w:val="none"/>
          <w:lang w:val="en-US" w:eastAsia="zh-CN"/>
          <w14:textFill>
            <w14:solidFill>
              <w14:schemeClr w14:val="tx1"/>
            </w14:solidFill>
          </w14:textFill>
        </w:rPr>
        <w:t>24</w:t>
      </w:r>
      <w:r>
        <w:rPr>
          <w:rFonts w:hint="eastAsia" w:ascii="宋体" w:eastAsia="宋体" w:cs="宋体"/>
          <w:color w:val="000000" w:themeColor="text1"/>
          <w:sz w:val="24"/>
          <w:szCs w:val="24"/>
          <w:highlight w:val="none"/>
          <w14:textFill>
            <w14:solidFill>
              <w14:schemeClr w14:val="tx1"/>
            </w14:solidFill>
          </w14:textFill>
        </w:rPr>
        <w:t>小时</w:t>
      </w:r>
      <w:r>
        <w:rPr>
          <w:rFonts w:hint="eastAsia" w:ascii="宋体" w:eastAsia="宋体" w:cs="宋体"/>
          <w:color w:val="000000" w:themeColor="text1"/>
          <w:sz w:val="24"/>
          <w:szCs w:val="24"/>
          <w:highlight w:val="none"/>
          <w:lang w:eastAsia="zh-CN"/>
          <w14:textFill>
            <w14:solidFill>
              <w14:schemeClr w14:val="tx1"/>
            </w14:solidFill>
          </w14:textFill>
        </w:rPr>
        <w:t>。</w:t>
      </w:r>
    </w:p>
    <w:p w14:paraId="779C7BF7">
      <w:pPr>
        <w:pStyle w:val="32"/>
        <w:keepNext w:val="0"/>
        <w:keepLines w:val="0"/>
        <w:pageBreakBefore w:val="0"/>
        <w:kinsoku/>
        <w:wordWrap/>
        <w:overflowPunct/>
        <w:topLinePunct w:val="0"/>
        <w:bidi w:val="0"/>
        <w:spacing w:line="360" w:lineRule="auto"/>
        <w:ind w:left="480" w:hanging="480" w:hanging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lang w:val="en-US" w:eastAsia="zh-CN"/>
          <w14:textFill>
            <w14:solidFill>
              <w14:schemeClr w14:val="tx1"/>
            </w14:solidFill>
          </w14:textFill>
        </w:rPr>
        <w:t>17、冷藏室≥3个搁架，冷冻室≥6个抽屉。</w:t>
      </w:r>
    </w:p>
    <w:p w14:paraId="77563A40">
      <w:pPr>
        <w:widowControl/>
        <w:spacing w:line="360" w:lineRule="auto"/>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五、售后服务</w:t>
      </w:r>
    </w:p>
    <w:p w14:paraId="0E3D6B68">
      <w:pPr>
        <w:widowControl/>
        <w:spacing w:line="360" w:lineRule="auto"/>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1、整机原厂质保至少5年，保修期内，仪器发生的一切非人为故障，厂家予以免费解决。</w:t>
      </w:r>
    </w:p>
    <w:p w14:paraId="7585252B">
      <w:pPr>
        <w:widowControl/>
        <w:spacing w:line="360" w:lineRule="auto"/>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2、质保期内，用户提出维修要求后，卖方在2小时内作出明确答复，及时安排维修事宜，</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48</w:t>
      </w: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小时内到达用户实验室。质保期内，厂家免费提供维修和保修零配件。免人工费用及差旅费用。</w:t>
      </w:r>
    </w:p>
    <w:p w14:paraId="41AF77B3">
      <w:pPr>
        <w:widowControl/>
        <w:spacing w:line="360" w:lineRule="auto"/>
        <w:rPr>
          <w:rFonts w:hint="default"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3、每年巡检不少于两次</w:t>
      </w:r>
      <w:r>
        <w:rPr>
          <w:rFonts w:hint="eastAsia" w:asciiTheme="minorEastAsia" w:hAnsiTheme="minorEastAsia" w:eastAsiaTheme="minorEastAsia" w:cstheme="minorEastAsia"/>
          <w:b w:val="0"/>
          <w:bCs w:val="0"/>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并提供巡检报告。</w:t>
      </w:r>
    </w:p>
    <w:p w14:paraId="0511E2E5">
      <w:pPr>
        <w:widowControl/>
        <w:spacing w:line="360" w:lineRule="auto"/>
        <w:rPr>
          <w:rFonts w:hint="eastAsia"/>
          <w:b w:val="0"/>
          <w:bCs w:val="0"/>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4、质保期外，用户提出维修要求后，卖方在2小时内作出明确答复，及时安排维修事宜，</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48</w:t>
      </w: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小时内到达用户实验室。质保期满后，仅收取零配件成本费用，免人工费用及差旅费用。</w:t>
      </w:r>
    </w:p>
    <w:p w14:paraId="2F34705C">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六、兼容性与后续成本 </w:t>
      </w:r>
    </w:p>
    <w:p w14:paraId="607FC487">
      <w:pPr>
        <w:widowControl/>
        <w:spacing w:line="360" w:lineRule="auto"/>
        <w:ind w:firstLine="420" w:firstLineChars="0"/>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提供设备保修清单和延保价格，条目包括但不限于项目编码、名称、型号、单项报价（</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提供证明材料</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，不计入采购总价）。</w:t>
      </w:r>
    </w:p>
    <w:p w14:paraId="4F31CA39">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七、采购标的需执行国家相关标准、行业标准、地方标准或者其他标准、规范 </w:t>
      </w:r>
    </w:p>
    <w:p w14:paraId="4C684F94">
      <w:pPr>
        <w:widowControl/>
        <w:spacing w:line="360" w:lineRule="auto"/>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需满足国家、地区和行业标准和规范。</w:t>
      </w:r>
    </w:p>
    <w:p w14:paraId="6D475A89">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八、付款方式</w:t>
      </w:r>
    </w:p>
    <w:p w14:paraId="30E57EED">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1、履约保证金：合同签订前，供应商支付合同金额的10%作为履约保证金，验收合格一年后无息退还。</w:t>
      </w:r>
    </w:p>
    <w:p w14:paraId="5070B445">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2、合同签订后采购人支付合同金额的80%。</w:t>
      </w:r>
    </w:p>
    <w:p w14:paraId="01A5902B">
      <w:pPr>
        <w:widowControl/>
        <w:spacing w:line="360" w:lineRule="auto"/>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3、货到验收合格后采购人支付合同金额的20%。</w:t>
      </w:r>
    </w:p>
    <w:p w14:paraId="1852D79D">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九、验收标准</w:t>
      </w:r>
    </w:p>
    <w:p w14:paraId="7D23A621">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（1）一次性验收时间：货物安装确认合格并稳定运行 30 天内组织验收。 </w:t>
      </w:r>
    </w:p>
    <w:p w14:paraId="4FBA94F4">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（2）验收方式：组织专家参与验收。 </w:t>
      </w:r>
    </w:p>
    <w:p w14:paraId="5C8A2E4B">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（3）验收内容与验收标准： </w:t>
      </w:r>
    </w:p>
    <w:p w14:paraId="15B0EB14">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A.合同签订后乙方按照合同约定保质保量进行供货。补足或更换的货物应 </w:t>
      </w:r>
    </w:p>
    <w:p w14:paraId="0CB12967">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在签署货损证明之日起 7 日内运达甲方指定地点。 </w:t>
      </w:r>
    </w:p>
    <w:p w14:paraId="254FCD64">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B.验收：乙方将货物安装调试完毕后试运行 30 天，无质量问题，书面通知 </w:t>
      </w:r>
    </w:p>
    <w:p w14:paraId="4949989D">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甲方进行验收，甲方在收到通知之日 5 天内按照国家标准对设备的质量、使 </w:t>
      </w:r>
    </w:p>
    <w:p w14:paraId="4857E9F6">
      <w:pPr>
        <w:widowControl/>
        <w:spacing w:line="360" w:lineRule="auto"/>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用、运行等情况进行验收，验收合格后双方签署验收合格证书。</w:t>
      </w:r>
    </w:p>
    <w:p w14:paraId="09621B22">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十、交付时间及地点 </w:t>
      </w:r>
    </w:p>
    <w:p w14:paraId="29C61895">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（1）交付时间：</w:t>
      </w:r>
    </w:p>
    <w:p w14:paraId="3FB1992C">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国产货物：合同签订后 30 日内完成供货及安装调试，并具备验收条件； </w:t>
      </w:r>
    </w:p>
    <w:p w14:paraId="0137563B">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进口货物：合同签订后 90 日内完成供货及安装调试，并具备验收条件。 </w:t>
      </w:r>
    </w:p>
    <w:p w14:paraId="3D95B1C6">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（2）交货地点：采购人指定地点。</w:t>
      </w:r>
    </w:p>
    <w:p w14:paraId="18E00127">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42621D5">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十一、知识产权要求</w:t>
      </w:r>
    </w:p>
    <w:p w14:paraId="17D47313">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应保证所投设备、配套软件、资料及相关技术不存在侵犯第三方专利权、商标权、著作权、商业秘密等知识产权的情形，若采购后因知识产权纠纷产生一切法律责任、经济赔偿及对采购人造成的损失，均由</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全额承担。</w:t>
      </w:r>
    </w:p>
    <w:p w14:paraId="10DD2A59">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须承诺本项目交付的全部技术资料、操作手册、检测报告等文件不存在知识产权权属争议，采购人拥有设备配套资料的永久使用权，可用于本单位日常使用、存档、培训、设备维保等内部工作，无需另行支付知识产权使用费。</w:t>
      </w:r>
    </w:p>
    <w:p w14:paraId="728D1233">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）项目实施过程中，</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基于本项目为采购人定制优化形成的配套操作程序、使用规程等成果，采购人享有无偿、永久、非独占使用权；未经采购人书面许可，</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不得将相关定制成果擅自提供给其他第三方。</w:t>
      </w:r>
    </w:p>
    <w:p w14:paraId="39FCEC34">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）若设备搭载嵌入式控制软件，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须保障采购人合法使用软件，不得设置强制付费锁机、限时授权等限制，质保期内免费提供软件升级、漏洞修复服务。</w:t>
      </w:r>
    </w:p>
    <w:p w14:paraId="4F6FA928">
      <w:pPr>
        <w:widowControl/>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）采购人使用本项目采购设备开展正常科研、检测工作产生的数据、实验成果知识产权归采购人所有，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不得主张任何权利。</w:t>
      </w:r>
    </w:p>
    <w:p w14:paraId="6B988AAC">
      <w:pPr>
        <w:bidi w:val="0"/>
        <w:rPr>
          <w:rFonts w:hint="eastAsia"/>
          <w:color w:val="000000" w:themeColor="text1"/>
          <w:highlight w:val="none"/>
          <w14:textFill>
            <w14:solidFill>
              <w14:schemeClr w14:val="tx1"/>
            </w14:solidFill>
          </w14:textFill>
        </w:rPr>
      </w:pPr>
    </w:p>
    <w:p w14:paraId="3E3E7140">
      <w:pPr>
        <w:widowControl/>
        <w:jc w:val="center"/>
        <w:outlineLvl w:val="0"/>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br w:type="page"/>
      </w:r>
      <w:bookmarkStart w:id="482" w:name="_Toc4907298"/>
      <w: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t>第五章</w:t>
      </w:r>
      <w:r>
        <w:rPr>
          <w:rFonts w:hint="eastAsia" w:asciiTheme="minorEastAsia" w:hAnsiTheme="minorEastAsia" w:eastAsiaTheme="minorEastAsia" w:cstheme="minorEastAsia"/>
          <w:b/>
          <w:bCs/>
          <w:color w:val="000000" w:themeColor="text1"/>
          <w:sz w:val="32"/>
          <w:szCs w:val="3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t>合同条款及格式</w:t>
      </w:r>
      <w:bookmarkEnd w:id="480"/>
      <w:bookmarkEnd w:id="482"/>
    </w:p>
    <w:p w14:paraId="644AD2A8">
      <w:pPr>
        <w:spacing w:line="36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83" w:name="_Toc14632"/>
      <w:r>
        <w:rPr>
          <w:rFonts w:hint="eastAsia" w:asciiTheme="minorEastAsia" w:hAnsiTheme="minorEastAsia" w:eastAsiaTheme="minorEastAsia" w:cstheme="minorEastAsia"/>
          <w:color w:val="000000" w:themeColor="text1"/>
          <w:highlight w:val="none"/>
          <w14:textFill>
            <w14:solidFill>
              <w14:schemeClr w14:val="tx1"/>
            </w14:solidFill>
          </w14:textFill>
        </w:rPr>
        <w:t>注：本合同仅为合同的参考文本，合同签订双方可根据项目的具体要求进行修订，但不得更改实质性要求。</w:t>
      </w:r>
    </w:p>
    <w:p w14:paraId="1C3AEDAF">
      <w:pPr>
        <w:pStyle w:val="3"/>
        <w:spacing w:after="140" w:line="360" w:lineRule="auto"/>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lang w:val="en-US" w:eastAsia="zh-CN"/>
          <w14:textFill>
            <w14:solidFill>
              <w14:schemeClr w14:val="tx1"/>
            </w14:solidFill>
          </w14:textFill>
        </w:rPr>
        <w:t xml:space="preserve">采 购 </w:t>
      </w:r>
      <w:r>
        <w:rPr>
          <w:rFonts w:hint="default" w:ascii="Times New Roman" w:hAnsi="Times New Roman" w:eastAsia="宋体" w:cs="Times New Roman"/>
          <w:b/>
          <w:color w:val="000000" w:themeColor="text1"/>
          <w:highlight w:val="none"/>
          <w14:textFill>
            <w14:solidFill>
              <w14:schemeClr w14:val="tx1"/>
            </w14:solidFill>
          </w14:textFill>
        </w:rPr>
        <w:t>合</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highlight w:val="none"/>
          <w14:textFill>
            <w14:solidFill>
              <w14:schemeClr w14:val="tx1"/>
            </w14:solidFill>
          </w14:textFill>
        </w:rPr>
        <w:t>同</w:t>
      </w:r>
    </w:p>
    <w:p w14:paraId="09DB8CA3">
      <w:pPr>
        <w:spacing w:line="360" w:lineRule="auto"/>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甲方：</w:t>
      </w:r>
      <w:r>
        <w:rPr>
          <w:rFonts w:hint="eastAsia" w:ascii="宋体" w:hAnsi="宋体" w:cs="宋体"/>
          <w:color w:val="000000" w:themeColor="text1"/>
          <w:kern w:val="0"/>
          <w:sz w:val="22"/>
          <w:szCs w:val="22"/>
          <w:highlight w:val="none"/>
          <w:lang w:eastAsia="zh-CN"/>
          <w14:textFill>
            <w14:solidFill>
              <w14:schemeClr w14:val="tx1"/>
            </w14:solidFill>
          </w14:textFill>
        </w:rPr>
        <w:t>中国医学科学院皮肤病医院（中国医学科学院皮肤病研究所）</w:t>
      </w:r>
    </w:p>
    <w:p w14:paraId="17B77EB5">
      <w:pPr>
        <w:spacing w:line="360" w:lineRule="auto"/>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乙方：</w:t>
      </w:r>
    </w:p>
    <w:p w14:paraId="0075979E">
      <w:pPr>
        <w:spacing w:line="360" w:lineRule="auto"/>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ab/>
      </w:r>
      <w:r>
        <w:rPr>
          <w:rFonts w:hint="default" w:ascii="Times New Roman" w:hAnsi="Times New Roman" w:cs="Times New Roman"/>
          <w:b w:val="0"/>
          <w:color w:val="000000" w:themeColor="text1"/>
          <w:szCs w:val="24"/>
          <w:highlight w:val="none"/>
          <w14:textFill>
            <w14:solidFill>
              <w14:schemeClr w14:val="tx1"/>
            </w14:solidFill>
          </w14:textFill>
        </w:rPr>
        <w:t>经公开招标（项目编号：</w:t>
      </w:r>
      <w:r>
        <w:rPr>
          <w:rFonts w:hint="default" w:ascii="Times New Roman" w:hAnsi="Times New Roman" w:cs="Times New Roman"/>
          <w:b w:val="0"/>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b w:val="0"/>
          <w:color w:val="000000" w:themeColor="text1"/>
          <w:szCs w:val="24"/>
          <w:highlight w:val="none"/>
          <w14:textFill>
            <w14:solidFill>
              <w14:schemeClr w14:val="tx1"/>
            </w14:solidFill>
          </w14:textFill>
        </w:rPr>
        <w:t>）及甲、乙双方协商，就乙方销售给甲方设备，特订立本合同。</w:t>
      </w:r>
    </w:p>
    <w:p w14:paraId="144A26F4">
      <w:pPr>
        <w:spacing w:line="360" w:lineRule="auto"/>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一、设备名称、型号、数量和价格</w:t>
      </w:r>
    </w:p>
    <w:tbl>
      <w:tblPr>
        <w:tblStyle w:val="37"/>
        <w:tblW w:w="9211" w:type="dxa"/>
        <w:tblInd w:w="0" w:type="dxa"/>
        <w:tblBorders>
          <w:top w:val="single" w:color="auto" w:sz="4" w:space="0"/>
          <w:left w:val="single" w:color="auto" w:sz="2" w:space="0"/>
          <w:bottom w:val="single" w:color="auto" w:sz="4" w:space="0"/>
          <w:right w:val="single" w:color="auto" w:sz="4" w:space="0"/>
          <w:insideH w:val="single" w:color="auto" w:sz="2" w:space="0"/>
          <w:insideV w:val="single" w:color="auto" w:sz="4" w:space="0"/>
        </w:tblBorders>
        <w:tblLayout w:type="fixed"/>
        <w:tblCellMar>
          <w:top w:w="0" w:type="dxa"/>
          <w:left w:w="108" w:type="dxa"/>
          <w:bottom w:w="0" w:type="dxa"/>
          <w:right w:w="108" w:type="dxa"/>
        </w:tblCellMar>
      </w:tblPr>
      <w:tblGrid>
        <w:gridCol w:w="1557"/>
        <w:gridCol w:w="1842"/>
        <w:gridCol w:w="1418"/>
        <w:gridCol w:w="992"/>
        <w:gridCol w:w="1418"/>
        <w:gridCol w:w="1984"/>
      </w:tblGrid>
      <w:tr w14:paraId="49662564">
        <w:tblPrEx>
          <w:tblBorders>
            <w:top w:val="single" w:color="auto" w:sz="4" w:space="0"/>
            <w:left w:val="single" w:color="auto" w:sz="2" w:space="0"/>
            <w:bottom w:val="single" w:color="auto" w:sz="4" w:space="0"/>
            <w:right w:val="single" w:color="auto" w:sz="4" w:space="0"/>
            <w:insideH w:val="single" w:color="auto" w:sz="2" w:space="0"/>
            <w:insideV w:val="single" w:color="auto" w:sz="4" w:space="0"/>
          </w:tblBorders>
          <w:tblCellMar>
            <w:top w:w="0" w:type="dxa"/>
            <w:left w:w="108" w:type="dxa"/>
            <w:bottom w:w="0" w:type="dxa"/>
            <w:right w:w="108" w:type="dxa"/>
          </w:tblCellMar>
        </w:tblPrEx>
        <w:trPr>
          <w:cantSplit/>
          <w:trHeight w:val="419" w:hRule="exact"/>
        </w:trPr>
        <w:tc>
          <w:tcPr>
            <w:tcW w:w="1557" w:type="dxa"/>
            <w:noWrap w:val="0"/>
            <w:vAlign w:val="center"/>
          </w:tcPr>
          <w:p w14:paraId="6353BDC3">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设备名称</w:t>
            </w:r>
          </w:p>
        </w:tc>
        <w:tc>
          <w:tcPr>
            <w:tcW w:w="1842" w:type="dxa"/>
            <w:noWrap w:val="0"/>
            <w:vAlign w:val="center"/>
          </w:tcPr>
          <w:p w14:paraId="7564429F">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生产厂家</w:t>
            </w:r>
          </w:p>
        </w:tc>
        <w:tc>
          <w:tcPr>
            <w:tcW w:w="1418" w:type="dxa"/>
            <w:noWrap w:val="0"/>
            <w:vAlign w:val="center"/>
          </w:tcPr>
          <w:p w14:paraId="03D0E511">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规格型号</w:t>
            </w:r>
          </w:p>
        </w:tc>
        <w:tc>
          <w:tcPr>
            <w:tcW w:w="992" w:type="dxa"/>
            <w:noWrap w:val="0"/>
            <w:vAlign w:val="center"/>
          </w:tcPr>
          <w:p w14:paraId="6D013CF8">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数量</w:t>
            </w:r>
          </w:p>
        </w:tc>
        <w:tc>
          <w:tcPr>
            <w:tcW w:w="1418" w:type="dxa"/>
            <w:noWrap w:val="0"/>
            <w:vAlign w:val="center"/>
          </w:tcPr>
          <w:p w14:paraId="62E562DE">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单价（元）</w:t>
            </w:r>
          </w:p>
        </w:tc>
        <w:tc>
          <w:tcPr>
            <w:tcW w:w="1984" w:type="dxa"/>
            <w:noWrap w:val="0"/>
            <w:vAlign w:val="center"/>
          </w:tcPr>
          <w:p w14:paraId="57CD3AC5">
            <w:pPr>
              <w:spacing w:line="360" w:lineRule="auto"/>
              <w:jc w:val="center"/>
              <w:rPr>
                <w:rFonts w:hint="default" w:ascii="Times New Roman" w:hAnsi="Times New Roman" w:cs="Times New Roman"/>
                <w:b w:val="0"/>
                <w:color w:val="000000" w:themeColor="text1"/>
                <w:highlight w:val="none"/>
                <w:u w:val="singl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成交总价（元）</w:t>
            </w:r>
          </w:p>
        </w:tc>
      </w:tr>
      <w:tr w14:paraId="2407E2B7">
        <w:tblPrEx>
          <w:tblBorders>
            <w:top w:val="single" w:color="auto" w:sz="4" w:space="0"/>
            <w:left w:val="single" w:color="auto" w:sz="2" w:space="0"/>
            <w:bottom w:val="single" w:color="auto" w:sz="4" w:space="0"/>
            <w:right w:val="single" w:color="auto" w:sz="4" w:space="0"/>
            <w:insideH w:val="single" w:color="auto" w:sz="2" w:space="0"/>
            <w:insideV w:val="single" w:color="auto" w:sz="4" w:space="0"/>
          </w:tblBorders>
          <w:tblCellMar>
            <w:top w:w="0" w:type="dxa"/>
            <w:left w:w="108" w:type="dxa"/>
            <w:bottom w:w="0" w:type="dxa"/>
            <w:right w:w="108" w:type="dxa"/>
          </w:tblCellMar>
        </w:tblPrEx>
        <w:trPr>
          <w:cantSplit/>
          <w:trHeight w:val="879" w:hRule="exact"/>
        </w:trPr>
        <w:tc>
          <w:tcPr>
            <w:tcW w:w="1557" w:type="dxa"/>
            <w:noWrap w:val="0"/>
            <w:vAlign w:val="center"/>
          </w:tcPr>
          <w:p w14:paraId="4B25A7B7">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 xml:space="preserve"> </w:t>
            </w:r>
          </w:p>
        </w:tc>
        <w:tc>
          <w:tcPr>
            <w:tcW w:w="1842" w:type="dxa"/>
            <w:noWrap w:val="0"/>
            <w:vAlign w:val="center"/>
          </w:tcPr>
          <w:p w14:paraId="7C26B42F">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p>
        </w:tc>
        <w:tc>
          <w:tcPr>
            <w:tcW w:w="1418" w:type="dxa"/>
            <w:noWrap w:val="0"/>
            <w:vAlign w:val="center"/>
          </w:tcPr>
          <w:p w14:paraId="1890848C">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p>
        </w:tc>
        <w:tc>
          <w:tcPr>
            <w:tcW w:w="992" w:type="dxa"/>
            <w:noWrap w:val="0"/>
            <w:vAlign w:val="center"/>
          </w:tcPr>
          <w:p w14:paraId="11CA3824">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p>
        </w:tc>
        <w:tc>
          <w:tcPr>
            <w:tcW w:w="1418" w:type="dxa"/>
            <w:noWrap w:val="0"/>
            <w:vAlign w:val="center"/>
          </w:tcPr>
          <w:p w14:paraId="6CE7E297">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p>
        </w:tc>
        <w:tc>
          <w:tcPr>
            <w:tcW w:w="1984" w:type="dxa"/>
            <w:noWrap w:val="0"/>
            <w:vAlign w:val="center"/>
          </w:tcPr>
          <w:p w14:paraId="049C4459">
            <w:pPr>
              <w:spacing w:line="360" w:lineRule="auto"/>
              <w:jc w:val="center"/>
              <w:rPr>
                <w:rFonts w:hint="default" w:ascii="Times New Roman" w:hAnsi="Times New Roman" w:cs="Times New Roman"/>
                <w:b w:val="0"/>
                <w:color w:val="000000" w:themeColor="text1"/>
                <w:highlight w:val="none"/>
                <w14:textFill>
                  <w14:solidFill>
                    <w14:schemeClr w14:val="tx1"/>
                  </w14:solidFill>
                </w14:textFill>
              </w:rPr>
            </w:pPr>
          </w:p>
        </w:tc>
      </w:tr>
      <w:tr w14:paraId="6D7F884E">
        <w:tblPrEx>
          <w:tblBorders>
            <w:top w:val="single" w:color="auto" w:sz="4" w:space="0"/>
            <w:left w:val="single" w:color="auto" w:sz="2" w:space="0"/>
            <w:bottom w:val="single" w:color="auto" w:sz="4" w:space="0"/>
            <w:right w:val="single" w:color="auto" w:sz="4" w:space="0"/>
            <w:insideH w:val="single" w:color="auto" w:sz="2" w:space="0"/>
            <w:insideV w:val="single" w:color="auto" w:sz="4" w:space="0"/>
          </w:tblBorders>
          <w:tblCellMar>
            <w:top w:w="0" w:type="dxa"/>
            <w:left w:w="108" w:type="dxa"/>
            <w:bottom w:w="0" w:type="dxa"/>
            <w:right w:w="108" w:type="dxa"/>
          </w:tblCellMar>
        </w:tblPrEx>
        <w:trPr>
          <w:trHeight w:val="419" w:hRule="exact"/>
        </w:trPr>
        <w:tc>
          <w:tcPr>
            <w:tcW w:w="5809" w:type="dxa"/>
            <w:gridSpan w:val="4"/>
            <w:noWrap w:val="0"/>
            <w:vAlign w:val="center"/>
          </w:tcPr>
          <w:p w14:paraId="6162B75A">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总计（大写）：</w:t>
            </w:r>
          </w:p>
        </w:tc>
        <w:tc>
          <w:tcPr>
            <w:tcW w:w="3402" w:type="dxa"/>
            <w:gridSpan w:val="2"/>
            <w:noWrap w:val="0"/>
            <w:vAlign w:val="center"/>
          </w:tcPr>
          <w:p w14:paraId="0AFE0754">
            <w:pPr>
              <w:spacing w:line="360" w:lineRule="auto"/>
              <w:jc w:val="center"/>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 xml:space="preserve">（小写）： </w:t>
            </w:r>
          </w:p>
        </w:tc>
      </w:tr>
    </w:tbl>
    <w:p w14:paraId="0B1CFF45">
      <w:pPr>
        <w:pStyle w:val="85"/>
        <w:numPr>
          <w:ilvl w:val="0"/>
          <w:numId w:val="0"/>
        </w:numPr>
        <w:spacing w:line="360" w:lineRule="auto"/>
        <w:rPr>
          <w:rFonts w:hint="default" w:ascii="Times New Roman" w:hAnsi="Times New Roman" w:cs="Times New Roman"/>
          <w:b w:val="0"/>
          <w:color w:val="000000" w:themeColor="text1"/>
          <w:highlight w:val="none"/>
          <w:lang w:eastAsia="zh-CN"/>
          <w14:textFill>
            <w14:solidFill>
              <w14:schemeClr w14:val="tx1"/>
            </w14:solidFill>
          </w14:textFill>
        </w:rPr>
      </w:pPr>
      <w:r>
        <w:rPr>
          <w:rFonts w:hint="default" w:ascii="Times New Roman" w:hAnsi="Times New Roman" w:cs="Times New Roman"/>
          <w:b w:val="0"/>
          <w:color w:val="000000" w:themeColor="text1"/>
          <w:highlight w:val="none"/>
          <w:lang w:val="en-US" w:eastAsia="zh-CN"/>
          <w14:textFill>
            <w14:solidFill>
              <w14:schemeClr w14:val="tx1"/>
            </w14:solidFill>
          </w14:textFill>
        </w:rPr>
        <w:t>二、</w:t>
      </w:r>
      <w:r>
        <w:rPr>
          <w:rFonts w:hint="default" w:ascii="Times New Roman" w:hAnsi="Times New Roman" w:cs="Times New Roman"/>
          <w:b w:val="0"/>
          <w:color w:val="000000" w:themeColor="text1"/>
          <w:highlight w:val="none"/>
          <w:lang w:eastAsia="zh-CN"/>
          <w14:textFill>
            <w14:solidFill>
              <w14:schemeClr w14:val="tx1"/>
            </w14:solidFill>
          </w14:textFill>
        </w:rPr>
        <w:t>设备详细配置清单见乙方的投标文件及承诺书（项目编号：_________）。</w:t>
      </w:r>
    </w:p>
    <w:p w14:paraId="53853DDD">
      <w:pPr>
        <w:widowControl/>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三、付款方式：</w:t>
      </w:r>
    </w:p>
    <w:p w14:paraId="2814054D">
      <w:pPr>
        <w:spacing w:line="360" w:lineRule="auto"/>
        <w:ind w:left="480" w:hanging="420"/>
        <w:rPr>
          <w:rFonts w:hint="eastAsia"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14:textFill>
            <w14:solidFill>
              <w14:schemeClr w14:val="tx1"/>
            </w14:solidFill>
          </w14:textFill>
        </w:rPr>
        <w:t>1、履约保证金：合同签订前，供应商支付合同金额的10%作为履约保证金，验收合格一年后无息退还。</w:t>
      </w:r>
    </w:p>
    <w:p w14:paraId="03A7D459">
      <w:pPr>
        <w:spacing w:line="360" w:lineRule="auto"/>
        <w:ind w:left="480" w:hanging="420"/>
        <w:rPr>
          <w:rFonts w:hint="eastAsia"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14:textFill>
            <w14:solidFill>
              <w14:schemeClr w14:val="tx1"/>
            </w14:solidFill>
          </w14:textFill>
        </w:rPr>
        <w:t>2、合同签订后采购人支付合同金额的</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80</w:t>
      </w:r>
      <w:r>
        <w:rPr>
          <w:rFonts w:hint="eastAsia" w:ascii="Times New Roman" w:hAnsi="Times New Roman" w:cs="Times New Roman"/>
          <w:b w:val="0"/>
          <w:color w:val="000000" w:themeColor="text1"/>
          <w:szCs w:val="24"/>
          <w:highlight w:val="none"/>
          <w14:textFill>
            <w14:solidFill>
              <w14:schemeClr w14:val="tx1"/>
            </w14:solidFill>
          </w14:textFill>
        </w:rPr>
        <w:t>%。</w:t>
      </w:r>
    </w:p>
    <w:p w14:paraId="27A89627">
      <w:pPr>
        <w:spacing w:line="360" w:lineRule="auto"/>
        <w:ind w:left="480" w:hanging="42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14:textFill>
            <w14:solidFill>
              <w14:schemeClr w14:val="tx1"/>
            </w14:solidFill>
          </w14:textFill>
        </w:rPr>
        <w:t>3、货到验收合格后采购人支付合同金额的</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2</w:t>
      </w:r>
      <w:r>
        <w:rPr>
          <w:rFonts w:hint="eastAsia" w:ascii="Times New Roman" w:hAnsi="Times New Roman" w:cs="Times New Roman"/>
          <w:b w:val="0"/>
          <w:color w:val="000000" w:themeColor="text1"/>
          <w:szCs w:val="24"/>
          <w:highlight w:val="none"/>
          <w14:textFill>
            <w14:solidFill>
              <w14:schemeClr w14:val="tx1"/>
            </w14:solidFill>
          </w14:textFill>
        </w:rPr>
        <w:t>0%。</w:t>
      </w:r>
      <w:r>
        <w:rPr>
          <w:rFonts w:hint="default" w:ascii="Times New Roman" w:hAnsi="Times New Roman" w:cs="Times New Roman"/>
          <w:b w:val="0"/>
          <w:color w:val="000000" w:themeColor="text1"/>
          <w:szCs w:val="24"/>
          <w:highlight w:val="none"/>
          <w14:textFill>
            <w14:solidFill>
              <w14:schemeClr w14:val="tx1"/>
            </w14:solidFill>
          </w14:textFill>
        </w:rPr>
        <w:t xml:space="preserve">   </w:t>
      </w:r>
    </w:p>
    <w:p w14:paraId="461F7DC0">
      <w:pPr>
        <w:keepNext w:val="0"/>
        <w:keepLines w:val="0"/>
        <w:pageBreakBefore w:val="0"/>
        <w:widowControl w:val="0"/>
        <w:kinsoku/>
        <w:wordWrap/>
        <w:overflowPunct/>
        <w:topLinePunct w:val="0"/>
        <w:autoSpaceDE/>
        <w:autoSpaceDN/>
        <w:bidi w:val="0"/>
        <w:adjustRightInd/>
        <w:snapToGrid/>
        <w:spacing w:line="360" w:lineRule="auto"/>
        <w:ind w:left="480" w:hanging="420"/>
        <w:textAlignment w:val="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四、交货期及交货地点：</w:t>
      </w:r>
    </w:p>
    <w:p w14:paraId="54AC353F">
      <w:pPr>
        <w:keepNext w:val="0"/>
        <w:keepLines w:val="0"/>
        <w:pageBreakBefore w:val="0"/>
        <w:widowControl w:val="0"/>
        <w:kinsoku/>
        <w:wordWrap/>
        <w:overflowPunct/>
        <w:topLinePunct w:val="0"/>
        <w:autoSpaceDE/>
        <w:autoSpaceDN/>
        <w:bidi w:val="0"/>
        <w:adjustRightInd/>
        <w:snapToGrid/>
        <w:spacing w:line="360" w:lineRule="auto"/>
        <w:ind w:left="480" w:hanging="420"/>
        <w:textAlignment w:val="auto"/>
        <w:rPr>
          <w:rFonts w:hint="eastAsia" w:ascii="Times New Roman" w:hAnsi="Times New Roman" w:cs="Times New Roman"/>
          <w:b w:val="0"/>
          <w:color w:val="000000" w:themeColor="text1"/>
          <w:szCs w:val="24"/>
          <w:highlight w:val="none"/>
          <w:lang w:val="en-US" w:eastAsia="zh-CN"/>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（1）交付时间：</w:t>
      </w:r>
    </w:p>
    <w:p w14:paraId="1B71E4C3">
      <w:pPr>
        <w:pStyle w:val="3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国产货物：合同签订后 30 日内完成供货及安装调试，并具备验收条件；</w:t>
      </w:r>
    </w:p>
    <w:p w14:paraId="71A08B20">
      <w:pPr>
        <w:pStyle w:val="3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进口货物：合同签订后 90 日内完成供货及安装调试，并具备验收条件。</w:t>
      </w:r>
    </w:p>
    <w:p w14:paraId="3F7F6D06">
      <w:pPr>
        <w:keepNext w:val="0"/>
        <w:keepLines w:val="0"/>
        <w:pageBreakBefore w:val="0"/>
        <w:widowControl w:val="0"/>
        <w:kinsoku/>
        <w:wordWrap/>
        <w:overflowPunct/>
        <w:topLinePunct w:val="0"/>
        <w:autoSpaceDE/>
        <w:autoSpaceDN/>
        <w:bidi w:val="0"/>
        <w:adjustRightInd/>
        <w:snapToGrid/>
        <w:spacing w:line="360" w:lineRule="auto"/>
        <w:ind w:left="480" w:hanging="420"/>
        <w:textAlignment w:val="auto"/>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2</w:t>
      </w: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default" w:ascii="Times New Roman" w:hAnsi="Times New Roman" w:cs="Times New Roman"/>
          <w:b w:val="0"/>
          <w:color w:val="000000" w:themeColor="text1"/>
          <w:szCs w:val="24"/>
          <w:highlight w:val="none"/>
          <w14:textFill>
            <w14:solidFill>
              <w14:schemeClr w14:val="tx1"/>
            </w14:solidFill>
          </w14:textFill>
        </w:rPr>
        <w:t>交货地点：采购人指定地点。</w:t>
      </w:r>
    </w:p>
    <w:p w14:paraId="5852EAC2">
      <w:pPr>
        <w:keepNext w:val="0"/>
        <w:keepLines w:val="0"/>
        <w:pageBreakBefore w:val="0"/>
        <w:widowControl w:val="0"/>
        <w:numPr>
          <w:ilvl w:val="0"/>
          <w:numId w:val="0"/>
        </w:numPr>
        <w:tabs>
          <w:tab w:val="left" w:pos="8820"/>
        </w:tabs>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b w:val="0"/>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b w:val="0"/>
          <w:color w:val="000000" w:themeColor="text1"/>
          <w:kern w:val="2"/>
          <w:sz w:val="21"/>
          <w:szCs w:val="24"/>
          <w:highlight w:val="none"/>
          <w:lang w:val="en-US" w:eastAsia="zh-CN" w:bidi="ar-SA"/>
          <w14:textFill>
            <w14:solidFill>
              <w14:schemeClr w14:val="tx1"/>
            </w14:solidFill>
          </w14:textFill>
        </w:rPr>
        <w:t>五、</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售后服务</w:t>
      </w:r>
    </w:p>
    <w:p w14:paraId="795736D5">
      <w:pPr>
        <w:keepNext w:val="0"/>
        <w:keepLines w:val="0"/>
        <w:pageBreakBefore w:val="0"/>
        <w:widowControl w:val="0"/>
        <w:numPr>
          <w:ilvl w:val="0"/>
          <w:numId w:val="0"/>
        </w:numPr>
        <w:tabs>
          <w:tab w:val="left" w:pos="882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1</w:t>
      </w: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default" w:ascii="Times New Roman" w:hAnsi="Times New Roman" w:cs="Times New Roman"/>
          <w:b w:val="0"/>
          <w:color w:val="000000" w:themeColor="text1"/>
          <w:szCs w:val="24"/>
          <w:highlight w:val="none"/>
          <w14:textFill>
            <w14:solidFill>
              <w14:schemeClr w14:val="tx1"/>
            </w14:solidFill>
          </w14:textFill>
        </w:rPr>
        <w:t>质量保证期不少于</w:t>
      </w:r>
      <w:r>
        <w:rPr>
          <w:rFonts w:hint="default" w:ascii="Times New Roman" w:hAnsi="Times New Roman" w:cs="Times New Roman"/>
          <w:b w:val="0"/>
          <w:color w:val="000000" w:themeColor="text1"/>
          <w:szCs w:val="24"/>
          <w:highlight w:val="none"/>
          <w:u w:val="single"/>
          <w14:textFill>
            <w14:solidFill>
              <w14:schemeClr w14:val="tx1"/>
            </w14:solidFill>
          </w14:textFill>
        </w:rPr>
        <w:t xml:space="preserve">    </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年</w:t>
      </w:r>
      <w:r>
        <w:rPr>
          <w:rFonts w:hint="default" w:ascii="Times New Roman" w:hAnsi="Times New Roman" w:cs="Times New Roman"/>
          <w:b w:val="0"/>
          <w:color w:val="000000" w:themeColor="text1"/>
          <w:szCs w:val="24"/>
          <w:highlight w:val="none"/>
          <w14:textFill>
            <w14:solidFill>
              <w14:schemeClr w14:val="tx1"/>
            </w14:solidFill>
          </w14:textFill>
        </w:rPr>
        <w:t>，保修期内，仪器发生的一切非人为故障，厂家予以免费解决。</w:t>
      </w:r>
    </w:p>
    <w:p w14:paraId="018B00AF">
      <w:pPr>
        <w:keepNext w:val="0"/>
        <w:keepLines w:val="0"/>
        <w:pageBreakBefore w:val="0"/>
        <w:widowControl w:val="0"/>
        <w:numPr>
          <w:ilvl w:val="0"/>
          <w:numId w:val="0"/>
        </w:numPr>
        <w:tabs>
          <w:tab w:val="left" w:pos="882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2</w:t>
      </w: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default" w:ascii="Times New Roman" w:hAnsi="Times New Roman" w:cs="Times New Roman"/>
          <w:b w:val="0"/>
          <w:color w:val="000000" w:themeColor="text1"/>
          <w:szCs w:val="24"/>
          <w:highlight w:val="none"/>
          <w14:textFill>
            <w14:solidFill>
              <w14:schemeClr w14:val="tx1"/>
            </w14:solidFill>
          </w14:textFill>
        </w:rPr>
        <w:t>质保期内，用户提出维修要求后，卖方在2小时内作出明确答复，及时安排维修事宜，48小时内到达用户实验室。质保期内，厂家免费提供维修和保修零配件。免人工费用及差旅费用。</w:t>
      </w:r>
    </w:p>
    <w:p w14:paraId="0211335A">
      <w:pPr>
        <w:numPr>
          <w:ilvl w:val="0"/>
          <w:numId w:val="0"/>
        </w:numPr>
        <w:tabs>
          <w:tab w:val="left" w:pos="8820"/>
        </w:tabs>
        <w:spacing w:line="360" w:lineRule="auto"/>
        <w:ind w:left="0" w:leftChars="0" w:firstLine="0" w:firstLineChars="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3</w:t>
      </w: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default" w:ascii="Times New Roman" w:hAnsi="Times New Roman" w:cs="Times New Roman"/>
          <w:b w:val="0"/>
          <w:color w:val="000000" w:themeColor="text1"/>
          <w:szCs w:val="24"/>
          <w:highlight w:val="none"/>
          <w14:textFill>
            <w14:solidFill>
              <w14:schemeClr w14:val="tx1"/>
            </w14:solidFill>
          </w14:textFill>
        </w:rPr>
        <w:t>每年不少于两次的定期维护。</w:t>
      </w:r>
    </w:p>
    <w:p w14:paraId="0EA5E0E2">
      <w:pPr>
        <w:numPr>
          <w:ilvl w:val="0"/>
          <w:numId w:val="0"/>
        </w:numPr>
        <w:tabs>
          <w:tab w:val="left" w:pos="8820"/>
        </w:tabs>
        <w:spacing w:line="360" w:lineRule="auto"/>
        <w:ind w:left="0" w:leftChars="0" w:firstLine="0" w:firstLineChars="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4</w:t>
      </w:r>
      <w:r>
        <w:rPr>
          <w:rFonts w:hint="eastAsia" w:ascii="Times New Roman" w:hAnsi="Times New Roman" w:cs="Times New Roman"/>
          <w:b w:val="0"/>
          <w:color w:val="000000" w:themeColor="text1"/>
          <w:szCs w:val="24"/>
          <w:highlight w:val="none"/>
          <w:lang w:eastAsia="zh-CN"/>
          <w14:textFill>
            <w14:solidFill>
              <w14:schemeClr w14:val="tx1"/>
            </w14:solidFill>
          </w14:textFill>
        </w:rPr>
        <w:t>）</w:t>
      </w:r>
      <w:r>
        <w:rPr>
          <w:rFonts w:hint="default" w:ascii="Times New Roman" w:hAnsi="Times New Roman" w:cs="Times New Roman"/>
          <w:b w:val="0"/>
          <w:color w:val="000000" w:themeColor="text1"/>
          <w:szCs w:val="24"/>
          <w:highlight w:val="none"/>
          <w14:textFill>
            <w14:solidFill>
              <w14:schemeClr w14:val="tx1"/>
            </w14:solidFill>
          </w14:textFill>
        </w:rPr>
        <w:t>质保期外，用户提出维修要求后，卖方在2小时内作出明确答复，及时安排维修事宜，48小时内到达用户实验室。质保期满后，仅收取零配件成本费用，免人工费用及差旅费用。</w:t>
      </w:r>
    </w:p>
    <w:p w14:paraId="64E406FB">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六、乙方保证所供设备型号是最新的，且是用上等材料和工艺制成，全新，并严格保持原包装，否则造成的一切损失由乙方负全部责任。由于设备质量问题引起的医疗事故和纠纷，乙方承担全部的法律和经济责任。</w:t>
      </w:r>
    </w:p>
    <w:p w14:paraId="49D2C509">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七、乙方应保证甲方在使用、接受本合同货物和服务或其任何一部分时不涉及任何第三方提出侵犯其专利权、版权、商标权和工业设计权等知识产权的纠纷。一旦出现，由乙方负全部责任。</w:t>
      </w:r>
    </w:p>
    <w:p w14:paraId="0BDB6500">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八、乙方保证向甲方提供的设备满足中国国家标准或相关行业标准。根据国家规定，如需要提供3C认证证书和标记的设备及有关配置，必须提供上述证书和标记。</w:t>
      </w:r>
    </w:p>
    <w:p w14:paraId="7DFD624F">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九、乙方所供设备如验收不合格，根据甲方的要求，乙方必须无条件换货或退货，由此引起的一切损失由乙方承担。</w:t>
      </w:r>
    </w:p>
    <w:p w14:paraId="386D4251">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十、设备安装后，乙方应配合甲方按厂方技术参数、国家标准等进行质量验收。若有歧义，甲方有权委托国内有资格的单位对该设备进行质量检测，费用由乙方承担。</w:t>
      </w:r>
    </w:p>
    <w:p w14:paraId="08D9CB2E">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十一、特别提醒条款：a、所提供医疗器械产品注册证必须真实有效；b、所提供设备上的中文品名、型号及产品说明书所注适用范围必须与医疗器械产品注册证所标明的完全一致；c、发票上所列品名与型号必须与合同所列品名与型号完全一致；d、其他未提及事项必须符合国家药品监督管理局的相关规定。e、设备到货时间，请乙方至少提前三天通知甲方采购员，以便甲方安排好相关收货工作。设备到达甲方医院时，乙方代表必须随机到达，由乙方负责卸货并搬运至甲方指定的地点，待设备搬运完毕后，甲乙双方办理交接手续。如未按上述条款执行，造成的一切后果全部由乙方承担。</w:t>
      </w:r>
    </w:p>
    <w:p w14:paraId="5364418D">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十二、服务条款：</w:t>
      </w:r>
    </w:p>
    <w:p w14:paraId="78C89A4E">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（1）</w:t>
      </w:r>
      <w:r>
        <w:rPr>
          <w:rFonts w:hint="default" w:ascii="Times New Roman" w:hAnsi="Times New Roman" w:cs="Times New Roman"/>
          <w:b w:val="0"/>
          <w:color w:val="000000" w:themeColor="text1"/>
          <w:szCs w:val="24"/>
          <w:highlight w:val="none"/>
          <w14:textFill>
            <w14:solidFill>
              <w14:schemeClr w14:val="tx1"/>
            </w14:solidFill>
          </w14:textFill>
        </w:rPr>
        <w:t>设备安装时，乙方负责设备的免费安装和调试，但乙方必须事先与甲方联系，否则引起的一切责任由乙方承担。</w:t>
      </w:r>
    </w:p>
    <w:p w14:paraId="43119D09">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（2）</w:t>
      </w:r>
      <w:r>
        <w:rPr>
          <w:rFonts w:hint="default" w:ascii="Times New Roman" w:hAnsi="Times New Roman" w:cs="Times New Roman"/>
          <w:b w:val="0"/>
          <w:color w:val="000000" w:themeColor="text1"/>
          <w:szCs w:val="24"/>
          <w:highlight w:val="none"/>
          <w14:textFill>
            <w14:solidFill>
              <w14:schemeClr w14:val="tx1"/>
            </w14:solidFill>
          </w14:textFill>
        </w:rPr>
        <w:t>乙方逾期交付货物的，每逾期一天，乙方向甲方偿付货款总额5‰的滞纳金，如乙方逾期交货达10天，甲方有权解除合同。如有特殊情况，乙方应书面通知无法交货原因，在获得甲方同意后，方可推迟交货时间。</w:t>
      </w:r>
    </w:p>
    <w:p w14:paraId="58E04714">
      <w:pPr>
        <w:widowControl/>
        <w:spacing w:line="360" w:lineRule="auto"/>
        <w:jc w:val="left"/>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（3）</w:t>
      </w:r>
      <w:r>
        <w:rPr>
          <w:rFonts w:hint="default" w:ascii="Times New Roman" w:hAnsi="Times New Roman" w:cs="Times New Roman"/>
          <w:b w:val="0"/>
          <w:color w:val="000000" w:themeColor="text1"/>
          <w:szCs w:val="24"/>
          <w:highlight w:val="none"/>
          <w14:textFill>
            <w14:solidFill>
              <w14:schemeClr w14:val="tx1"/>
            </w14:solidFill>
          </w14:textFill>
        </w:rPr>
        <w:t>设备安装、调试结束后，甲方对设备试用后进行验收（时间由甲、乙双方商定），乙方免费派工程师到达现场协助验收工作。保修期自甲方验收合格之日算起，保修期外故障待修复后只收配件费，免收人工费。</w:t>
      </w:r>
    </w:p>
    <w:p w14:paraId="65979037">
      <w:pPr>
        <w:widowControl/>
        <w:spacing w:line="360" w:lineRule="auto"/>
        <w:jc w:val="left"/>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（4）</w:t>
      </w:r>
      <w:r>
        <w:rPr>
          <w:rFonts w:hint="default" w:ascii="Times New Roman" w:hAnsi="Times New Roman" w:cs="Times New Roman"/>
          <w:b w:val="0"/>
          <w:color w:val="000000" w:themeColor="text1"/>
          <w:szCs w:val="24"/>
          <w:highlight w:val="none"/>
          <w14:textFill>
            <w14:solidFill>
              <w14:schemeClr w14:val="tx1"/>
            </w14:solidFill>
          </w14:textFill>
        </w:rPr>
        <w:t>如设备软件升级，乙方负责免费软件升级。</w:t>
      </w:r>
    </w:p>
    <w:p w14:paraId="1E73C41D">
      <w:pPr>
        <w:widowControl/>
        <w:spacing w:line="360" w:lineRule="auto"/>
        <w:jc w:val="left"/>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（5）</w:t>
      </w:r>
      <w:r>
        <w:rPr>
          <w:rFonts w:hint="default" w:ascii="Times New Roman" w:hAnsi="Times New Roman" w:cs="Times New Roman"/>
          <w:b w:val="0"/>
          <w:color w:val="000000" w:themeColor="text1"/>
          <w:szCs w:val="24"/>
          <w:highlight w:val="none"/>
          <w14:textFill>
            <w14:solidFill>
              <w14:schemeClr w14:val="tx1"/>
            </w14:solidFill>
          </w14:textFill>
        </w:rPr>
        <w:t>乙方免费提供全套技术资料（维修说明书包括详细电路图、操作说明书及光盘），如技术资料不全，甲方有权不支付货款。</w:t>
      </w:r>
    </w:p>
    <w:p w14:paraId="127F73E7">
      <w:pPr>
        <w:spacing w:line="360" w:lineRule="auto"/>
        <w:ind w:left="0" w:hanging="5"/>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（6）</w:t>
      </w:r>
      <w:r>
        <w:rPr>
          <w:rFonts w:hint="default" w:ascii="Times New Roman" w:hAnsi="Times New Roman" w:cs="Times New Roman"/>
          <w:b w:val="0"/>
          <w:color w:val="000000" w:themeColor="text1"/>
          <w:szCs w:val="24"/>
          <w:highlight w:val="none"/>
          <w14:textFill>
            <w14:solidFill>
              <w14:schemeClr w14:val="tx1"/>
            </w14:solidFill>
          </w14:textFill>
        </w:rPr>
        <w:t>技术培训：在安装过程中或安装结束后，乙方工程师或有关人员有义务对甲方工程师和操作人员进行现场维修、保养、操作培训并提供快捷操作指南（塑胶封好，挂在设备上），解答甲方人员提出的问题。必要时提供正规培训班培训，确保操作人员掌握完成日常工作所需的基本操作方法为止，工程师掌握基本的维护保养操作技术为止。详见乙方的投标文件。</w:t>
      </w:r>
    </w:p>
    <w:p w14:paraId="56E2B5EF">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（7）</w:t>
      </w:r>
      <w:r>
        <w:rPr>
          <w:rFonts w:hint="default" w:ascii="Times New Roman" w:hAnsi="Times New Roman" w:cs="Times New Roman"/>
          <w:b w:val="0"/>
          <w:color w:val="000000" w:themeColor="text1"/>
          <w:szCs w:val="24"/>
          <w:highlight w:val="none"/>
          <w14:textFill>
            <w14:solidFill>
              <w14:schemeClr w14:val="tx1"/>
            </w14:solidFill>
          </w14:textFill>
        </w:rPr>
        <w:t>如乙方提供的设备设有维修软件密码，乙方保证无条件地为甲方永久免费打开。</w:t>
      </w:r>
    </w:p>
    <w:p w14:paraId="0FE88ED3">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（8）</w:t>
      </w:r>
      <w:r>
        <w:rPr>
          <w:rFonts w:hint="default" w:ascii="Times New Roman" w:hAnsi="Times New Roman" w:cs="Times New Roman"/>
          <w:b w:val="0"/>
          <w:color w:val="000000" w:themeColor="text1"/>
          <w:szCs w:val="24"/>
          <w:highlight w:val="none"/>
          <w14:textFill>
            <w14:solidFill>
              <w14:schemeClr w14:val="tx1"/>
            </w14:solidFill>
          </w14:textFill>
        </w:rPr>
        <w:t>项目编号：</w:t>
      </w:r>
      <w:r>
        <w:rPr>
          <w:rFonts w:hint="default" w:ascii="Times New Roman" w:hAnsi="Times New Roman" w:cs="Times New Roman"/>
          <w:b w:val="0"/>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b w:val="0"/>
          <w:color w:val="000000" w:themeColor="text1"/>
          <w:szCs w:val="24"/>
          <w:highlight w:val="none"/>
          <w14:textFill>
            <w14:solidFill>
              <w14:schemeClr w14:val="tx1"/>
            </w14:solidFill>
          </w14:textFill>
        </w:rPr>
        <w:t>的招投标文件及有关附件是本合同不可分割的组成部分，与本合同具有同等法律效力。</w:t>
      </w:r>
    </w:p>
    <w:p w14:paraId="2869C398">
      <w:pPr>
        <w:spacing w:line="360" w:lineRule="auto"/>
        <w:ind w:left="0" w:firstLine="0"/>
        <w:rPr>
          <w:rFonts w:hint="default" w:ascii="Times New Roman" w:hAnsi="Times New Roman" w:cs="Times New Roman"/>
          <w:b w:val="0"/>
          <w:color w:val="000000" w:themeColor="text1"/>
          <w:szCs w:val="24"/>
          <w:highlight w:val="none"/>
          <w14:textFill>
            <w14:solidFill>
              <w14:schemeClr w14:val="tx1"/>
            </w14:solidFill>
          </w14:textFill>
        </w:rPr>
      </w:pP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（9）</w:t>
      </w:r>
      <w:r>
        <w:rPr>
          <w:rFonts w:hint="default" w:ascii="Times New Roman" w:hAnsi="Times New Roman" w:cs="Times New Roman"/>
          <w:b w:val="0"/>
          <w:color w:val="000000" w:themeColor="text1"/>
          <w:szCs w:val="24"/>
          <w:highlight w:val="none"/>
          <w14:textFill>
            <w14:solidFill>
              <w14:schemeClr w14:val="tx1"/>
            </w14:solidFill>
          </w14:textFill>
        </w:rPr>
        <w:t>乙方所提供的设备及其售后服务应遵守中国网络安全及数据安全相关法律法规（包括但不限于《网络安全法》《数据安全法》《个人信息保护法》），符合《医疗卫生机构网络安全管理办法》的要求。乙方如违反上述规定，应承担相应法律责任。</w:t>
      </w:r>
    </w:p>
    <w:p w14:paraId="476FAE19">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bookmarkStart w:id="484" w:name="_Hlk183025105"/>
      <w:bookmarkStart w:id="485" w:name="_Hlk183025405"/>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（10）</w:t>
      </w:r>
      <w:r>
        <w:rPr>
          <w:rFonts w:hint="default" w:ascii="Times New Roman" w:hAnsi="Times New Roman" w:cs="Times New Roman"/>
          <w:b w:val="0"/>
          <w:color w:val="000000" w:themeColor="text1"/>
          <w:szCs w:val="24"/>
          <w:highlight w:val="none"/>
          <w14:textFill>
            <w14:solidFill>
              <w14:schemeClr w14:val="tx1"/>
            </w14:solidFill>
          </w14:textFill>
        </w:rPr>
        <w:t>本合同履约过程中，如发生任何争议，双方协商解决；如不能协商解决，由合同签署地法院管辖。</w:t>
      </w:r>
      <w:bookmarkEnd w:id="484"/>
    </w:p>
    <w:p w14:paraId="633F9179">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本合同一式四份，自双方签字盖章之日起生效，甲方执三份，乙方执一份。</w:t>
      </w:r>
    </w:p>
    <w:p w14:paraId="3F4D67AD">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合同签署地点:</w:t>
      </w:r>
      <w:r>
        <w:rPr>
          <w:rFonts w:hint="eastAsia" w:ascii="Times New Roman" w:hAnsi="Times New Roman" w:cs="Times New Roman"/>
          <w:b w:val="0"/>
          <w:color w:val="000000" w:themeColor="text1"/>
          <w:szCs w:val="24"/>
          <w:highlight w:val="none"/>
          <w:u w:val="single"/>
          <w:lang w:val="en-US" w:eastAsia="zh-CN"/>
          <w14:textFill>
            <w14:solidFill>
              <w14:schemeClr w14:val="tx1"/>
            </w14:solidFill>
          </w14:textFill>
        </w:rPr>
        <w:t xml:space="preserve">        </w:t>
      </w:r>
      <w:r>
        <w:rPr>
          <w:rFonts w:hint="default" w:ascii="Times New Roman" w:hAnsi="Times New Roman" w:cs="Times New Roman"/>
          <w:b w:val="0"/>
          <w:color w:val="000000" w:themeColor="text1"/>
          <w:szCs w:val="24"/>
          <w:highlight w:val="none"/>
          <w14:textFill>
            <w14:solidFill>
              <w14:schemeClr w14:val="tx1"/>
            </w14:solidFill>
          </w14:textFill>
        </w:rPr>
        <w:t>。</w:t>
      </w:r>
    </w:p>
    <w:p w14:paraId="2E2D5E12">
      <w:pPr>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486" w:name="_Hlk183025115"/>
      <w:r>
        <w:rPr>
          <w:rFonts w:hint="default" w:ascii="Times New Roman" w:hAnsi="Times New Roman" w:cs="Times New Roman"/>
          <w:b w:val="0"/>
          <w:color w:val="000000" w:themeColor="text1"/>
          <w:szCs w:val="24"/>
          <w:highlight w:val="none"/>
          <w14:textFill>
            <w14:solidFill>
              <w14:schemeClr w14:val="tx1"/>
            </w14:solidFill>
          </w14:textFill>
        </w:rPr>
        <w:t>——————————————以下无正文——————————————</w:t>
      </w:r>
      <w:r>
        <w:rPr>
          <w:rFonts w:hint="default" w:ascii="Times New Roman" w:hAnsi="Times New Roman" w:cs="Times New Roman"/>
          <w:b w:val="0"/>
          <w:color w:val="000000" w:themeColor="text1"/>
          <w:szCs w:val="24"/>
          <w:highlight w:val="none"/>
          <w:lang w:eastAsia="zh-CN"/>
          <w14:textFill>
            <w14:solidFill>
              <w14:schemeClr w14:val="tx1"/>
            </w14:solidFill>
          </w14:textFill>
        </w:rPr>
        <w:t>————————</w:t>
      </w:r>
    </w:p>
    <w:p w14:paraId="45F7F803">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甲方（盖章）：</w:t>
      </w:r>
      <w:r>
        <w:rPr>
          <w:rFonts w:hint="eastAsia" w:ascii="Times New Roman" w:hAnsi="Times New Roman" w:cs="Times New Roman"/>
          <w:b w:val="0"/>
          <w:color w:val="000000" w:themeColor="text1"/>
          <w:szCs w:val="24"/>
          <w:highlight w:val="none"/>
          <w:lang w:eastAsia="zh-CN"/>
          <w14:textFill>
            <w14:solidFill>
              <w14:schemeClr w14:val="tx1"/>
            </w14:solidFill>
          </w14:textFill>
        </w:rPr>
        <w:t>中国医学科学院皮肤病医院</w:t>
      </w:r>
      <w:r>
        <w:rPr>
          <w:rFonts w:hint="default" w:ascii="Times New Roman" w:hAnsi="Times New Roman" w:cs="Times New Roman"/>
          <w:b w:val="0"/>
          <w:color w:val="000000" w:themeColor="text1"/>
          <w:szCs w:val="24"/>
          <w:highlight w:val="none"/>
          <w14:textFill>
            <w14:solidFill>
              <w14:schemeClr w14:val="tx1"/>
            </w14:solidFill>
          </w14:textFill>
        </w:rPr>
        <w:t xml:space="preserve">  乙方（盖章）： </w:t>
      </w:r>
    </w:p>
    <w:p w14:paraId="0D7AED55">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地址：南京市蒋王庙街 12 号</w:t>
      </w:r>
      <w:r>
        <w:rPr>
          <w:rFonts w:hint="eastAsia" w:ascii="Times New Roman" w:hAnsi="Times New Roman" w:cs="Times New Roman"/>
          <w:b w:val="0"/>
          <w:color w:val="000000" w:themeColor="text1"/>
          <w:szCs w:val="24"/>
          <w:highlight w:val="none"/>
          <w:lang w:val="en-US" w:eastAsia="zh-CN"/>
          <w14:textFill>
            <w14:solidFill>
              <w14:schemeClr w14:val="tx1"/>
            </w14:solidFill>
          </w14:textFill>
        </w:rPr>
        <w:t xml:space="preserve">         </w:t>
      </w:r>
      <w:r>
        <w:rPr>
          <w:rFonts w:hint="default" w:ascii="Times New Roman" w:hAnsi="Times New Roman" w:cs="Times New Roman"/>
          <w:b w:val="0"/>
          <w:color w:val="000000" w:themeColor="text1"/>
          <w:szCs w:val="24"/>
          <w:highlight w:val="none"/>
          <w14:textFill>
            <w14:solidFill>
              <w14:schemeClr w14:val="tx1"/>
            </w14:solidFill>
          </w14:textFill>
        </w:rPr>
        <w:t xml:space="preserve">      地址： </w:t>
      </w:r>
    </w:p>
    <w:p w14:paraId="0197C28F">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法定代表人（或授权人）：                  法定代表人（或授权人）：</w:t>
      </w:r>
    </w:p>
    <w:p w14:paraId="35691609">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部门负责人：                             开户行名称：</w:t>
      </w:r>
    </w:p>
    <w:p w14:paraId="2F7E97C9">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 xml:space="preserve">                                         开户行账号：</w:t>
      </w:r>
    </w:p>
    <w:p w14:paraId="6466AEB7">
      <w:pPr>
        <w:spacing w:line="360" w:lineRule="auto"/>
        <w:rPr>
          <w:rFonts w:hint="default" w:ascii="Times New Roman" w:hAnsi="Times New Roman" w:cs="Times New Roman"/>
          <w:b w:val="0"/>
          <w:color w:val="000000" w:themeColor="text1"/>
          <w:szCs w:val="24"/>
          <w:highlight w:val="none"/>
          <w14:textFill>
            <w14:solidFill>
              <w14:schemeClr w14:val="tx1"/>
            </w14:solidFill>
          </w14:textFill>
        </w:rPr>
      </w:pPr>
      <w:r>
        <w:rPr>
          <w:rFonts w:hint="default" w:ascii="Times New Roman" w:hAnsi="Times New Roman" w:cs="Times New Roman"/>
          <w:b w:val="0"/>
          <w:color w:val="000000" w:themeColor="text1"/>
          <w:szCs w:val="24"/>
          <w:highlight w:val="none"/>
          <w14:textFill>
            <w14:solidFill>
              <w14:schemeClr w14:val="tx1"/>
            </w14:solidFill>
          </w14:textFill>
        </w:rPr>
        <w:t xml:space="preserve">经办人:                                   经办人:    </w:t>
      </w:r>
    </w:p>
    <w:p w14:paraId="5221F509">
      <w:pPr>
        <w:spacing w:line="360" w:lineRule="auto"/>
        <w:rPr>
          <w:rFonts w:hint="default" w:ascii="Times New Roman" w:hAnsi="Times New Roman" w:cs="Times New Roman"/>
          <w:b w:val="0"/>
          <w:color w:val="000000" w:themeColor="text1"/>
          <w:highlight w:val="none"/>
          <w14:textFill>
            <w14:solidFill>
              <w14:schemeClr w14:val="tx1"/>
            </w14:solidFill>
          </w14:textFill>
        </w:rPr>
      </w:pPr>
    </w:p>
    <w:p w14:paraId="3F49E03D">
      <w:pPr>
        <w:pStyle w:val="33"/>
        <w:spacing w:before="0" w:beforeAutospacing="0" w:after="0" w:afterAutospacing="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default" w:ascii="Times New Roman" w:hAnsi="Times New Roman" w:cs="Times New Roman"/>
          <w:b w:val="0"/>
          <w:color w:val="000000" w:themeColor="text1"/>
          <w:highlight w:val="none"/>
          <w14:textFill>
            <w14:solidFill>
              <w14:schemeClr w14:val="tx1"/>
            </w14:solidFill>
          </w14:textFill>
        </w:rPr>
        <w:t>签订日期：____年__ 月__日           签订日期：</w:t>
      </w:r>
      <w:bookmarkEnd w:id="486"/>
      <w:r>
        <w:rPr>
          <w:rFonts w:hint="default" w:ascii="Times New Roman" w:hAnsi="Times New Roman" w:cs="Times New Roman"/>
          <w:b w:val="0"/>
          <w:color w:val="000000" w:themeColor="text1"/>
          <w:highlight w:val="none"/>
          <w14:textFill>
            <w14:solidFill>
              <w14:schemeClr w14:val="tx1"/>
            </w14:solidFill>
          </w14:textFill>
        </w:rPr>
        <w:t>____年__ 月__日。</w:t>
      </w:r>
      <w:bookmarkEnd w:id="485"/>
    </w:p>
    <w:p w14:paraId="5B2CFE76">
      <w:pP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p>
    <w:p w14:paraId="73E9AB4A">
      <w:pPr>
        <w:pStyle w:val="34"/>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487" w:name="_Toc267746937"/>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第六章 </w:t>
      </w:r>
      <w:bookmarkEnd w:id="481"/>
      <w:r>
        <w:rPr>
          <w:rFonts w:hint="eastAsia" w:asciiTheme="minorEastAsia" w:hAnsiTheme="minorEastAsia" w:eastAsiaTheme="minorEastAsia" w:cstheme="minorEastAsia"/>
          <w:color w:val="000000" w:themeColor="text1"/>
          <w:highlight w:val="none"/>
          <w14:textFill>
            <w14:solidFill>
              <w14:schemeClr w14:val="tx1"/>
            </w14:solidFill>
          </w14:textFill>
        </w:rPr>
        <w:t>投标文件格式</w:t>
      </w:r>
      <w:bookmarkEnd w:id="483"/>
      <w:bookmarkEnd w:id="487"/>
    </w:p>
    <w:p w14:paraId="7E741F2D">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注：请</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按照以下文件的要求格式、内容，顺序制作投标文件，并请编制目录及页码，否则可能将影响对投标文件的评价。</w:t>
      </w:r>
    </w:p>
    <w:p w14:paraId="2E827770">
      <w:pPr>
        <w:pStyle w:val="79"/>
        <w:shd w:val="clear" w:color="auto" w:fill="FFFFFF"/>
        <w:spacing w:line="265" w:lineRule="atLeast"/>
        <w:ind w:firstLine="0" w:firstLineChars="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14:paraId="44D5E623">
      <w:pPr>
        <w:spacing w:before="100" w:after="100" w:line="360" w:lineRule="auto"/>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bookmarkStart w:id="488" w:name="_Toc96347900"/>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p>
    <w:p w14:paraId="49918A88">
      <w:pPr>
        <w:tabs>
          <w:tab w:val="left" w:pos="1365"/>
          <w:tab w:val="center" w:pos="4422"/>
        </w:tabs>
        <w:spacing w:before="100" w:after="100" w:line="360" w:lineRule="auto"/>
        <w:jc w:val="center"/>
        <w:rPr>
          <w:rFonts w:hint="eastAsia" w:asciiTheme="minorEastAsia" w:hAnsiTheme="minorEastAsia" w:eastAsiaTheme="minorEastAsia" w:cstheme="minorEastAsia"/>
          <w:b/>
          <w:color w:val="000000" w:themeColor="text1"/>
          <w:sz w:val="60"/>
          <w:szCs w:val="60"/>
          <w:highlight w:val="none"/>
          <w14:textFill>
            <w14:solidFill>
              <w14:schemeClr w14:val="tx1"/>
            </w14:solidFill>
          </w14:textFill>
        </w:rPr>
      </w:pPr>
    </w:p>
    <w:p w14:paraId="51B9EA45">
      <w:pPr>
        <w:tabs>
          <w:tab w:val="left" w:pos="1365"/>
          <w:tab w:val="center" w:pos="4422"/>
        </w:tabs>
        <w:spacing w:before="100" w:after="100" w:line="360" w:lineRule="auto"/>
        <w:jc w:val="cente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t>中国医学科学院皮肤病医院</w:t>
      </w:r>
    </w:p>
    <w:p w14:paraId="429D12CE">
      <w:pPr>
        <w:spacing w:before="100" w:after="100" w:line="360" w:lineRule="auto"/>
        <w:jc w:val="center"/>
        <w:rPr>
          <w:rFonts w:hint="eastAsia" w:asciiTheme="minorEastAsia" w:hAnsiTheme="minorEastAsia" w:eastAsiaTheme="minorEastAsia" w:cstheme="minorEastAsia"/>
          <w:b/>
          <w:color w:val="000000" w:themeColor="text1"/>
          <w:sz w:val="60"/>
          <w:szCs w:val="60"/>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60"/>
          <w:szCs w:val="60"/>
          <w:highlight w:val="none"/>
          <w:lang w:eastAsia="zh-CN"/>
          <w14:textFill>
            <w14:solidFill>
              <w14:schemeClr w14:val="tx1"/>
            </w14:solidFill>
          </w14:textFill>
        </w:rPr>
        <w:t>（中国医学科学院皮肤病研究所）医用冰箱设备采购项目</w:t>
      </w:r>
    </w:p>
    <w:p w14:paraId="6BD841E9">
      <w:pPr>
        <w:adjustRightInd w:val="0"/>
        <w:snapToGrid w:val="0"/>
        <w:spacing w:line="400" w:lineRule="atLeast"/>
        <w:jc w:val="center"/>
        <w:rPr>
          <w:rFonts w:hint="eastAsia" w:asciiTheme="minorEastAsia" w:hAnsiTheme="minorEastAsia" w:eastAsiaTheme="minorEastAsia" w:cstheme="minorEastAsia"/>
          <w:b/>
          <w:color w:val="000000" w:themeColor="text1"/>
          <w:sz w:val="60"/>
          <w:szCs w:val="60"/>
          <w:highlight w:val="none"/>
          <w14:textFill>
            <w14:solidFill>
              <w14:schemeClr w14:val="tx1"/>
            </w14:solidFill>
          </w14:textFill>
        </w:rPr>
      </w:pPr>
    </w:p>
    <w:p w14:paraId="08953DA4">
      <w:pPr>
        <w:pStyle w:val="4"/>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1B51B94">
      <w:pPr>
        <w:pStyle w:val="20"/>
        <w:jc w:val="center"/>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pPr>
      <w:bookmarkStart w:id="489" w:name="_Toc100905255"/>
      <w:r>
        <w:rPr>
          <w:rFonts w:hint="eastAsia" w:asciiTheme="minorEastAsia" w:hAnsiTheme="minorEastAsia" w:eastAsiaTheme="minorEastAsia" w:cstheme="minorEastAsia"/>
          <w:b/>
          <w:color w:val="000000" w:themeColor="text1"/>
          <w:sz w:val="84"/>
          <w:szCs w:val="84"/>
          <w:highlight w:val="none"/>
          <w14:textFill>
            <w14:solidFill>
              <w14:schemeClr w14:val="tx1"/>
            </w14:solidFill>
          </w14:textFill>
        </w:rPr>
        <w:t>投 标 文 件</w:t>
      </w:r>
      <w:bookmarkEnd w:id="489"/>
    </w:p>
    <w:p w14:paraId="4BD388C7">
      <w:pPr>
        <w:spacing w:line="360" w:lineRule="auto"/>
        <w:ind w:right="640"/>
        <w:jc w:val="cente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pPr>
    </w:p>
    <w:p w14:paraId="193143E6">
      <w:pPr>
        <w:spacing w:line="360" w:lineRule="auto"/>
        <w:ind w:right="640"/>
        <w:jc w:val="cente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项目编号：</w:t>
      </w:r>
      <w:r>
        <w:rPr>
          <w:rFonts w:hint="eastAsia" w:asciiTheme="minorEastAsia" w:hAnsiTheme="minorEastAsia" w:eastAsiaTheme="minorEastAsia" w:cstheme="minorEastAsia"/>
          <w:b/>
          <w:color w:val="000000" w:themeColor="text1"/>
          <w:sz w:val="44"/>
          <w:szCs w:val="44"/>
          <w:highlight w:val="none"/>
          <w:lang w:eastAsia="zh-CN"/>
          <w14:textFill>
            <w14:solidFill>
              <w14:schemeClr w14:val="tx1"/>
            </w14:solidFill>
          </w14:textFill>
        </w:rPr>
        <w:t>JSTCC26025106139</w:t>
      </w:r>
    </w:p>
    <w:p w14:paraId="6ED5FF49">
      <w:pPr>
        <w:pStyle w:val="2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14:paraId="5B01DB1E">
      <w:pPr>
        <w:pStyle w:val="2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14:paraId="3EFEA5A5">
      <w:pPr>
        <w:pStyle w:val="2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14:paraId="4C6819EB">
      <w:pPr>
        <w:pStyle w:val="2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14:paraId="0E75A3CE">
      <w:pPr>
        <w:pStyle w:val="20"/>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sz w:val="32"/>
          <w:szCs w:val="24"/>
          <w:highlight w:val="none"/>
          <w14:textFill>
            <w14:solidFill>
              <w14:schemeClr w14:val="tx1"/>
            </w14:solidFill>
          </w14:textFill>
        </w:rPr>
        <w:t>名称：</w:t>
      </w:r>
      <w: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t>_____________________</w:t>
      </w:r>
    </w:p>
    <w:p w14:paraId="435E5BD2">
      <w:pPr>
        <w:pStyle w:val="20"/>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t>地     址：_____________________</w:t>
      </w:r>
      <w:r>
        <w:rPr>
          <w:rFonts w:hint="eastAsia" w:asciiTheme="minorEastAsia" w:hAnsiTheme="minorEastAsia" w:eastAsiaTheme="minorEastAsia" w:cstheme="minorEastAsia"/>
          <w:b/>
          <w:color w:val="000000" w:themeColor="text1"/>
          <w:sz w:val="32"/>
          <w:szCs w:val="32"/>
          <w:highlight w:val="none"/>
          <w:u w:val="single"/>
          <w14:textFill>
            <w14:solidFill>
              <w14:schemeClr w14:val="tx1"/>
            </w14:solidFill>
          </w14:textFill>
        </w:rPr>
        <w:t xml:space="preserve">   </w:t>
      </w:r>
    </w:p>
    <w:p w14:paraId="20E49A4B">
      <w:pPr>
        <w:jc w:val="center"/>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二</w:t>
      </w:r>
      <w:r>
        <w:rPr>
          <w:rFonts w:hint="eastAsia" w:asciiTheme="minorEastAsia" w:hAnsiTheme="minorEastAsia" w:eastAsiaTheme="minorEastAsia" w:cstheme="minorEastAsia"/>
          <w:b/>
          <w:color w:val="000000" w:themeColor="text1"/>
          <w:sz w:val="32"/>
          <w:highlight w:val="none"/>
          <w:lang w:val="en-US" w:eastAsia="zh-CN"/>
          <w14:textFill>
            <w14:solidFill>
              <w14:schemeClr w14:val="tx1"/>
            </w14:solidFill>
          </w14:textFill>
        </w:rPr>
        <w:t>〇</w:t>
      </w: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 xml:space="preserve">   年  月  日</w:t>
      </w:r>
    </w:p>
    <w:p w14:paraId="709DF09F">
      <w:pPr>
        <w:pStyle w:val="20"/>
        <w:adjustRightInd w:val="0"/>
        <w:snapToGrid w:val="0"/>
        <w:spacing w:before="156" w:beforeLines="50" w:line="360" w:lineRule="exact"/>
        <w:jc w:val="center"/>
        <w:rPr>
          <w:rFonts w:hint="eastAsia" w:asciiTheme="minorEastAsia" w:hAnsiTheme="minorEastAsia" w:eastAsiaTheme="minorEastAsia" w:cs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br w:type="page"/>
      </w:r>
      <w:r>
        <w:rPr>
          <w:rFonts w:hint="eastAsia" w:asciiTheme="minorEastAsia" w:hAnsiTheme="minorEastAsia" w:eastAsiaTheme="minorEastAsia" w:cstheme="minorEastAsia"/>
          <w:b/>
          <w:color w:val="000000" w:themeColor="text1"/>
          <w:sz w:val="32"/>
          <w:highlight w:val="none"/>
          <w14:textFill>
            <w14:solidFill>
              <w14:schemeClr w14:val="tx1"/>
            </w14:solidFill>
          </w14:textFill>
        </w:rPr>
        <w:t>目  录</w:t>
      </w:r>
    </w:p>
    <w:p w14:paraId="5B9995A0">
      <w:pPr>
        <w:pStyle w:val="20"/>
        <w:adjustRightInd w:val="0"/>
        <w:snapToGrid w:val="0"/>
        <w:spacing w:before="156" w:beforeLines="50" w:line="300" w:lineRule="exact"/>
        <w:jc w:val="cente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                                                                                                                                                                                                                                                                                                                                                                                                                                                                                                                                                                                                                                                                                                       </w:t>
      </w:r>
    </w:p>
    <w:p w14:paraId="02DA783C">
      <w:pPr>
        <w:pStyle w:val="20"/>
        <w:adjustRightInd w:val="0"/>
        <w:snapToGrid w:val="0"/>
        <w:spacing w:before="156" w:beforeLines="50" w:line="300" w:lineRule="exact"/>
        <w:jc w:val="cente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1B23C3C">
      <w:pPr>
        <w:pStyle w:val="20"/>
        <w:adjustRightInd w:val="0"/>
        <w:snapToGrid w:val="0"/>
        <w:spacing w:before="156" w:beforeLines="50" w:line="300" w:lineRule="exact"/>
        <w:jc w:val="cente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评标索引</w:t>
      </w:r>
    </w:p>
    <w:p w14:paraId="72F64334">
      <w:pPr>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（注：此表按照招标文件中评分办法逐项填写）</w:t>
      </w:r>
    </w:p>
    <w:p w14:paraId="069AD3A4">
      <w:pPr>
        <w:pStyle w:val="17"/>
        <w:ind w:left="1260"/>
        <w:rPr>
          <w:rFonts w:hint="eastAsia" w:asciiTheme="minorEastAsia" w:hAnsiTheme="minorEastAsia" w:eastAsiaTheme="minorEastAsia" w:cstheme="minorEastAsia"/>
          <w:color w:val="000000" w:themeColor="text1"/>
          <w:highlight w:val="none"/>
          <w14:textFill>
            <w14:solidFill>
              <w14:schemeClr w14:val="tx1"/>
            </w14:solidFill>
          </w14:textFill>
        </w:rPr>
      </w:pPr>
    </w:p>
    <w:tbl>
      <w:tblPr>
        <w:tblStyle w:val="37"/>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177"/>
        <w:gridCol w:w="3513"/>
      </w:tblGrid>
      <w:tr w14:paraId="2593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4764EF4">
            <w:pPr>
              <w:pStyle w:val="79"/>
              <w:shd w:val="clear" w:color="auto" w:fill="FFFFFF"/>
              <w:spacing w:line="265" w:lineRule="atLeast"/>
              <w:ind w:left="420" w:firstLine="0" w:firstLineChars="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评审项目</w:t>
            </w:r>
          </w:p>
        </w:tc>
        <w:tc>
          <w:tcPr>
            <w:tcW w:w="3177" w:type="dxa"/>
            <w:tcBorders>
              <w:top w:val="single" w:color="auto" w:sz="4" w:space="0"/>
              <w:left w:val="single" w:color="auto" w:sz="4" w:space="0"/>
              <w:bottom w:val="single" w:color="auto" w:sz="4" w:space="0"/>
              <w:right w:val="single" w:color="auto" w:sz="4" w:space="0"/>
            </w:tcBorders>
            <w:vAlign w:val="center"/>
          </w:tcPr>
          <w:p w14:paraId="1302AC52">
            <w:pPr>
              <w:pStyle w:val="79"/>
              <w:shd w:val="clear" w:color="auto" w:fill="FFFFFF"/>
              <w:spacing w:line="265" w:lineRule="atLeast"/>
              <w:ind w:firstLine="0" w:firstLineChars="0"/>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评审要求</w:t>
            </w:r>
          </w:p>
        </w:tc>
        <w:tc>
          <w:tcPr>
            <w:tcW w:w="3513" w:type="dxa"/>
            <w:tcBorders>
              <w:top w:val="single" w:color="auto" w:sz="4" w:space="0"/>
              <w:left w:val="single" w:color="auto" w:sz="4" w:space="0"/>
              <w:bottom w:val="single" w:color="auto" w:sz="4" w:space="0"/>
              <w:right w:val="single" w:color="auto" w:sz="4" w:space="0"/>
            </w:tcBorders>
            <w:vAlign w:val="center"/>
          </w:tcPr>
          <w:p w14:paraId="1A34628A">
            <w:pPr>
              <w:pStyle w:val="79"/>
              <w:shd w:val="clear" w:color="auto" w:fill="FFFFFF"/>
              <w:spacing w:line="265" w:lineRule="atLeast"/>
              <w:ind w:firstLine="0" w:firstLineChars="0"/>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在投标文件中的页码位置</w:t>
            </w:r>
          </w:p>
        </w:tc>
      </w:tr>
      <w:tr w14:paraId="5CB6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9C0A454">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1F7A4A4B">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3A4C6874">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5666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467CB2C">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4D445CB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75393AC0">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0C56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AF8E3B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0E31E958">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4BD78FE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74C2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11F6FC7">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4BE01131">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01FE04C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491E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F1E82BB">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4EF2A136">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673DDE9C">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4C6F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1B9B4BBF">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64DA4CDF">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3ABCC852">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25C9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5A842B8">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6F146799">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2D04DA2A">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7374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1F4D7885">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5622D852">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0EEB882E">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5239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2B37C1E">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79BBF027">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1B430257">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52DD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568714D">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45C29A25">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668DBEAC">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0282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46ADCFA">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1947494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1020B03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4019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0050A5E">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19F838CD">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444EE7EF">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62C1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88919F4">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47B6FE98">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74C955A1">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71FC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371FF25">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0F31386A">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5D219ED3">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r w14:paraId="0BE4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758AFF2">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177" w:type="dxa"/>
            <w:tcBorders>
              <w:top w:val="single" w:color="auto" w:sz="4" w:space="0"/>
              <w:left w:val="single" w:color="auto" w:sz="4" w:space="0"/>
              <w:bottom w:val="single" w:color="auto" w:sz="4" w:space="0"/>
              <w:right w:val="single" w:color="auto" w:sz="4" w:space="0"/>
            </w:tcBorders>
            <w:vAlign w:val="center"/>
          </w:tcPr>
          <w:p w14:paraId="65033DF7">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14:paraId="7ADB3ADB">
            <w:pPr>
              <w:pStyle w:val="79"/>
              <w:shd w:val="clear" w:color="auto" w:fill="FFFFFF"/>
              <w:spacing w:line="265" w:lineRule="atLeast"/>
              <w:ind w:left="420" w:firstLine="482"/>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tc>
      </w:tr>
    </w:tbl>
    <w:p w14:paraId="3AEF7357">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88"/>
    <w:p w14:paraId="0085A650">
      <w:pPr>
        <w:pStyle w:val="34"/>
        <w:numPr>
          <w:ilvl w:val="0"/>
          <w:numId w:val="4"/>
        </w:numPr>
        <w:spacing w:before="0" w:line="280" w:lineRule="exact"/>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pPr>
      <w:r>
        <w:rPr>
          <w:rFonts w:hint="eastAsia" w:asciiTheme="minorEastAsia" w:hAnsiTheme="minorEastAsia" w:eastAsiaTheme="minorEastAsia" w:cstheme="minorEastAsia"/>
          <w:b w:val="0"/>
          <w:color w:val="000000" w:themeColor="text1"/>
          <w:sz w:val="24"/>
          <w:highlight w:val="none"/>
          <w14:textFill>
            <w14:solidFill>
              <w14:schemeClr w14:val="tx1"/>
            </w14:solidFill>
          </w14:textFill>
        </w:rPr>
        <w:br w:type="page"/>
      </w:r>
      <w:bookmarkStart w:id="490" w:name="_Toc107246274"/>
      <w:bookmarkStart w:id="491" w:name="_Toc104560897"/>
      <w:bookmarkStart w:id="492" w:name="_Toc103848582"/>
      <w:bookmarkStart w:id="493" w:name="_Toc27267"/>
      <w:bookmarkStart w:id="494" w:name="_Toc1044529694"/>
      <w:bookmarkStart w:id="495" w:name="_Toc3551"/>
      <w:bookmarkStart w:id="496" w:name="_Toc104560893"/>
      <w:r>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t>价格及商务部分</w:t>
      </w:r>
      <w:bookmarkEnd w:id="490"/>
      <w:bookmarkEnd w:id="491"/>
      <w:bookmarkEnd w:id="492"/>
      <w:bookmarkEnd w:id="493"/>
      <w:bookmarkEnd w:id="494"/>
      <w:bookmarkEnd w:id="495"/>
    </w:p>
    <w:p w14:paraId="2C895217">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527D46E9">
      <w:pPr>
        <w:pStyle w:val="34"/>
        <w:spacing w:before="0" w:line="280" w:lineRule="exact"/>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pPr>
      <w:bookmarkStart w:id="497" w:name="_Toc7198"/>
      <w:bookmarkStart w:id="498" w:name="_Toc26778"/>
      <w:bookmarkStart w:id="499" w:name="_Toc107246275"/>
      <w:bookmarkStart w:id="500" w:name="_Toc1879236480"/>
      <w:r>
        <w:rPr>
          <w:rFonts w:hint="eastAsia" w:asciiTheme="minorEastAsia" w:hAnsiTheme="minorEastAsia" w:eastAsiaTheme="minorEastAsia" w:cstheme="minorEastAsia"/>
          <w:b w:val="0"/>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t>投标函</w:t>
      </w:r>
      <w:bookmarkEnd w:id="496"/>
      <w:bookmarkEnd w:id="497"/>
      <w:bookmarkEnd w:id="498"/>
      <w:bookmarkEnd w:id="499"/>
      <w:bookmarkEnd w:id="500"/>
    </w:p>
    <w:p w14:paraId="20BD8559">
      <w:pPr>
        <w:adjustRightInd w:val="0"/>
        <w:snapToGrid w:val="0"/>
        <w:spacing w:before="156" w:beforeLines="50" w:line="36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501" w:name="_Toc103848580"/>
      <w:bookmarkStart w:id="502" w:name="_Toc96347902"/>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（采购人）：</w:t>
      </w:r>
    </w:p>
    <w:p w14:paraId="755637B2">
      <w:pPr>
        <w:adjustRightInd w:val="0"/>
        <w:snapToGrid w:val="0"/>
        <w:spacing w:before="156" w:beforeLines="5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全称)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（授权代表姓名）   （职位）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为全权代表，参加贵方组织的</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（项目名称、项目编号）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投标的有关活动，并对此项目进行投标。</w:t>
      </w:r>
    </w:p>
    <w:p w14:paraId="7C86C507">
      <w:pPr>
        <w:adjustRightInd w:val="0"/>
        <w:snapToGrid w:val="0"/>
        <w:spacing w:before="156" w:beforeLines="5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为此：</w:t>
      </w:r>
    </w:p>
    <w:p w14:paraId="105CDBC0">
      <w:pPr>
        <w:pStyle w:val="32"/>
        <w:spacing w:after="0" w:line="360" w:lineRule="exact"/>
        <w:ind w:firstLine="42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1、提供</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须知规定的全部投标文件：正本1份，副本</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份，电子版文件</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份。</w:t>
      </w:r>
    </w:p>
    <w:p w14:paraId="3F07C152">
      <w:pPr>
        <w:pStyle w:val="32"/>
        <w:spacing w:after="0" w:line="360" w:lineRule="exact"/>
        <w:ind w:firstLine="42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2、单独密封的开标一览表（含分项报价表，如有）</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份。</w:t>
      </w:r>
    </w:p>
    <w:p w14:paraId="7B53450B">
      <w:pPr>
        <w:pStyle w:val="32"/>
        <w:spacing w:after="0" w:line="360" w:lineRule="exact"/>
        <w:ind w:firstLine="42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3、我方将按采购文件的规定履行全部责任和义务。</w:t>
      </w:r>
    </w:p>
    <w:p w14:paraId="0475D904">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4、我方已详细审查全部采购文件，我们完全理解并同意</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放弃对采购文件提出质疑或争议的权利。</w:t>
      </w:r>
    </w:p>
    <w:p w14:paraId="5EF6A96C">
      <w:pPr>
        <w:pStyle w:val="32"/>
        <w:spacing w:after="0" w:line="360" w:lineRule="exact"/>
        <w:ind w:firstLine="42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5、本投标有效期为自投标日起</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个日历日。</w:t>
      </w:r>
    </w:p>
    <w:p w14:paraId="1EAE56F2">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6、如果在规定的提交投标文件截止时间后，我方在投标有效期内撤销投标文件，投标保证金将不予退还。</w:t>
      </w:r>
    </w:p>
    <w:p w14:paraId="72761B45">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7、我方同意贵方查询或调查我们提交的与本投标文件有关的声明、文件和资料，并同意在贵方的要求下提供相关文件或证书的原件及其他相关书面材料。</w:t>
      </w:r>
    </w:p>
    <w:p w14:paraId="19AADD41">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8、我方在法律和财务上独立、合法运作并独立于采购方，与采购人为本项目所委托的咨询单位或其附属机构没有直接或间接的任何关联。</w:t>
      </w:r>
    </w:p>
    <w:p w14:paraId="302B34E2">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9、我方承诺：采购人在其本国使用我方提供的货物及服务时，不存在任何已知的不合法的情形，也不存在任何已知的与第三方专利权、著作权、商标权或工业设计权相关的任何争议。如果有任何因采购人使用我方提供的货物及服务而提起的侵权指控，我方将依法承担全部责任。</w:t>
      </w:r>
    </w:p>
    <w:p w14:paraId="5C06F8EC">
      <w:pPr>
        <w:pStyle w:val="32"/>
        <w:spacing w:after="0" w:line="360" w:lineRule="exact"/>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10、</w:t>
      </w:r>
      <w:r>
        <w:rPr>
          <w:rFonts w:hint="eastAsia" w:asciiTheme="minorEastAsia" w:hAnsiTheme="minorEastAsia" w:eastAsiaTheme="minorEastAsia" w:cstheme="minorEastAsia"/>
          <w:color w:val="000000" w:themeColor="text1"/>
          <w:highlight w:val="none"/>
          <w14:textFill>
            <w14:solidFill>
              <w14:schemeClr w14:val="tx1"/>
            </w14:solidFill>
          </w14:textFill>
        </w:rPr>
        <w:t>我方保证投标文件所提供的全部资料真实可靠，同意提供贵方要求的与该项投标有关的数据或资料，完全理解贵方不一定接受最低价的投标或收到的任何投标。</w:t>
      </w:r>
    </w:p>
    <w:p w14:paraId="0E2B8CB0">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11、与本投标有关的一切往来通讯请寄：</w:t>
      </w:r>
    </w:p>
    <w:p w14:paraId="4BF4CC27">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地址：</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6984EC0E">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邮编：</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5237974F">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联系人：</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7202AB56">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手机：</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504ABC15">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邮箱：</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621D7DE5">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p>
    <w:p w14:paraId="7AE7AEDF">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法定代表人（单位负责人）或其授权代表（签字或盖章）：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546D9AC3">
      <w:pPr>
        <w:spacing w:line="400" w:lineRule="exact"/>
        <w:ind w:firstLine="367" w:firstLineChars="175"/>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日期：______年</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日</w:t>
      </w:r>
    </w:p>
    <w:p w14:paraId="103A60EB">
      <w:pPr>
        <w:pStyle w:val="34"/>
        <w:spacing w:before="0"/>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val="0"/>
          <w:color w:val="000000" w:themeColor="text1"/>
          <w:highlight w:val="none"/>
          <w14:textFill>
            <w14:solidFill>
              <w14:schemeClr w14:val="tx1"/>
            </w14:solidFill>
          </w14:textFill>
        </w:rPr>
        <w:br w:type="page"/>
      </w:r>
      <w:bookmarkStart w:id="503" w:name="_Toc104560898"/>
      <w:bookmarkStart w:id="504" w:name="_Toc103848583"/>
      <w:bookmarkStart w:id="505" w:name="_Toc30249"/>
      <w:bookmarkStart w:id="506" w:name="_Toc13776"/>
      <w:bookmarkStart w:id="507" w:name="_Toc107246276"/>
      <w:bookmarkStart w:id="508" w:name="_Toc1285522931"/>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（2）</w:t>
      </w:r>
      <w:bookmarkEnd w:id="503"/>
      <w:bookmarkEnd w:id="504"/>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法定代表人（单位负责人）身份证明</w:t>
      </w:r>
      <w:bookmarkEnd w:id="505"/>
      <w:bookmarkEnd w:id="506"/>
      <w:bookmarkEnd w:id="507"/>
      <w:bookmarkEnd w:id="508"/>
    </w:p>
    <w:p w14:paraId="08D87BF3">
      <w:pPr>
        <w:pStyle w:val="13"/>
        <w:tabs>
          <w:tab w:val="left" w:pos="4228"/>
        </w:tabs>
        <w:ind w:left="1236" w:hanging="396"/>
        <w:rPr>
          <w:rFonts w:hint="eastAsia" w:asciiTheme="minorEastAsia" w:hAnsiTheme="minorEastAsia" w:eastAsiaTheme="minorEastAsia" w:cstheme="minorEastAsia"/>
          <w:color w:val="000000" w:themeColor="text1"/>
          <w:spacing w:val="-1"/>
          <w:highlight w:val="none"/>
          <w14:textFill>
            <w14:solidFill>
              <w14:schemeClr w14:val="tx1"/>
            </w14:solidFill>
          </w14:textFill>
        </w:rPr>
      </w:pPr>
    </w:p>
    <w:p w14:paraId="40791221">
      <w:pPr>
        <w:pStyle w:val="13"/>
        <w:tabs>
          <w:tab w:val="left" w:pos="4228"/>
        </w:tabs>
        <w:ind w:left="1236" w:hanging="396"/>
        <w:rPr>
          <w:rFonts w:hint="eastAsia" w:asciiTheme="minorEastAsia" w:hAnsiTheme="minorEastAsia" w:eastAsiaTheme="minorEastAsia" w:cstheme="minorEastAsia"/>
          <w:color w:val="000000" w:themeColor="text1"/>
          <w:spacing w:val="-1"/>
          <w:highlight w:val="none"/>
          <w14:textFill>
            <w14:solidFill>
              <w14:schemeClr w14:val="tx1"/>
            </w14:solidFill>
          </w14:textFill>
        </w:rPr>
      </w:pPr>
    </w:p>
    <w:p w14:paraId="50E30FAC">
      <w:pPr>
        <w:pStyle w:val="13"/>
        <w:tabs>
          <w:tab w:val="left" w:pos="4228"/>
        </w:tabs>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名</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称</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ab/>
      </w:r>
    </w:p>
    <w:p w14:paraId="5A3EF01C">
      <w:pPr>
        <w:pStyle w:val="13"/>
        <w:tabs>
          <w:tab w:val="left" w:pos="2712"/>
          <w:tab w:val="left" w:pos="4183"/>
          <w:tab w:val="left" w:pos="5652"/>
          <w:tab w:val="left" w:pos="7169"/>
        </w:tabs>
        <w:spacing w:before="170"/>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姓名</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3"/>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highlight w:val="none"/>
          <w14:textFill>
            <w14:solidFill>
              <w14:schemeClr w14:val="tx1"/>
            </w14:solidFill>
          </w14:textFill>
        </w:rPr>
        <w:t>性别</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3"/>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highlight w:val="none"/>
          <w14:textFill>
            <w14:solidFill>
              <w14:schemeClr w14:val="tx1"/>
            </w14:solidFill>
          </w14:textFill>
        </w:rPr>
        <w:t>年</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龄</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pacing w:val="-1"/>
          <w:highlight w:val="none"/>
          <w14:textFill>
            <w14:solidFill>
              <w14:schemeClr w14:val="tx1"/>
            </w14:solidFill>
          </w14:textFill>
        </w:rPr>
        <w:t>职</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务</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ab/>
      </w:r>
    </w:p>
    <w:p w14:paraId="3AF1CFD1">
      <w:pPr>
        <w:pStyle w:val="13"/>
        <w:tabs>
          <w:tab w:val="left" w:pos="3132"/>
        </w:tabs>
        <w:spacing w:before="173"/>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系</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名</w:t>
      </w:r>
      <w:r>
        <w:rPr>
          <w:rFonts w:hint="eastAsia" w:asciiTheme="minorEastAsia" w:hAnsiTheme="minorEastAsia" w:eastAsiaTheme="minorEastAsia" w:cstheme="minorEastAsia"/>
          <w:color w:val="000000" w:themeColor="text1"/>
          <w:highlight w:val="none"/>
          <w14:textFill>
            <w14:solidFill>
              <w14:schemeClr w14:val="tx1"/>
            </w14:solidFill>
          </w14:textFill>
        </w:rPr>
        <w:t>称</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的</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法定</w:t>
      </w:r>
      <w:r>
        <w:rPr>
          <w:rFonts w:hint="eastAsia" w:asciiTheme="minorEastAsia" w:hAnsiTheme="minorEastAsia" w:eastAsiaTheme="minorEastAsia" w:cstheme="minorEastAsia"/>
          <w:color w:val="000000" w:themeColor="text1"/>
          <w:highlight w:val="none"/>
          <w14:textFill>
            <w14:solidFill>
              <w14:schemeClr w14:val="tx1"/>
            </w14:solidFill>
          </w14:textFill>
        </w:rPr>
        <w:t>代表</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人</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单</w:t>
      </w:r>
      <w:r>
        <w:rPr>
          <w:rFonts w:hint="eastAsia" w:asciiTheme="minorEastAsia" w:hAnsiTheme="minorEastAsia" w:eastAsiaTheme="minorEastAsia" w:cstheme="minorEastAsia"/>
          <w:color w:val="000000" w:themeColor="text1"/>
          <w:highlight w:val="none"/>
          <w14:textFill>
            <w14:solidFill>
              <w14:schemeClr w14:val="tx1"/>
            </w14:solidFill>
          </w14:textFill>
        </w:rPr>
        <w:t>位</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负</w:t>
      </w:r>
      <w:r>
        <w:rPr>
          <w:rFonts w:hint="eastAsia" w:asciiTheme="minorEastAsia" w:hAnsiTheme="minorEastAsia" w:eastAsiaTheme="minorEastAsia" w:cstheme="minorEastAsia"/>
          <w:color w:val="000000" w:themeColor="text1"/>
          <w:highlight w:val="none"/>
          <w14:textFill>
            <w14:solidFill>
              <w14:schemeClr w14:val="tx1"/>
            </w14:solidFill>
          </w14:textFill>
        </w:rPr>
        <w:t>责</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人）。</w:t>
      </w:r>
    </w:p>
    <w:p w14:paraId="62E15C9C">
      <w:pPr>
        <w:pStyle w:val="13"/>
        <w:spacing w:before="170"/>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特此证明。</w:t>
      </w:r>
    </w:p>
    <w:p w14:paraId="41831455">
      <w:pPr>
        <w:pStyle w:val="13"/>
        <w:ind w:left="1260"/>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p w14:paraId="4AD48849">
      <w:pPr>
        <w:pStyle w:val="13"/>
        <w:spacing w:before="10"/>
        <w:ind w:left="1260"/>
        <w:rPr>
          <w:rFonts w:hint="eastAsia" w:asciiTheme="minorEastAsia" w:hAnsiTheme="minorEastAsia" w:eastAsiaTheme="minorEastAsia" w:cstheme="minorEastAsia"/>
          <w:color w:val="000000" w:themeColor="text1"/>
          <w:sz w:val="27"/>
          <w:highlight w:val="none"/>
          <w14:textFill>
            <w14:solidFill>
              <w14:schemeClr w14:val="tx1"/>
            </w14:solidFill>
          </w14:textFill>
        </w:rPr>
      </w:pPr>
    </w:p>
    <w:p w14:paraId="16B04F1D">
      <w:pPr>
        <w:spacing w:line="48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附：法定代表人（单位负责人）有效期内的身份证复印件（正反面）</w:t>
      </w:r>
    </w:p>
    <w:tbl>
      <w:tblPr>
        <w:tblStyle w:val="37"/>
        <w:tblW w:w="467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tblGrid>
      <w:tr w14:paraId="50C2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9" w:type="dxa"/>
            <w:vAlign w:val="center"/>
          </w:tcPr>
          <w:p w14:paraId="27D98233">
            <w:pPr>
              <w:pStyle w:val="13"/>
              <w:jc w:val="center"/>
              <w:rPr>
                <w:rFonts w:hint="eastAsia" w:asciiTheme="minorEastAsia" w:hAnsiTheme="minorEastAsia" w:eastAsiaTheme="minorEastAsia" w:cstheme="minorEastAsia"/>
                <w:i/>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身份证正面</w:t>
            </w:r>
          </w:p>
        </w:tc>
      </w:tr>
    </w:tbl>
    <w:p w14:paraId="09B36078">
      <w:pPr>
        <w:pStyle w:val="13"/>
        <w:ind w:left="1260"/>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tbl>
      <w:tblPr>
        <w:tblStyle w:val="37"/>
        <w:tblpPr w:leftFromText="180" w:rightFromText="180" w:vertAnchor="text" w:tblpX="4628" w:tblpY="-34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001D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7" w:hRule="atLeast"/>
        </w:trPr>
        <w:tc>
          <w:tcPr>
            <w:tcW w:w="4646" w:type="dxa"/>
            <w:vAlign w:val="center"/>
          </w:tcPr>
          <w:p w14:paraId="10879700">
            <w:pPr>
              <w:pStyle w:val="13"/>
              <w:jc w:val="center"/>
              <w:rPr>
                <w:rFonts w:hint="eastAsia" w:asciiTheme="minorEastAsia" w:hAnsiTheme="minorEastAsia" w:eastAsiaTheme="minorEastAsia" w:cstheme="minorEastAsia"/>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身份证反面</w:t>
            </w:r>
          </w:p>
        </w:tc>
      </w:tr>
    </w:tbl>
    <w:p w14:paraId="043A6687">
      <w:pPr>
        <w:pStyle w:val="13"/>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p w14:paraId="6A420B60">
      <w:pPr>
        <w:pStyle w:val="13"/>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p w14:paraId="68F73F85">
      <w:pPr>
        <w:pStyle w:val="13"/>
        <w:ind w:left="1260"/>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p w14:paraId="6D12D825">
      <w:pPr>
        <w:pStyle w:val="13"/>
        <w:spacing w:before="1"/>
        <w:ind w:left="1260"/>
        <w:rPr>
          <w:rFonts w:hint="eastAsia" w:asciiTheme="minorEastAsia" w:hAnsiTheme="minorEastAsia" w:eastAsiaTheme="minorEastAsia" w:cstheme="minorEastAsia"/>
          <w:color w:val="000000" w:themeColor="text1"/>
          <w:sz w:val="22"/>
          <w:highlight w:val="none"/>
          <w14:textFill>
            <w14:solidFill>
              <w14:schemeClr w14:val="tx1"/>
            </w14:solidFill>
          </w14:textFill>
        </w:rPr>
      </w:pPr>
    </w:p>
    <w:p w14:paraId="1CF5636A">
      <w:pPr>
        <w:pStyle w:val="13"/>
        <w:tabs>
          <w:tab w:val="left" w:pos="7977"/>
        </w:tabs>
        <w:ind w:left="1260" w:firstLine="3060" w:firstLineChars="15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ab/>
      </w:r>
    </w:p>
    <w:p w14:paraId="3810BD66">
      <w:pP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日期：______年</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w:t>
      </w:r>
    </w:p>
    <w:p w14:paraId="528BA271">
      <w:pPr>
        <w:pStyle w:val="34"/>
        <w:spacing w:before="0"/>
        <w:rPr>
          <w:rFonts w:hint="eastAsia" w:asciiTheme="minorEastAsia" w:hAnsiTheme="minorEastAsia" w:eastAsiaTheme="minorEastAsia" w:cstheme="minorEastAsia"/>
          <w:bCs w:val="0"/>
          <w:color w:val="000000" w:themeColor="text1"/>
          <w:sz w:val="2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page"/>
      </w:r>
      <w:bookmarkStart w:id="509" w:name="_Toc103848584"/>
      <w:bookmarkStart w:id="510" w:name="_Toc107246277"/>
      <w:bookmarkStart w:id="511" w:name="_Toc104560899"/>
      <w:bookmarkStart w:id="512" w:name="_Toc2098412497"/>
      <w:bookmarkStart w:id="513" w:name="_Toc4388"/>
      <w:bookmarkStart w:id="514" w:name="_Toc15850"/>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（3-1）法定代表人（单位负责人）授权委托书</w:t>
      </w:r>
      <w:bookmarkEnd w:id="509"/>
      <w:bookmarkEnd w:id="510"/>
      <w:bookmarkEnd w:id="511"/>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（适用于法人/非法人）</w:t>
      </w:r>
      <w:bookmarkEnd w:id="512"/>
      <w:bookmarkEnd w:id="513"/>
      <w:bookmarkEnd w:id="514"/>
    </w:p>
    <w:p w14:paraId="56B952C4">
      <w:pPr>
        <w:jc w:val="cente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p>
    <w:p w14:paraId="760677D4">
      <w:pPr>
        <w:spacing w:line="30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本授权书声明：注册于</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（国家或地区的名称）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（单位名称）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的在法定代表人（签字或盖章）处签字的</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（法定代表人姓名、职务）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代表本单位授权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（单位名称）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的在授权代表（签字）处签字的</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（授权代表的姓名、职务）（身份证号码：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为本单位的合法代理人，就</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（项目名称、项目编号）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，以本单位名义处理一切与之相关的事务，其后果由我单位承担。</w:t>
      </w:r>
    </w:p>
    <w:p w14:paraId="260555AB">
      <w:pPr>
        <w:spacing w:line="30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代理人无转委托权，特此委托。</w:t>
      </w:r>
    </w:p>
    <w:p w14:paraId="67F0BE58">
      <w:pPr>
        <w:spacing w:line="30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委托期限：自本授权委托书签署之日起至投标有效期届满之日止。</w:t>
      </w:r>
    </w:p>
    <w:p w14:paraId="49839131">
      <w:pPr>
        <w:spacing w:line="30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名称（公章）：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74C46079">
      <w:pPr>
        <w:spacing w:line="300" w:lineRule="exact"/>
        <w:ind w:firstLine="420" w:firstLineChars="2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法定代表人（签字或盖章）：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10BE93A1">
      <w:pPr>
        <w:pStyle w:val="32"/>
        <w:spacing w:after="0" w:line="30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身份证号码：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09B52957">
      <w:pPr>
        <w:spacing w:line="300" w:lineRule="exact"/>
        <w:ind w:firstLine="420" w:firstLineChars="2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授权代表（签字）：</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08E7A6C8">
      <w:pPr>
        <w:pStyle w:val="32"/>
        <w:spacing w:after="0" w:line="30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身份证号码：</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55D247C7">
      <w:pPr>
        <w:pStyle w:val="32"/>
        <w:spacing w:after="0" w:line="30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26BE71E">
      <w:pPr>
        <w:spacing w:line="48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附：法定代表人（单位负责人）有效期内的</w:t>
      </w:r>
      <w:r>
        <w:rPr>
          <w:rFonts w:hint="eastAsia" w:asciiTheme="minorEastAsia" w:hAnsiTheme="minorEastAsia" w:eastAsiaTheme="minorEastAsia" w:cstheme="minorEastAsia"/>
          <w:color w:val="000000" w:themeColor="text1"/>
          <w:highlight w:val="none"/>
          <w14:textFill>
            <w14:solidFill>
              <w14:schemeClr w14:val="tx1"/>
            </w14:solidFill>
          </w14:textFill>
        </w:rPr>
        <w:t>身份证复印件（正反面）</w:t>
      </w:r>
    </w:p>
    <w:tbl>
      <w:tblPr>
        <w:tblStyle w:val="37"/>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6357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008CFD33">
            <w:pPr>
              <w:pStyle w:val="13"/>
              <w:spacing w:line="300" w:lineRule="exact"/>
              <w:jc w:val="center"/>
              <w:rPr>
                <w:rFonts w:hint="eastAsia" w:asciiTheme="minorEastAsia" w:hAnsiTheme="minorEastAsia" w:eastAsiaTheme="minorEastAsia" w:cstheme="minorEastAsia"/>
                <w:i/>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身份证正面</w:t>
            </w:r>
          </w:p>
        </w:tc>
        <w:tc>
          <w:tcPr>
            <w:tcW w:w="284" w:type="dxa"/>
            <w:tcBorders>
              <w:top w:val="nil"/>
              <w:bottom w:val="nil"/>
            </w:tcBorders>
          </w:tcPr>
          <w:p w14:paraId="0079C643">
            <w:pPr>
              <w:widowControl/>
              <w:spacing w:line="300" w:lineRule="exact"/>
              <w:jc w:val="left"/>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tc>
        <w:tc>
          <w:tcPr>
            <w:tcW w:w="4677" w:type="dxa"/>
            <w:vAlign w:val="center"/>
          </w:tcPr>
          <w:p w14:paraId="0F7834E9">
            <w:pPr>
              <w:widowControl/>
              <w:spacing w:line="300" w:lineRule="exact"/>
              <w:jc w:val="center"/>
              <w:rPr>
                <w:rFonts w:hint="eastAsia" w:asciiTheme="minorEastAsia" w:hAnsiTheme="minorEastAsia" w:eastAsiaTheme="minorEastAsia" w:cstheme="minorEastAsia"/>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身份证反面</w:t>
            </w:r>
          </w:p>
        </w:tc>
      </w:tr>
    </w:tbl>
    <w:p w14:paraId="1919A67B">
      <w:pPr>
        <w:spacing w:line="48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授权代表有效期内的身份证复印件</w:t>
      </w:r>
      <w:r>
        <w:rPr>
          <w:rFonts w:hint="eastAsia" w:asciiTheme="minorEastAsia" w:hAnsiTheme="minorEastAsia" w:eastAsiaTheme="minorEastAsia" w:cstheme="minorEastAsia"/>
          <w:color w:val="000000" w:themeColor="text1"/>
          <w:highlight w:val="none"/>
          <w14:textFill>
            <w14:solidFill>
              <w14:schemeClr w14:val="tx1"/>
            </w14:solidFill>
          </w14:textFill>
        </w:rPr>
        <w:t>（正反面）</w:t>
      </w:r>
    </w:p>
    <w:tbl>
      <w:tblPr>
        <w:tblStyle w:val="37"/>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0FF7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486E18E3">
            <w:pPr>
              <w:pStyle w:val="13"/>
              <w:spacing w:line="300" w:lineRule="exact"/>
              <w:jc w:val="center"/>
              <w:rPr>
                <w:rFonts w:hint="eastAsia" w:asciiTheme="minorEastAsia" w:hAnsiTheme="minorEastAsia" w:eastAsiaTheme="minorEastAsia" w:cstheme="minorEastAsia"/>
                <w:i/>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身份证正面</w:t>
            </w:r>
          </w:p>
        </w:tc>
        <w:tc>
          <w:tcPr>
            <w:tcW w:w="278" w:type="dxa"/>
            <w:tcBorders>
              <w:top w:val="nil"/>
              <w:bottom w:val="nil"/>
            </w:tcBorders>
          </w:tcPr>
          <w:p w14:paraId="0FC02C01">
            <w:pPr>
              <w:widowControl/>
              <w:spacing w:line="300" w:lineRule="exact"/>
              <w:jc w:val="left"/>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tc>
        <w:tc>
          <w:tcPr>
            <w:tcW w:w="4695" w:type="dxa"/>
            <w:vAlign w:val="center"/>
          </w:tcPr>
          <w:p w14:paraId="316F36D2">
            <w:pPr>
              <w:widowControl/>
              <w:spacing w:line="300" w:lineRule="exact"/>
              <w:jc w:val="center"/>
              <w:rPr>
                <w:rFonts w:hint="eastAsia" w:asciiTheme="minorEastAsia" w:hAnsiTheme="minorEastAsia" w:eastAsiaTheme="minorEastAsia" w:cstheme="minorEastAsia"/>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身份证反面</w:t>
            </w:r>
          </w:p>
        </w:tc>
      </w:tr>
    </w:tbl>
    <w:p w14:paraId="4DD76DE4">
      <w:pPr>
        <w:pStyle w:val="32"/>
        <w:spacing w:line="3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 xml:space="preserve">注： </w:t>
      </w:r>
    </w:p>
    <w:p w14:paraId="6CF6818F">
      <w:pPr>
        <w:pStyle w:val="32"/>
        <w:spacing w:line="3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若</w:t>
      </w:r>
      <w:r>
        <w:rPr>
          <w:rFonts w:hint="eastAsia" w:asciiTheme="minorEastAsia" w:hAnsiTheme="minorEastAsia" w:eastAsiaTheme="minorEastAsia" w:cstheme="minorEastAsia"/>
          <w:b/>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为分公司、分支机构等依法无需设置法定代表人职务的单位（仅当招标文件注明允许上述单位投标时），法定代表人签字处可由单位负责人签署。</w:t>
      </w:r>
    </w:p>
    <w:p w14:paraId="602629E5">
      <w:pPr>
        <w:pStyle w:val="32"/>
        <w:spacing w:line="3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2.若投标文件中签字之处均为法定代表人（单位负责人）本人签署，则可不提供本《授权委托书》，但须提供《法定代表人（单位负责人）身份证明》。</w:t>
      </w:r>
      <w:bookmarkStart w:id="515" w:name="_Toc107246279"/>
      <w:bookmarkStart w:id="516" w:name="_Toc104560895"/>
    </w:p>
    <w:p w14:paraId="65793EFB">
      <w:pPr>
        <w:pStyle w:val="34"/>
        <w:spacing w:before="0"/>
        <w:rPr>
          <w:rFonts w:hint="eastAsia" w:asciiTheme="minorEastAsia" w:hAnsiTheme="minorEastAsia" w:eastAsiaTheme="minorEastAsia" w:cstheme="minorEastAsia"/>
          <w:bCs w:val="0"/>
          <w:color w:val="000000" w:themeColor="text1"/>
          <w:sz w:val="21"/>
          <w:szCs w:val="24"/>
          <w:highlight w:val="none"/>
          <w14:textFill>
            <w14:solidFill>
              <w14:schemeClr w14:val="tx1"/>
            </w14:solidFill>
          </w14:textFill>
        </w:rPr>
      </w:pPr>
      <w:bookmarkStart w:id="517" w:name="_Toc104560900"/>
      <w:bookmarkStart w:id="518" w:name="_Toc17366"/>
      <w:bookmarkStart w:id="519" w:name="_Toc107246278"/>
      <w:bookmarkStart w:id="520" w:name="_Toc103848585"/>
      <w:bookmarkStart w:id="521" w:name="_Toc2042386045"/>
      <w:bookmarkStart w:id="522" w:name="_Toc24209"/>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（3-2）授权委托书（适用于自然人）</w:t>
      </w:r>
      <w:bookmarkEnd w:id="517"/>
      <w:bookmarkEnd w:id="518"/>
      <w:bookmarkEnd w:id="519"/>
      <w:bookmarkEnd w:id="520"/>
      <w:bookmarkEnd w:id="521"/>
      <w:bookmarkEnd w:id="522"/>
    </w:p>
    <w:p w14:paraId="251621C2">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2EC252D">
      <w:pPr>
        <w:spacing w:line="46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本授权书声明：我</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（姓名）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系自然人，现授权在授权代表（签字）处签字的</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（授权代表的姓名）（身份证号码：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为本人的合法代理人，就</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（项目名称、项目编号）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，以本人名义处理一切与之相关的事务，其后果由我本人承担。</w:t>
      </w:r>
    </w:p>
    <w:p w14:paraId="6661417C">
      <w:pPr>
        <w:spacing w:line="4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代理人无转委托权，特此委托。</w:t>
      </w:r>
    </w:p>
    <w:p w14:paraId="39759526">
      <w:pPr>
        <w:spacing w:line="46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委托期限：自本授权委托书签署之日起至投标有效期届满之日止。</w:t>
      </w:r>
    </w:p>
    <w:p w14:paraId="43317BDC">
      <w:pPr>
        <w:spacing w:line="460" w:lineRule="exact"/>
        <w:ind w:firstLine="420" w:firstLineChars="20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自然人姓名（签字）：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207C1B6E">
      <w:pPr>
        <w:pStyle w:val="32"/>
        <w:spacing w:after="0" w:line="4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身份证号码：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7742EFE3">
      <w:pPr>
        <w:spacing w:line="460" w:lineRule="exact"/>
        <w:ind w:firstLine="420" w:firstLineChars="2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授权代表（签字）：</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44E9DF13">
      <w:pPr>
        <w:pStyle w:val="32"/>
        <w:spacing w:after="0" w:line="4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身份证号码：</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32095FC2">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7A2C4FB">
      <w:pPr>
        <w:spacing w:line="48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附：</w:t>
      </w:r>
      <w:r>
        <w:rPr>
          <w:rFonts w:hint="eastAsia" w:asciiTheme="minorEastAsia" w:hAnsiTheme="minorEastAsia" w:eastAsiaTheme="minorEastAsia" w:cstheme="minorEastAsia"/>
          <w:color w:val="000000" w:themeColor="text1"/>
          <w:highlight w:val="none"/>
          <w14:textFill>
            <w14:solidFill>
              <w14:schemeClr w14:val="tx1"/>
            </w14:solidFill>
          </w14:textFill>
        </w:rPr>
        <w:t>自然人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有效期内的</w:t>
      </w:r>
      <w:r>
        <w:rPr>
          <w:rFonts w:hint="eastAsia" w:asciiTheme="minorEastAsia" w:hAnsiTheme="minorEastAsia" w:eastAsiaTheme="minorEastAsia" w:cstheme="minorEastAsia"/>
          <w:color w:val="000000" w:themeColor="text1"/>
          <w:highlight w:val="none"/>
          <w14:textFill>
            <w14:solidFill>
              <w14:schemeClr w14:val="tx1"/>
            </w14:solidFill>
          </w14:textFill>
        </w:rPr>
        <w:t>身份证复印件（正反面）</w:t>
      </w:r>
    </w:p>
    <w:tbl>
      <w:tblPr>
        <w:tblStyle w:val="37"/>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32BE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55E178E6">
            <w:pPr>
              <w:pStyle w:val="13"/>
              <w:jc w:val="center"/>
              <w:rPr>
                <w:rFonts w:hint="eastAsia" w:asciiTheme="minorEastAsia" w:hAnsiTheme="minorEastAsia" w:eastAsiaTheme="minorEastAsia" w:cstheme="minorEastAsia"/>
                <w:i/>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身份证正面</w:t>
            </w:r>
          </w:p>
        </w:tc>
        <w:tc>
          <w:tcPr>
            <w:tcW w:w="284" w:type="dxa"/>
            <w:tcBorders>
              <w:top w:val="nil"/>
              <w:bottom w:val="nil"/>
            </w:tcBorders>
          </w:tcPr>
          <w:p w14:paraId="15E97833">
            <w:pPr>
              <w:widowControl/>
              <w:jc w:val="left"/>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tc>
        <w:tc>
          <w:tcPr>
            <w:tcW w:w="4677" w:type="dxa"/>
            <w:vAlign w:val="center"/>
          </w:tcPr>
          <w:p w14:paraId="6B301991">
            <w:pPr>
              <w:widowControl/>
              <w:jc w:val="center"/>
              <w:rPr>
                <w:rFonts w:hint="eastAsia" w:asciiTheme="minorEastAsia" w:hAnsiTheme="minorEastAsia" w:eastAsiaTheme="minorEastAsia" w:cstheme="minorEastAsia"/>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身份证反面</w:t>
            </w:r>
          </w:p>
        </w:tc>
      </w:tr>
    </w:tbl>
    <w:p w14:paraId="65029F2E">
      <w:pPr>
        <w:pStyle w:val="32"/>
        <w:spacing w:line="360" w:lineRule="auto"/>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授权代表有效期内的身份证复印件（正反面）</w:t>
      </w:r>
    </w:p>
    <w:tbl>
      <w:tblPr>
        <w:tblStyle w:val="37"/>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467C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4624AE70">
            <w:pPr>
              <w:pStyle w:val="13"/>
              <w:jc w:val="center"/>
              <w:rPr>
                <w:rFonts w:hint="eastAsia" w:asciiTheme="minorEastAsia" w:hAnsiTheme="minorEastAsia" w:eastAsiaTheme="minorEastAsia" w:cstheme="minorEastAsia"/>
                <w:i/>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身份证正面</w:t>
            </w:r>
          </w:p>
        </w:tc>
        <w:tc>
          <w:tcPr>
            <w:tcW w:w="278" w:type="dxa"/>
            <w:tcBorders>
              <w:top w:val="nil"/>
              <w:bottom w:val="nil"/>
            </w:tcBorders>
          </w:tcPr>
          <w:p w14:paraId="3EA2CDF7">
            <w:pPr>
              <w:widowControl/>
              <w:jc w:val="left"/>
              <w:rPr>
                <w:rFonts w:hint="eastAsia" w:asciiTheme="minorEastAsia" w:hAnsiTheme="minorEastAsia" w:eastAsiaTheme="minorEastAsia" w:cstheme="minorEastAsia"/>
                <w:color w:val="000000" w:themeColor="text1"/>
                <w:sz w:val="20"/>
                <w:highlight w:val="none"/>
                <w14:textFill>
                  <w14:solidFill>
                    <w14:schemeClr w14:val="tx1"/>
                  </w14:solidFill>
                </w14:textFill>
              </w:rPr>
            </w:pPr>
          </w:p>
        </w:tc>
        <w:tc>
          <w:tcPr>
            <w:tcW w:w="4695" w:type="dxa"/>
            <w:vAlign w:val="center"/>
          </w:tcPr>
          <w:p w14:paraId="08A44211">
            <w:pPr>
              <w:widowControl/>
              <w:jc w:val="center"/>
              <w:rPr>
                <w:rFonts w:hint="eastAsia" w:asciiTheme="minorEastAsia" w:hAnsiTheme="minorEastAsia" w:eastAsiaTheme="minorEastAsia" w:cstheme="minorEastAsia"/>
                <w:color w:val="000000" w:themeColor="text1"/>
                <w:sz w:val="20"/>
                <w:highlight w:val="none"/>
                <w14:textFill>
                  <w14:solidFill>
                    <w14:schemeClr w14:val="tx1"/>
                  </w14:solidFill>
                </w14:textFill>
              </w:rPr>
            </w:pPr>
            <w:r>
              <w:rPr>
                <w:rFonts w:hint="eastAsia" w:asciiTheme="minorEastAsia" w:hAnsiTheme="minorEastAsia" w:eastAsiaTheme="minorEastAsia" w:cstheme="minorEastAsia"/>
                <w:i/>
                <w:color w:val="000000" w:themeColor="text1"/>
                <w:sz w:val="24"/>
                <w:highlight w:val="none"/>
                <w14:textFill>
                  <w14:solidFill>
                    <w14:schemeClr w14:val="tx1"/>
                  </w14:solidFill>
                </w14:textFill>
              </w:rPr>
              <w:t>身份证反面</w:t>
            </w:r>
          </w:p>
        </w:tc>
      </w:tr>
    </w:tbl>
    <w:p w14:paraId="130415E0">
      <w:pPr>
        <w:pStyle w:val="32"/>
        <w:spacing w:line="240" w:lineRule="atLeas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p>
    <w:p w14:paraId="6EBEAD7E">
      <w:pPr>
        <w:pStyle w:val="32"/>
        <w:spacing w:line="240" w:lineRule="atLeas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注：若投标文件中签字之处均为自然人本人签署，则可不提供本《授权委托书》，但须提供《法定代表人（单位负责人）身份证明》。</w:t>
      </w:r>
    </w:p>
    <w:p w14:paraId="727673FF">
      <w:pPr>
        <w:pStyle w:val="34"/>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pPr>
      <w:bookmarkStart w:id="523" w:name="_Toc20244"/>
      <w:bookmarkStart w:id="524" w:name="_Toc3611"/>
      <w:bookmarkStart w:id="525" w:name="_Toc1003644667"/>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（4）开标一览表</w:t>
      </w:r>
      <w:bookmarkEnd w:id="501"/>
      <w:bookmarkEnd w:id="515"/>
      <w:bookmarkEnd w:id="516"/>
      <w:bookmarkEnd w:id="523"/>
      <w:bookmarkEnd w:id="524"/>
      <w:bookmarkEnd w:id="525"/>
    </w:p>
    <w:p w14:paraId="78A8D953">
      <w:pPr>
        <w:spacing w:line="360" w:lineRule="auto"/>
        <w:ind w:left="-120" w:firstLine="210" w:firstLineChars="100"/>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lang w:eastAsia="zh-CN"/>
          <w14:textFill>
            <w14:solidFill>
              <w14:schemeClr w14:val="tx1"/>
            </w14:solidFill>
          </w14:textFill>
        </w:rPr>
        <w:t>中国医学科学院皮肤病医院（中国医学科学院皮肤病研究所）医用冰箱设备采购项目</w:t>
      </w:r>
    </w:p>
    <w:p w14:paraId="6F2F7AB4">
      <w:pPr>
        <w:spacing w:line="360" w:lineRule="auto"/>
        <w:ind w:left="-120" w:firstLine="210" w:firstLineChars="1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lang w:eastAsia="zh-CN"/>
          <w14:textFill>
            <w14:solidFill>
              <w14:schemeClr w14:val="tx1"/>
            </w14:solidFill>
          </w14:textFill>
        </w:rPr>
        <w:t>JSTCC26025106139</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072B6CA0">
      <w:pPr>
        <w:adjustRightInd w:val="0"/>
        <w:snapToGrid w:val="0"/>
        <w:ind w:left="-88" w:leftChars="-42" w:right="105" w:firstLine="420" w:firstLineChars="200"/>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bookmarkStart w:id="526" w:name="_Toc103848581"/>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5436"/>
      </w:tblGrid>
      <w:tr w14:paraId="3E0C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467756EF">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color w:val="000000" w:themeColor="text1"/>
                <w:highlight w:val="none"/>
                <w14:textFill>
                  <w14:solidFill>
                    <w14:schemeClr w14:val="tx1"/>
                  </w14:solidFill>
                </w14:textFill>
              </w:rPr>
              <w:t>名称</w:t>
            </w:r>
          </w:p>
        </w:tc>
        <w:tc>
          <w:tcPr>
            <w:tcW w:w="5436" w:type="dxa"/>
            <w:vAlign w:val="center"/>
          </w:tcPr>
          <w:p w14:paraId="13BEB3ED">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p>
        </w:tc>
      </w:tr>
      <w:tr w14:paraId="5108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5D6D361B">
            <w:pPr>
              <w:spacing w:line="360" w:lineRule="auto"/>
              <w:jc w:val="cente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投标报价</w:t>
            </w:r>
          </w:p>
        </w:tc>
        <w:tc>
          <w:tcPr>
            <w:tcW w:w="5436" w:type="dxa"/>
            <w:vAlign w:val="center"/>
          </w:tcPr>
          <w:p w14:paraId="0CBF17DD">
            <w:pPr>
              <w:spacing w:line="360" w:lineRule="auto"/>
              <w:jc w:val="left"/>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大写：</w:t>
            </w:r>
          </w:p>
          <w:p w14:paraId="3AEE38E2">
            <w:pPr>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小写：</w:t>
            </w:r>
          </w:p>
        </w:tc>
      </w:tr>
      <w:tr w14:paraId="37DB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73734F4D">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服务时间</w:t>
            </w:r>
          </w:p>
        </w:tc>
        <w:tc>
          <w:tcPr>
            <w:tcW w:w="5436" w:type="dxa"/>
            <w:vAlign w:val="center"/>
          </w:tcPr>
          <w:p w14:paraId="32FAF153">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响应招标文件要求</w:t>
            </w:r>
          </w:p>
        </w:tc>
      </w:tr>
      <w:tr w14:paraId="6C99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4BB2839F">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服务地点</w:t>
            </w:r>
          </w:p>
        </w:tc>
        <w:tc>
          <w:tcPr>
            <w:tcW w:w="5436" w:type="dxa"/>
            <w:vAlign w:val="center"/>
          </w:tcPr>
          <w:p w14:paraId="19F3E516">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响应招标文件要求</w:t>
            </w:r>
          </w:p>
        </w:tc>
      </w:tr>
      <w:tr w14:paraId="7D7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1D154B8E">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付款方式</w:t>
            </w:r>
          </w:p>
        </w:tc>
        <w:tc>
          <w:tcPr>
            <w:tcW w:w="5436" w:type="dxa"/>
            <w:vAlign w:val="center"/>
          </w:tcPr>
          <w:p w14:paraId="65C3BE62">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响应招标文件要求</w:t>
            </w:r>
          </w:p>
        </w:tc>
      </w:tr>
      <w:tr w14:paraId="1837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510" w:type="dxa"/>
            <w:vAlign w:val="center"/>
          </w:tcPr>
          <w:p w14:paraId="46CA8411">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备注</w:t>
            </w:r>
          </w:p>
        </w:tc>
        <w:tc>
          <w:tcPr>
            <w:tcW w:w="5436" w:type="dxa"/>
            <w:vAlign w:val="center"/>
          </w:tcPr>
          <w:p w14:paraId="0CB9A063">
            <w:pPr>
              <w:spacing w:line="360" w:lineRule="auto"/>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p>
        </w:tc>
      </w:tr>
    </w:tbl>
    <w:p w14:paraId="0D05EB02">
      <w:pPr>
        <w:spacing w:line="360" w:lineRule="auto"/>
        <w:ind w:firstLine="105" w:firstLineChars="50"/>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39A142A0">
      <w:pPr>
        <w:spacing w:line="360" w:lineRule="auto"/>
        <w:ind w:right="42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A5BE727">
      <w:pPr>
        <w:spacing w:line="360" w:lineRule="auto"/>
        <w:ind w:right="420" w:firstLine="4515" w:firstLineChars="2150"/>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p>
    <w:p w14:paraId="7D888106">
      <w:pPr>
        <w:spacing w:line="360" w:lineRule="auto"/>
        <w:ind w:right="420" w:firstLine="4515" w:firstLineChars="2150"/>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法定代表人（单位负责人）</w:t>
      </w:r>
    </w:p>
    <w:p w14:paraId="3B1B5789">
      <w:pPr>
        <w:spacing w:line="360" w:lineRule="auto"/>
        <w:jc w:val="right"/>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或其授权代表（签字或盖章）：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p>
    <w:p w14:paraId="78BF0BD4">
      <w:pPr>
        <w:spacing w:line="360" w:lineRule="auto"/>
        <w:ind w:right="420"/>
        <w:jc w:val="center"/>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日期：______年</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w:t>
      </w:r>
    </w:p>
    <w:p w14:paraId="440BD9F1">
      <w:pPr>
        <w:pStyle w:val="79"/>
        <w:ind w:firstLine="400"/>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76DFBF7D">
      <w:pPr>
        <w:pStyle w:val="79"/>
        <w:ind w:firstLine="400"/>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2E5C024A">
      <w:pPr>
        <w:pStyle w:val="34"/>
        <w:jc w:val="both"/>
        <w:outlineLvl w:val="9"/>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27" w:name="_Toc7997"/>
      <w:bookmarkStart w:id="528" w:name="_Toc12103"/>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page"/>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（4-1）分项报价表</w:t>
      </w:r>
      <w:bookmarkEnd w:id="527"/>
      <w:bookmarkEnd w:id="528"/>
    </w:p>
    <w:p w14:paraId="4DE78CA4">
      <w:pPr>
        <w:pStyle w:val="79"/>
        <w:ind w:firstLine="560"/>
        <w:jc w:val="center"/>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格式自拟</w:t>
      </w:r>
    </w:p>
    <w:p w14:paraId="6A546FAE">
      <w:pPr>
        <w:pStyle w:val="79"/>
        <w:ind w:firstLine="400"/>
        <w:rPr>
          <w:rFonts w:hint="eastAsia" w:asciiTheme="minorEastAsia" w:hAnsiTheme="minorEastAsia" w:eastAsiaTheme="minorEastAsia" w:cstheme="minorEastAsia"/>
          <w:bCs/>
          <w:color w:val="000000" w:themeColor="text1"/>
          <w:highlight w:val="none"/>
          <w14:textFill>
            <w14:solidFill>
              <w14:schemeClr w14:val="tx1"/>
            </w14:solidFill>
          </w14:textFill>
        </w:rPr>
        <w:sectPr>
          <w:footerReference r:id="rId6" w:type="default"/>
          <w:pgSz w:w="11906" w:h="16838"/>
          <w:pgMar w:top="1327" w:right="1588" w:bottom="1327" w:left="1588" w:header="851" w:footer="992" w:gutter="0"/>
          <w:pgNumType w:fmt="decimal" w:start="1"/>
          <w:cols w:space="720" w:num="1"/>
          <w:docGrid w:type="lines" w:linePitch="312" w:charSpace="0"/>
        </w:sectPr>
      </w:pPr>
    </w:p>
    <w:p w14:paraId="45D4D00D">
      <w:pPr>
        <w:pStyle w:val="17"/>
        <w:ind w:left="1260"/>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526"/>
    <w:p w14:paraId="0B44754B">
      <w:pPr>
        <w:pStyle w:val="34"/>
        <w:spacing w:before="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29" w:name="_Toc15899"/>
      <w:bookmarkStart w:id="530" w:name="_Toc107246281"/>
      <w:bookmarkStart w:id="531" w:name="_Toc1919354731"/>
      <w:bookmarkStart w:id="532" w:name="_Toc103848586"/>
      <w:bookmarkStart w:id="533" w:name="_Toc104560901"/>
      <w:bookmarkStart w:id="534" w:name="_Toc5895"/>
      <w:bookmarkStart w:id="535" w:name="_Toc102117319"/>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（5）商务条款偏离表</w:t>
      </w:r>
      <w:bookmarkEnd w:id="529"/>
      <w:bookmarkEnd w:id="530"/>
      <w:bookmarkEnd w:id="531"/>
      <w:bookmarkEnd w:id="532"/>
      <w:bookmarkEnd w:id="533"/>
      <w:bookmarkEnd w:id="534"/>
    </w:p>
    <w:p w14:paraId="38B9BB39">
      <w:pPr>
        <w:pStyle w:val="73"/>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E625BD0">
      <w:pPr>
        <w:pStyle w:val="73"/>
        <w:ind w:firstLine="420"/>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b/>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8FD69EB">
      <w:pPr>
        <w:pStyle w:val="73"/>
        <w:ind w:firstLine="420"/>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2315"/>
        <w:gridCol w:w="2171"/>
        <w:gridCol w:w="1158"/>
        <w:gridCol w:w="1818"/>
        <w:gridCol w:w="814"/>
      </w:tblGrid>
      <w:tr w14:paraId="37E3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372" w:type="pct"/>
            <w:vAlign w:val="center"/>
          </w:tcPr>
          <w:p w14:paraId="280D1C15">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294" w:type="pct"/>
            <w:vAlign w:val="center"/>
          </w:tcPr>
          <w:p w14:paraId="36EE1E4F">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招标文件的商务条款</w:t>
            </w:r>
          </w:p>
        </w:tc>
        <w:tc>
          <w:tcPr>
            <w:tcW w:w="1213" w:type="pct"/>
            <w:vAlign w:val="center"/>
          </w:tcPr>
          <w:p w14:paraId="2E779964">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投标文件的商务条款</w:t>
            </w:r>
          </w:p>
        </w:tc>
        <w:tc>
          <w:tcPr>
            <w:tcW w:w="647" w:type="pct"/>
          </w:tcPr>
          <w:p w14:paraId="6F2BE452">
            <w:pPr>
              <w:pStyle w:val="73"/>
              <w:spacing w:line="480" w:lineRule="auto"/>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1016" w:type="pct"/>
            <w:vAlign w:val="center"/>
          </w:tcPr>
          <w:p w14:paraId="7E844EDE">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偏离</w:t>
            </w:r>
          </w:p>
        </w:tc>
        <w:tc>
          <w:tcPr>
            <w:tcW w:w="455" w:type="pct"/>
            <w:vAlign w:val="center"/>
          </w:tcPr>
          <w:p w14:paraId="36FDFBF1">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r>
      <w:tr w14:paraId="1D8D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72" w:type="pct"/>
            <w:vAlign w:val="center"/>
          </w:tcPr>
          <w:p w14:paraId="5042AEAA">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660C0BE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6448C339">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54BBF1B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4BC416D1">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3DFFB4DD">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550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372" w:type="pct"/>
            <w:vAlign w:val="center"/>
          </w:tcPr>
          <w:p w14:paraId="045C0BEE">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1D69C36A">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5CD24279">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0295E7FA">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6535BFBB">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7F89605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FE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2" w:type="pct"/>
            <w:vAlign w:val="center"/>
          </w:tcPr>
          <w:p w14:paraId="4E114B47">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291423B8">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171C7DA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0370D92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7E0CAB9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11806C6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C9B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72" w:type="pct"/>
            <w:vAlign w:val="center"/>
          </w:tcPr>
          <w:p w14:paraId="13390AEC">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10E4A9D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0F49598D">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4F181930">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34A27CDC">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399A9E0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EFD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72" w:type="pct"/>
            <w:vAlign w:val="center"/>
          </w:tcPr>
          <w:p w14:paraId="328712B5">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7D00756D">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637BE3D4">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7EF257D4">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74E60E0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12177FF8">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11C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72" w:type="pct"/>
            <w:vAlign w:val="center"/>
          </w:tcPr>
          <w:p w14:paraId="7BD61615">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94" w:type="pct"/>
            <w:vAlign w:val="center"/>
          </w:tcPr>
          <w:p w14:paraId="5DCAB056">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3" w:type="pct"/>
            <w:vAlign w:val="center"/>
          </w:tcPr>
          <w:p w14:paraId="5681A408">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pct"/>
          </w:tcPr>
          <w:p w14:paraId="512F1745">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16" w:type="pct"/>
            <w:vAlign w:val="center"/>
          </w:tcPr>
          <w:p w14:paraId="565CE49E">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55" w:type="pct"/>
            <w:vAlign w:val="center"/>
          </w:tcPr>
          <w:p w14:paraId="336F5075">
            <w:pPr>
              <w:pStyle w:val="73"/>
              <w:ind w:firstLine="0" w:firstLine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50C5A4E7">
      <w:pPr>
        <w:pStyle w:val="32"/>
        <w:spacing w:line="360" w:lineRule="exact"/>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注：</w:t>
      </w:r>
    </w:p>
    <w:p w14:paraId="33972871">
      <w:pPr>
        <w:pStyle w:val="32"/>
        <w:spacing w:line="360" w:lineRule="exact"/>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1. </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须根据招标文件商务要求填写此表，作为投标文件的组成部分。</w:t>
      </w:r>
    </w:p>
    <w:p w14:paraId="6E998310">
      <w:pPr>
        <w:pStyle w:val="32"/>
        <w:spacing w:line="360" w:lineRule="exact"/>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2. 所有偏离必须在本表中列出，未在本偏离表中列出偏离，将视为</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已完全接受招标文件要求。如完全无偏离，也无其他说明，可在本表第一行填写“全部无偏离”。</w:t>
      </w:r>
    </w:p>
    <w:p w14:paraId="3C6B8117">
      <w:pPr>
        <w:pStyle w:val="32"/>
        <w:spacing w:line="360" w:lineRule="exact"/>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3. 偏离包括正、负偏离，正偏离指</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的响应高于招标文件要求，负偏离指</w:t>
      </w:r>
      <w:r>
        <w:rPr>
          <w:rFonts w:hint="eastAsia" w:asciiTheme="minorEastAsia" w:hAnsiTheme="minorEastAsia" w:eastAsiaTheme="minorEastAsia" w:cstheme="minorEastAsia"/>
          <w:b/>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的响应低于招标文件要求。</w:t>
      </w:r>
    </w:p>
    <w:p w14:paraId="37944302">
      <w:pPr>
        <w:pStyle w:val="73"/>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013589F">
      <w:pPr>
        <w:pStyle w:val="73"/>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F52DF34">
      <w:pPr>
        <w:spacing w:line="360" w:lineRule="auto"/>
        <w:ind w:firstLine="440" w:firstLineChars="200"/>
        <w:jc w:val="right"/>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pPr>
      <w:bookmarkStart w:id="536" w:name="_Toc104560902"/>
      <w:bookmarkStart w:id="537" w:name="_Toc103848587"/>
    </w:p>
    <w:p w14:paraId="289128BE">
      <w:pPr>
        <w:spacing w:line="360" w:lineRule="auto"/>
        <w:ind w:right="420" w:firstLine="3780" w:firstLineChars="1800"/>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 xml:space="preserve">                 </w:t>
      </w:r>
    </w:p>
    <w:p w14:paraId="07AC0436">
      <w:pPr>
        <w:spacing w:line="360" w:lineRule="auto"/>
        <w:ind w:firstLine="3780" w:firstLineChars="18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法定代表人（单位负责人）</w:t>
      </w:r>
    </w:p>
    <w:p w14:paraId="39E1428B">
      <w:pPr>
        <w:spacing w:line="360" w:lineRule="auto"/>
        <w:ind w:firstLine="3780" w:firstLineChars="18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或其授权代表（签字或盖章）：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4A83F7AE">
      <w:pPr>
        <w:spacing w:line="360" w:lineRule="auto"/>
        <w:ind w:firstLine="422"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日期：        年      月     日</w:t>
      </w:r>
    </w:p>
    <w:p w14:paraId="44EC2CE6">
      <w:pPr>
        <w:spacing w:line="360" w:lineRule="auto"/>
        <w:ind w:firstLine="42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p>
    <w:p w14:paraId="5E56DFC7">
      <w:pPr>
        <w:pStyle w:val="34"/>
        <w:spacing w:line="240" w:lineRule="atLeast"/>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538" w:name="_Toc20169"/>
      <w:bookmarkStart w:id="539" w:name="_Toc107246282"/>
      <w:bookmarkStart w:id="540" w:name="_Toc1243102330"/>
      <w:bookmarkStart w:id="541" w:name="_Toc9157"/>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w:t>
      </w:r>
      <w:r>
        <w:rPr>
          <w:rFonts w:hint="eastAsia" w:asciiTheme="minorEastAsia" w:hAnsiTheme="minorEastAsia" w:eastAsiaTheme="minorEastAsia" w:cstheme="minorEastAsia"/>
          <w:bCs w:val="0"/>
          <w:color w:val="000000" w:themeColor="text1"/>
          <w:sz w:val="24"/>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具备投标资格的证明文件</w:t>
      </w:r>
      <w:bookmarkEnd w:id="536"/>
      <w:bookmarkEnd w:id="537"/>
      <w:bookmarkEnd w:id="538"/>
      <w:bookmarkEnd w:id="539"/>
      <w:bookmarkEnd w:id="540"/>
      <w:bookmarkEnd w:id="541"/>
    </w:p>
    <w:p w14:paraId="240C76DD">
      <w:pPr>
        <w:pStyle w:val="34"/>
        <w:spacing w:line="240" w:lineRule="atLeast"/>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bookmarkStart w:id="542" w:name="_Toc2099942294"/>
      <w:bookmarkStart w:id="543" w:name="_Toc104560903"/>
      <w:bookmarkStart w:id="544" w:name="_Toc107246283"/>
      <w:bookmarkStart w:id="545" w:name="_Toc10261"/>
      <w:bookmarkStart w:id="546" w:name="_Toc6912"/>
      <w:bookmarkStart w:id="547" w:name="_Toc103848588"/>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（6-1-1）营业执照复印件</w:t>
      </w:r>
      <w:bookmarkEnd w:id="535"/>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或自然人的身份证明复印件</w:t>
      </w:r>
      <w:bookmarkEnd w:id="542"/>
      <w:bookmarkEnd w:id="543"/>
      <w:bookmarkEnd w:id="544"/>
      <w:bookmarkEnd w:id="545"/>
      <w:bookmarkEnd w:id="546"/>
      <w:bookmarkEnd w:id="547"/>
    </w:p>
    <w:p w14:paraId="63389412">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bookmarkStart w:id="548" w:name="_Hlk33717720"/>
    </w:p>
    <w:bookmarkEnd w:id="548"/>
    <w:p w14:paraId="1A5852C5">
      <w:pPr>
        <w:spacing w:line="360" w:lineRule="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注：</w:t>
      </w:r>
      <w:r>
        <w:rPr>
          <w:rFonts w:hint="eastAsia" w:cs="Times New Roman"/>
          <w:b/>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
          <w:bCs/>
          <w:color w:val="000000" w:themeColor="text1"/>
          <w:highlight w:val="none"/>
          <w14:textFill>
            <w14:solidFill>
              <w14:schemeClr w14:val="tx1"/>
            </w14:solidFill>
          </w14:textFill>
        </w:rPr>
        <w:t>提供营业执照副本（或具有同等法律效力的证照）复印件。复印件应能清晰显示</w:t>
      </w:r>
      <w:r>
        <w:rPr>
          <w:rFonts w:hint="eastAsia" w:cs="Times New Roman"/>
          <w:b/>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
          <w:bCs/>
          <w:color w:val="000000" w:themeColor="text1"/>
          <w:highlight w:val="none"/>
          <w14:textFill>
            <w14:solidFill>
              <w14:schemeClr w14:val="tx1"/>
            </w14:solidFill>
          </w14:textFill>
        </w:rPr>
        <w:t>名称。</w:t>
      </w:r>
    </w:p>
    <w:p w14:paraId="56F3EA39">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01D9B01">
      <w:pPr>
        <w:pStyle w:val="34"/>
        <w:spacing w:line="240" w:lineRule="atLeast"/>
        <w:rPr>
          <w:rFonts w:hint="eastAsia" w:asciiTheme="minorEastAsia" w:hAnsiTheme="minorEastAsia" w:eastAsiaTheme="minorEastAsia" w:cstheme="minorEastAsia"/>
          <w:b w:val="0"/>
          <w:color w:val="000000" w:themeColor="text1"/>
          <w:highlight w:val="none"/>
          <w14:textFill>
            <w14:solidFill>
              <w14:schemeClr w14:val="tx1"/>
            </w14:solidFill>
          </w14:textFill>
        </w:rPr>
      </w:pPr>
      <w:bookmarkStart w:id="549" w:name="_Toc103848589"/>
      <w:bookmarkStart w:id="550" w:name="_Toc102117320"/>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br w:type="page"/>
      </w:r>
      <w:bookmarkStart w:id="551" w:name="_Toc104560904"/>
      <w:bookmarkStart w:id="552" w:name="_Toc1983880460"/>
      <w:bookmarkStart w:id="553" w:name="_Toc24727"/>
      <w:bookmarkStart w:id="554" w:name="_Toc16550"/>
      <w:bookmarkStart w:id="555" w:name="_Toc107246284"/>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（6-1-2）工商变更登记文件（如需）</w:t>
      </w:r>
      <w:bookmarkEnd w:id="549"/>
      <w:bookmarkEnd w:id="550"/>
      <w:bookmarkEnd w:id="551"/>
      <w:bookmarkEnd w:id="552"/>
      <w:bookmarkEnd w:id="553"/>
      <w:bookmarkEnd w:id="554"/>
      <w:bookmarkEnd w:id="555"/>
    </w:p>
    <w:p w14:paraId="0EB3C255">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p>
    <w:p w14:paraId="419B512D">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注：如</w:t>
      </w:r>
      <w:r>
        <w:rPr>
          <w:rFonts w:hint="eastAsia" w:asciiTheme="minorEastAsia" w:hAnsiTheme="minorEastAsia" w:eastAsiaTheme="minorEastAsia" w:cstheme="minorEastAsia"/>
          <w:b/>
          <w:bCs/>
          <w:color w:val="000000" w:themeColor="text1"/>
          <w:sz w:val="22"/>
          <w:szCs w:val="22"/>
          <w:highlight w:val="none"/>
          <w:lang w:eastAsia="zh-CN"/>
          <w14:textFill>
            <w14:solidFill>
              <w14:schemeClr w14:val="tx1"/>
            </w14:solidFill>
          </w14:textFill>
        </w:rPr>
        <w:t>供应商</w:t>
      </w:r>
      <w:r>
        <w:rPr>
          <w:rFonts w:hint="eastAsia" w:asciiTheme="minorEastAsia" w:hAnsiTheme="minorEastAsia" w:eastAsiaTheme="minorEastAsia" w:cstheme="minorEastAsia"/>
          <w:b/>
          <w:bCs/>
          <w:color w:val="000000" w:themeColor="text1"/>
          <w:highlight w:val="none"/>
          <w14:textFill>
            <w14:solidFill>
              <w14:schemeClr w14:val="tx1"/>
            </w14:solidFill>
          </w14:textFill>
        </w:rPr>
        <w:t>在招标文件资质、业绩等要求的时间期限内发生了单位名称等变更的，提供相关工商变更登记文件的复印件。如无，则可不提供。</w:t>
      </w:r>
    </w:p>
    <w:p w14:paraId="3A2A786C">
      <w:pPr>
        <w:pStyle w:val="34"/>
        <w:spacing w:line="240" w:lineRule="atLeast"/>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highlight w:val="none"/>
          <w14:textFill>
            <w14:solidFill>
              <w14:schemeClr w14:val="tx1"/>
            </w14:solidFill>
          </w14:textFill>
        </w:rPr>
        <w:br w:type="page"/>
      </w:r>
      <w:bookmarkStart w:id="556" w:name="_Toc107246285"/>
      <w:bookmarkStart w:id="557" w:name="_Toc104560905"/>
      <w:bookmarkStart w:id="558" w:name="_Toc103848590"/>
      <w:bookmarkStart w:id="559" w:name="_Toc1247787898"/>
      <w:bookmarkStart w:id="560" w:name="_Toc22278"/>
      <w:bookmarkStart w:id="561" w:name="_Toc102117321"/>
      <w:bookmarkStart w:id="562" w:name="_Toc25132"/>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（6-2）财务报表</w:t>
      </w:r>
      <w:bookmarkEnd w:id="556"/>
      <w:bookmarkEnd w:id="557"/>
      <w:bookmarkEnd w:id="558"/>
      <w:bookmarkEnd w:id="559"/>
      <w:bookmarkEnd w:id="560"/>
      <w:bookmarkEnd w:id="561"/>
      <w:bookmarkEnd w:id="562"/>
    </w:p>
    <w:p w14:paraId="085F611B">
      <w:pPr>
        <w:spacing w:line="360" w:lineRule="auto"/>
        <w:rPr>
          <w:rFonts w:hint="eastAsia" w:ascii="Times New Roman" w:hAnsi="Times New Roman" w:eastAsia="宋体" w:cs="Times New Roman"/>
          <w:b/>
          <w:bCs/>
          <w:color w:val="000000" w:themeColor="text1"/>
          <w:highlight w:val="none"/>
          <w:lang w:eastAsia="zh-CN"/>
          <w14:textFill>
            <w14:solidFill>
              <w14:schemeClr w14:val="tx1"/>
            </w14:solidFill>
          </w14:textFill>
        </w:rPr>
      </w:pP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注：</w:t>
      </w:r>
      <w:r>
        <w:rPr>
          <w:rFonts w:hint="default" w:ascii="Times New Roman" w:hAnsi="Times New Roman" w:eastAsia="宋体" w:cs="Times New Roman"/>
          <w:b/>
          <w:bCs/>
          <w:color w:val="000000" w:themeColor="text1"/>
          <w:highlight w:val="none"/>
          <w14:textFill>
            <w14:solidFill>
              <w14:schemeClr w14:val="tx1"/>
            </w14:solidFill>
          </w14:textFill>
        </w:rPr>
        <w:t>具有良好的商业信誉和健全的财务会计制度，提供上年度财务报表复印件（即2025年度财务报表，如为新成立的公司，应提供公司成立之后的财务报表）或投标截止时间前3个月内，由其基本开户银行出具的资信证明</w:t>
      </w:r>
      <w:r>
        <w:rPr>
          <w:rFonts w:hint="eastAsia" w:ascii="Times New Roman" w:hAnsi="Times New Roman" w:eastAsia="宋体" w:cs="Times New Roman"/>
          <w:b/>
          <w:bCs/>
          <w:color w:val="000000" w:themeColor="text1"/>
          <w:highlight w:val="none"/>
          <w:lang w:eastAsia="zh-CN"/>
          <w14:textFill>
            <w14:solidFill>
              <w14:schemeClr w14:val="tx1"/>
            </w14:solidFill>
          </w14:textFill>
        </w:rPr>
        <w:t>。</w:t>
      </w:r>
    </w:p>
    <w:p w14:paraId="6DAC1D8A">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p>
    <w:p w14:paraId="6D23CE30">
      <w:pPr>
        <w:pStyle w:val="34"/>
        <w:spacing w:line="240" w:lineRule="atLeast"/>
        <w:jc w:val="left"/>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bookmarkStart w:id="563" w:name="_Toc104560908"/>
      <w:bookmarkStart w:id="564" w:name="_Toc102117322"/>
      <w:bookmarkStart w:id="565" w:name="_Toc103848593"/>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br w:type="page"/>
      </w:r>
      <w:bookmarkStart w:id="566" w:name="_Toc107246286"/>
      <w:bookmarkStart w:id="567" w:name="_Toc19295"/>
      <w:bookmarkStart w:id="568" w:name="_Toc1393388731"/>
      <w:bookmarkStart w:id="569" w:name="_Toc10704"/>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（6-3）</w:t>
      </w:r>
      <w:bookmarkEnd w:id="563"/>
      <w:bookmarkEnd w:id="564"/>
      <w:bookmarkEnd w:id="565"/>
      <w:bookmarkEnd w:id="566"/>
      <w:r>
        <w:rPr>
          <w:rFonts w:hint="default" w:ascii="Times New Roman" w:hAnsi="Times New Roman" w:eastAsia="宋体" w:cs="Times New Roman"/>
          <w:bCs w:val="0"/>
          <w:color w:val="000000" w:themeColor="text1"/>
          <w:sz w:val="24"/>
          <w:szCs w:val="24"/>
          <w:highlight w:val="none"/>
          <w14:textFill>
            <w14:solidFill>
              <w14:schemeClr w14:val="tx1"/>
            </w14:solidFill>
          </w14:textFill>
        </w:rPr>
        <w:t>具有履行合同所必需的设备和专业技术能力的相关证明材料或承诺函</w:t>
      </w: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w:t>
      </w:r>
      <w:bookmarkEnd w:id="567"/>
      <w:bookmarkEnd w:id="568"/>
      <w:bookmarkEnd w:id="569"/>
    </w:p>
    <w:p w14:paraId="6278BD7A">
      <w:pPr>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p>
    <w:p w14:paraId="4506652B">
      <w:pPr>
        <w:spacing w:line="360" w:lineRule="auto"/>
        <w:rPr>
          <w:rFonts w:hint="eastAsia"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注：</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具有履行合同所必需的设备和专业技术能力，提供具备履行合同所必需的设备和专业技术能力的证明材料或承诺函（由供应商根据项目需求提供说明材料）</w:t>
      </w: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w:t>
      </w:r>
    </w:p>
    <w:p w14:paraId="1A0643FA">
      <w:pPr>
        <w:spacing w:before="120" w:after="120" w:line="360" w:lineRule="auto"/>
        <w:ind w:firstLine="480"/>
        <w:jc w:val="center"/>
        <w:rPr>
          <w:rFonts w:hint="default" w:ascii="Times New Roman" w:hAnsi="Times New Roman" w:eastAsia="宋体" w:cs="Times New Roman"/>
          <w:b/>
          <w:color w:val="000000" w:themeColor="text1"/>
          <w:sz w:val="44"/>
          <w:szCs w:val="44"/>
          <w:highlight w:val="none"/>
          <w14:textFill>
            <w14:solidFill>
              <w14:schemeClr w14:val="tx1"/>
            </w14:solidFill>
          </w14:textFill>
        </w:rPr>
      </w:pPr>
    </w:p>
    <w:p w14:paraId="15380534">
      <w:pPr>
        <w:spacing w:before="120" w:after="120" w:line="360" w:lineRule="auto"/>
        <w:ind w:firstLine="48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44"/>
          <w:szCs w:val="44"/>
          <w:highlight w:val="none"/>
          <w14:textFill>
            <w14:solidFill>
              <w14:schemeClr w14:val="tx1"/>
            </w14:solidFill>
          </w14:textFill>
        </w:rPr>
        <w:t>承 诺 函</w:t>
      </w:r>
    </w:p>
    <w:p w14:paraId="03FCADF3">
      <w:pPr>
        <w:spacing w:before="120" w:after="120" w:line="360" w:lineRule="auto"/>
        <w:ind w:firstLine="480"/>
        <w:jc w:val="left"/>
        <w:rPr>
          <w:rFonts w:hint="default" w:ascii="Times New Roman" w:hAnsi="Times New Roman" w:eastAsia="宋体" w:cs="Times New Roman"/>
          <w:color w:val="000000" w:themeColor="text1"/>
          <w:sz w:val="22"/>
          <w:highlight w:val="none"/>
          <w14:textFill>
            <w14:solidFill>
              <w14:schemeClr w14:val="tx1"/>
            </w14:solidFill>
          </w14:textFill>
        </w:rPr>
      </w:pPr>
      <w:r>
        <w:rPr>
          <w:rFonts w:hint="default" w:ascii="Times New Roman" w:hAnsi="Times New Roman" w:eastAsia="宋体" w:cs="Times New Roman"/>
          <w:color w:val="000000" w:themeColor="text1"/>
          <w:sz w:val="22"/>
          <w:highlight w:val="none"/>
          <w14:textFill>
            <w14:solidFill>
              <w14:schemeClr w14:val="tx1"/>
            </w14:solidFill>
          </w14:textFill>
        </w:rPr>
        <w:t>我单位郑重承诺：我单位具备履行本项采购合同所必需的设备和专业技术能力。</w:t>
      </w:r>
    </w:p>
    <w:p w14:paraId="1FC4F861">
      <w:pPr>
        <w:numPr>
          <w:ilvl w:val="0"/>
          <w:numId w:val="5"/>
        </w:numPr>
        <w:spacing w:before="120" w:after="120" w:line="360" w:lineRule="auto"/>
        <w:ind w:firstLine="42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设备包括：        </w:t>
      </w:r>
    </w:p>
    <w:p w14:paraId="69C4DDA9">
      <w:pPr>
        <w:numPr>
          <w:ilvl w:val="0"/>
          <w:numId w:val="5"/>
        </w:numPr>
        <w:spacing w:before="120" w:after="120" w:line="360" w:lineRule="auto"/>
        <w:ind w:firstLine="42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专业技术能力包括：        </w:t>
      </w:r>
    </w:p>
    <w:p w14:paraId="25AB2D3A">
      <w:pPr>
        <w:spacing w:before="120" w:after="120" w:line="360" w:lineRule="auto"/>
        <w:ind w:firstLine="480"/>
        <w:jc w:val="left"/>
        <w:rPr>
          <w:rFonts w:hint="default" w:ascii="Times New Roman" w:hAnsi="Times New Roman" w:eastAsia="宋体" w:cs="Times New Roman"/>
          <w:color w:val="000000" w:themeColor="text1"/>
          <w:highlight w:val="none"/>
          <w14:textFill>
            <w14:solidFill>
              <w14:schemeClr w14:val="tx1"/>
            </w14:solidFill>
          </w14:textFill>
        </w:rPr>
      </w:pPr>
    </w:p>
    <w:p w14:paraId="75BB1F33">
      <w:pPr>
        <w:pStyle w:val="17"/>
        <w:ind w:left="1260"/>
        <w:rPr>
          <w:rFonts w:hint="default" w:ascii="Times New Roman" w:hAnsi="Times New Roman" w:eastAsia="宋体" w:cs="Times New Roman"/>
          <w:color w:val="000000" w:themeColor="text1"/>
          <w:highlight w:val="none"/>
          <w14:textFill>
            <w14:solidFill>
              <w14:schemeClr w14:val="tx1"/>
            </w14:solidFill>
          </w14:textFill>
        </w:rPr>
      </w:pPr>
    </w:p>
    <w:p w14:paraId="56184886">
      <w:pPr>
        <w:rPr>
          <w:rFonts w:hint="default" w:ascii="Times New Roman" w:hAnsi="Times New Roman" w:eastAsia="宋体" w:cs="Times New Roman"/>
          <w:color w:val="000000" w:themeColor="text1"/>
          <w:highlight w:val="none"/>
          <w14:textFill>
            <w14:solidFill>
              <w14:schemeClr w14:val="tx1"/>
            </w14:solidFill>
          </w14:textFill>
        </w:rPr>
      </w:pPr>
    </w:p>
    <w:p w14:paraId="0559E0BA">
      <w:pPr>
        <w:pStyle w:val="17"/>
        <w:ind w:left="1260"/>
        <w:rPr>
          <w:rFonts w:hint="default" w:ascii="Times New Roman" w:hAnsi="Times New Roman" w:eastAsia="宋体" w:cs="Times New Roman"/>
          <w:color w:val="000000" w:themeColor="text1"/>
          <w:highlight w:val="none"/>
          <w14:textFill>
            <w14:solidFill>
              <w14:schemeClr w14:val="tx1"/>
            </w14:solidFill>
          </w14:textFill>
        </w:rPr>
      </w:pPr>
    </w:p>
    <w:p w14:paraId="0428B9B8">
      <w:pPr>
        <w:rPr>
          <w:rFonts w:hint="default" w:ascii="Times New Roman" w:hAnsi="Times New Roman" w:eastAsia="宋体" w:cs="Times New Roman"/>
          <w:color w:val="000000" w:themeColor="text1"/>
          <w:highlight w:val="none"/>
          <w14:textFill>
            <w14:solidFill>
              <w14:schemeClr w14:val="tx1"/>
            </w14:solidFill>
          </w14:textFill>
        </w:rPr>
      </w:pPr>
    </w:p>
    <w:p w14:paraId="486713D9">
      <w:pPr>
        <w:spacing w:line="276" w:lineRule="auto"/>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 xml:space="preserve">  </w:t>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default" w:ascii="Times New Roman" w:hAnsi="Times New Roman" w:eastAsia="宋体" w:cs="Times New Roman"/>
          <w:bCs/>
          <w:color w:val="000000" w:themeColor="text1"/>
          <w:highlight w:val="none"/>
          <w14:textFill>
            <w14:solidFill>
              <w14:schemeClr w14:val="tx1"/>
            </w14:solidFill>
          </w14:textFill>
        </w:rPr>
        <w:tab/>
      </w:r>
      <w:r>
        <w:rPr>
          <w:rFonts w:hint="eastAsia" w:cs="Times New Roman"/>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Cs/>
          <w:color w:val="000000" w:themeColor="text1"/>
          <w:highlight w:val="none"/>
          <w14:textFill>
            <w14:solidFill>
              <w14:schemeClr w14:val="tx1"/>
            </w14:solidFill>
          </w14:textFill>
        </w:rPr>
        <w:t>名称（公章）：______________________</w:t>
      </w:r>
    </w:p>
    <w:p w14:paraId="08C5659C">
      <w:pPr>
        <w:spacing w:line="276" w:lineRule="auto"/>
        <w:ind w:firstLine="3780"/>
        <w:rPr>
          <w:rFonts w:hint="default" w:ascii="Times New Roman" w:hAnsi="Times New Roman" w:eastAsia="宋体" w:cs="Times New Roman"/>
          <w:color w:val="000000" w:themeColor="text1"/>
          <w:szCs w:val="21"/>
          <w:highlight w:val="none"/>
          <w:u w:val="single"/>
          <w14:textFill>
            <w14:solidFill>
              <w14:schemeClr w14:val="tx1"/>
            </w14:solidFill>
          </w14:textFill>
        </w:rPr>
      </w:pPr>
    </w:p>
    <w:p w14:paraId="4C4A52B6">
      <w:pPr>
        <w:spacing w:line="276" w:lineRule="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 xml:space="preserve">                                    日期：______年</w:t>
      </w:r>
      <w:r>
        <w:rPr>
          <w:rFonts w:hint="default" w:ascii="Times New Roman" w:hAnsi="Times New Roman" w:eastAsia="宋体" w:cs="Times New Roman"/>
          <w:bCs/>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bCs/>
          <w:color w:val="000000" w:themeColor="text1"/>
          <w:highlight w:val="none"/>
          <w14:textFill>
            <w14:solidFill>
              <w14:schemeClr w14:val="tx1"/>
            </w14:solidFill>
          </w14:textFill>
        </w:rPr>
        <w:t>月</w:t>
      </w:r>
      <w:r>
        <w:rPr>
          <w:rFonts w:hint="default" w:ascii="Times New Roman" w:hAnsi="Times New Roman" w:eastAsia="宋体" w:cs="Times New Roman"/>
          <w:bCs/>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bCs/>
          <w:color w:val="000000" w:themeColor="text1"/>
          <w:highlight w:val="none"/>
          <w14:textFill>
            <w14:solidFill>
              <w14:schemeClr w14:val="tx1"/>
            </w14:solidFill>
          </w14:textFill>
        </w:rPr>
        <w:t>日</w:t>
      </w:r>
    </w:p>
    <w:p w14:paraId="3ACCC695">
      <w:pPr>
        <w:pStyle w:val="13"/>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247BFFD">
      <w:pPr>
        <w:pStyle w:val="34"/>
        <w:spacing w:line="240" w:lineRule="atLeast"/>
        <w:rPr>
          <w:rFonts w:hint="eastAsia" w:asciiTheme="minorEastAsia" w:hAnsiTheme="minorEastAsia" w:eastAsiaTheme="minorEastAsia" w:cstheme="minorEastAsia"/>
          <w:b w:val="0"/>
          <w:color w:val="000000" w:themeColor="text1"/>
          <w:highlight w:val="none"/>
          <w14:textFill>
            <w14:solidFill>
              <w14:schemeClr w14:val="tx1"/>
            </w14:solidFill>
          </w14:textFill>
        </w:rPr>
      </w:pPr>
      <w:bookmarkStart w:id="570" w:name="_Toc103848591"/>
      <w:bookmarkStart w:id="571" w:name="_Toc102117323"/>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br w:type="page"/>
      </w:r>
      <w:bookmarkStart w:id="572" w:name="_Toc375231382"/>
      <w:bookmarkStart w:id="573" w:name="_Toc25454"/>
      <w:bookmarkStart w:id="574" w:name="_Toc216"/>
      <w:bookmarkStart w:id="575" w:name="_Toc107246287"/>
      <w:bookmarkStart w:id="576" w:name="_Toc104560906"/>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（6-4）依法缴纳税收的相关材料</w:t>
      </w:r>
      <w:bookmarkEnd w:id="570"/>
      <w:bookmarkEnd w:id="571"/>
      <w:bookmarkEnd w:id="572"/>
      <w:bookmarkEnd w:id="573"/>
      <w:bookmarkEnd w:id="574"/>
      <w:bookmarkEnd w:id="575"/>
      <w:bookmarkEnd w:id="576"/>
    </w:p>
    <w:p w14:paraId="2FA00ADB">
      <w:pPr>
        <w:spacing w:line="360" w:lineRule="auto"/>
        <w:jc w:val="left"/>
        <w:rPr>
          <w:rFonts w:hint="eastAsia"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注：有依法缴纳税收的良好记录，提供本次采购活动前6个月内（</w:t>
      </w:r>
      <w:r>
        <w:rPr>
          <w:rFonts w:hint="eastAsia" w:cs="Times New Roman"/>
          <w:b/>
          <w:bCs/>
          <w:color w:val="000000" w:themeColor="text1"/>
          <w:highlight w:val="none"/>
          <w:lang w:eastAsia="zh-CN"/>
          <w14:textFill>
            <w14:solidFill>
              <w14:schemeClr w14:val="tx1"/>
            </w14:solidFill>
          </w14:textFill>
        </w:rPr>
        <w:t>即2026年2月（含）以来</w:t>
      </w:r>
      <w:r>
        <w:rPr>
          <w:rFonts w:hint="default" w:ascii="Times New Roman" w:hAnsi="Times New Roman" w:eastAsia="宋体" w:cs="Times New Roman"/>
          <w:b/>
          <w:bCs/>
          <w:color w:val="000000" w:themeColor="text1"/>
          <w:highlight w:val="none"/>
          <w14:textFill>
            <w14:solidFill>
              <w14:schemeClr w14:val="tx1"/>
            </w14:solidFill>
          </w14:textFill>
        </w:rPr>
        <w:t>），至少1个月缴纳税收的凭证复印件，依法享受免缴、缓缴的，提供证明材料复印件</w:t>
      </w:r>
      <w:r>
        <w:rPr>
          <w:rFonts w:hint="eastAsia" w:ascii="Times New Roman" w:hAnsi="Times New Roman" w:eastAsia="宋体" w:cs="Times New Roman"/>
          <w:b/>
          <w:bCs/>
          <w:color w:val="000000" w:themeColor="text1"/>
          <w:highlight w:val="none"/>
          <w:lang w:eastAsia="zh-CN"/>
          <w14:textFill>
            <w14:solidFill>
              <w14:schemeClr w14:val="tx1"/>
            </w14:solidFill>
          </w14:textFill>
        </w:rPr>
        <w:t>。</w:t>
      </w:r>
    </w:p>
    <w:p w14:paraId="2B4F0B04">
      <w:pPr>
        <w:pStyle w:val="34"/>
        <w:spacing w:line="240" w:lineRule="atLeast"/>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color w:val="000000" w:themeColor="text1"/>
          <w:sz w:val="24"/>
          <w:highlight w:val="none"/>
          <w14:textFill>
            <w14:solidFill>
              <w14:schemeClr w14:val="tx1"/>
            </w14:solidFill>
          </w14:textFill>
        </w:rPr>
        <w:br w:type="page"/>
      </w:r>
      <w:bookmarkStart w:id="577" w:name="_Toc107246288"/>
      <w:bookmarkStart w:id="578" w:name="_Toc1501849682"/>
      <w:bookmarkStart w:id="579" w:name="_Toc25571"/>
      <w:bookmarkStart w:id="580" w:name="_Toc103848592"/>
      <w:bookmarkStart w:id="581" w:name="_Toc104560907"/>
      <w:bookmarkStart w:id="582" w:name="_Toc102117324"/>
      <w:bookmarkStart w:id="583" w:name="_Toc15890"/>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（6-5）依法缴纳社会保障资金的相关材料</w:t>
      </w:r>
      <w:bookmarkEnd w:id="577"/>
      <w:bookmarkEnd w:id="578"/>
      <w:bookmarkEnd w:id="579"/>
      <w:bookmarkEnd w:id="580"/>
      <w:bookmarkEnd w:id="581"/>
      <w:bookmarkEnd w:id="582"/>
      <w:bookmarkEnd w:id="583"/>
    </w:p>
    <w:p w14:paraId="42C17EC0">
      <w:pPr>
        <w:spacing w:line="360" w:lineRule="auto"/>
        <w:jc w:val="left"/>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注：根据招标公告的要求提供本次采购活动前6个月内（即</w:t>
      </w:r>
      <w:r>
        <w:rPr>
          <w:rFonts w:hint="eastAsia" w:cs="Times New Roman"/>
          <w:b/>
          <w:bCs/>
          <w:color w:val="000000" w:themeColor="text1"/>
          <w:highlight w:val="none"/>
          <w:lang w:eastAsia="zh-CN"/>
          <w14:textFill>
            <w14:solidFill>
              <w14:schemeClr w14:val="tx1"/>
            </w14:solidFill>
          </w14:textFill>
        </w:rPr>
        <w:t>2026年2</w:t>
      </w:r>
      <w:r>
        <w:rPr>
          <w:rFonts w:hint="default" w:ascii="Times New Roman" w:hAnsi="Times New Roman" w:eastAsia="宋体" w:cs="Times New Roman"/>
          <w:b/>
          <w:bCs/>
          <w:color w:val="000000" w:themeColor="text1"/>
          <w:highlight w:val="none"/>
          <w14:textFill>
            <w14:solidFill>
              <w14:schemeClr w14:val="tx1"/>
            </w14:solidFill>
          </w14:textFill>
        </w:rPr>
        <w:t>月（含）以来），至少1个月缴纳社会保险的凭证复印件，依法享受免缴、缓缴的，提供证明材料复印件。</w:t>
      </w:r>
    </w:p>
    <w:p w14:paraId="26CDEBFB">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p>
    <w:p w14:paraId="69401051">
      <w:pPr>
        <w:pStyle w:val="34"/>
        <w:spacing w:line="240" w:lineRule="atLeast"/>
        <w:rPr>
          <w:rFonts w:hint="eastAsia" w:asciiTheme="minorEastAsia" w:hAnsiTheme="minorEastAsia" w:eastAsiaTheme="minorEastAsia" w:cstheme="minorEastAsia"/>
          <w:b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highlight w:val="none"/>
          <w14:textFill>
            <w14:solidFill>
              <w14:schemeClr w14:val="tx1"/>
            </w14:solidFill>
          </w14:textFill>
        </w:rPr>
        <w:br w:type="page"/>
      </w:r>
      <w:bookmarkStart w:id="584" w:name="_Toc102117325"/>
      <w:bookmarkStart w:id="585" w:name="_Toc103848594"/>
      <w:bookmarkStart w:id="586" w:name="_Toc107246289"/>
      <w:bookmarkStart w:id="587" w:name="_Toc28132"/>
      <w:bookmarkStart w:id="588" w:name="_Toc64818536"/>
      <w:bookmarkStart w:id="589" w:name="_Toc104560909"/>
      <w:bookmarkStart w:id="590" w:name="_Toc32199"/>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（6-6）没有重大违法记录的书面声明</w:t>
      </w:r>
      <w:bookmarkEnd w:id="584"/>
      <w:bookmarkEnd w:id="585"/>
      <w:bookmarkEnd w:id="586"/>
      <w:bookmarkEnd w:id="587"/>
      <w:bookmarkEnd w:id="588"/>
      <w:bookmarkEnd w:id="589"/>
      <w:bookmarkEnd w:id="590"/>
    </w:p>
    <w:p w14:paraId="508080C7">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p>
    <w:p w14:paraId="4AF42401">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注：参加本次采购活动前3年内在经营活动中没有重大违法记录的书面声明（提供声明函原件）。</w:t>
      </w:r>
    </w:p>
    <w:p w14:paraId="4C98D6B3">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p w14:paraId="0F2755FA">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p w14:paraId="4D520B67">
      <w:pPr>
        <w:spacing w:line="360" w:lineRule="auto"/>
        <w:jc w:val="center"/>
        <w:rPr>
          <w:rFonts w:hint="eastAsia" w:asciiTheme="minorEastAsia" w:hAnsiTheme="minorEastAsia" w:eastAsiaTheme="minorEastAsia" w:cstheme="minorEastAsia"/>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44"/>
          <w:szCs w:val="44"/>
          <w:highlight w:val="none"/>
          <w14:textFill>
            <w14:solidFill>
              <w14:schemeClr w14:val="tx1"/>
            </w14:solidFill>
          </w14:textFill>
        </w:rPr>
        <w:t>声  明</w:t>
      </w:r>
    </w:p>
    <w:p w14:paraId="6F1E8D06">
      <w:pP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14:paraId="56D1312C">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ab/>
      </w:r>
      <w:r>
        <w:rPr>
          <w:rFonts w:hint="eastAsia" w:asciiTheme="minorEastAsia" w:hAnsiTheme="minorEastAsia" w:eastAsiaTheme="minorEastAsia" w:cstheme="minorEastAsia"/>
          <w:bCs/>
          <w:color w:val="000000" w:themeColor="text1"/>
          <w:highlight w:val="none"/>
          <w14:textFill>
            <w14:solidFill>
              <w14:schemeClr w14:val="tx1"/>
            </w14:solidFill>
          </w14:textFill>
        </w:rPr>
        <w:t>我单位郑重声明：参加本次采购活动前 3 年内，我单位在经营活动中没有因违法经营受到刑事处罚或者责令停产停业、吊销许可证或者执照、较大数额罚款等行政处罚。</w:t>
      </w:r>
    </w:p>
    <w:p w14:paraId="5DF7DF38">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w:t>
      </w:r>
    </w:p>
    <w:p w14:paraId="4E1C4216">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7B295ED0">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1E0BB26F">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w:t>
      </w:r>
    </w:p>
    <w:p w14:paraId="607FEFEE">
      <w:pPr>
        <w:spacing w:line="360" w:lineRule="auto"/>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6654CAC4">
      <w:pPr>
        <w:spacing w:line="360" w:lineRule="auto"/>
        <w:ind w:firstLine="3990" w:firstLineChars="1900"/>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71DD027B">
      <w:pPr>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法定代表人（单位负责人）</w:t>
      </w:r>
    </w:p>
    <w:p w14:paraId="56683CC6">
      <w:pPr>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或其授权代表（签字或盖章）：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27CF72DD">
      <w:pPr>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p>
    <w:p w14:paraId="419A4372">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日期：______年</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w:t>
      </w:r>
    </w:p>
    <w:p w14:paraId="6FD771AB">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备注：</w:t>
      </w:r>
    </w:p>
    <w:p w14:paraId="14EB4673">
      <w:pPr>
        <w:spacing w:line="360" w:lineRule="auto"/>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较大数额罚款金额规定如下：</w:t>
      </w:r>
    </w:p>
    <w:p w14:paraId="00C67924">
      <w:pPr>
        <w:adjustRightInd w:val="0"/>
        <w:snapToGrid w:val="0"/>
        <w:spacing w:line="360" w:lineRule="auto"/>
        <w:ind w:firstLine="420"/>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根据《财政部关于《中华人民共和国政府采购法实施条例》第十九条第一款 “较大数额罚款”具体适用问题的意见》（财库〔2022〕3 号）：《中华人民共和国政府采购法实施条例》第十九条第一款规定的“较大数额罚款”认定为200万元以上的罚款，法律、行政法规以及国务院有关部门明确规定相关领域“较大数额罚款”标准高于200万元的，从其规定。</w:t>
      </w:r>
    </w:p>
    <w:p w14:paraId="26831475">
      <w:pPr>
        <w:adjustRightInd w:val="0"/>
        <w:snapToGrid w:val="0"/>
        <w:spacing w:line="360" w:lineRule="auto"/>
        <w:jc w:val="left"/>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p w14:paraId="0360A06D">
      <w:pPr>
        <w:pStyle w:val="34"/>
        <w:spacing w:line="240" w:lineRule="atLeast"/>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color w:val="000000" w:themeColor="text1"/>
          <w:highlight w:val="none"/>
          <w14:textFill>
            <w14:solidFill>
              <w14:schemeClr w14:val="tx1"/>
            </w14:solidFill>
          </w14:textFill>
        </w:rPr>
        <w:br w:type="page"/>
      </w:r>
      <w:bookmarkStart w:id="591" w:name="_Toc107246290"/>
      <w:bookmarkStart w:id="592" w:name="_Toc26271"/>
      <w:bookmarkStart w:id="593" w:name="_Toc13506"/>
      <w:bookmarkStart w:id="594" w:name="_Toc630925523"/>
      <w:bookmarkStart w:id="595" w:name="_Toc104560910"/>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（6-7）无不良信用记录承诺函（</w:t>
      </w:r>
      <w:r>
        <w:rPr>
          <w:rFonts w:hint="eastAsia" w:asciiTheme="minorEastAsia" w:hAnsiTheme="minorEastAsia" w:eastAsiaTheme="minorEastAsia" w:cstheme="minorEastAsia"/>
          <w:bCs w:val="0"/>
          <w:color w:val="000000" w:themeColor="text1"/>
          <w:sz w:val="24"/>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自行查询适用）</w:t>
      </w:r>
      <w:bookmarkEnd w:id="591"/>
      <w:bookmarkEnd w:id="592"/>
      <w:bookmarkEnd w:id="593"/>
      <w:bookmarkEnd w:id="594"/>
      <w:bookmarkEnd w:id="595"/>
    </w:p>
    <w:p w14:paraId="56E76315">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本单位郑重承诺，我单位无以下不良信用记录情形：</w:t>
      </w:r>
    </w:p>
    <w:p w14:paraId="0ADF258D">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1.被人民法院列入失信被执行人；</w:t>
      </w:r>
    </w:p>
    <w:p w14:paraId="14D8E654">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2.被税务部门列入重大税收违法失信主体名单；</w:t>
      </w:r>
    </w:p>
    <w:p w14:paraId="648D2C71">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3.被政府采购监管部门列入政府采购严重违法失信行为记录名单；</w:t>
      </w:r>
    </w:p>
    <w:p w14:paraId="520A6853">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4.不符合《政府采购法》第二十二条规定的条件。</w:t>
      </w:r>
    </w:p>
    <w:p w14:paraId="36367EA4">
      <w:pPr>
        <w:pStyle w:val="73"/>
        <w:spacing w:line="480" w:lineRule="auto"/>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我单位已就上述不良信用行为按照招标文件中</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须知前附表规定进行了查询。我单位承诺：合同签订前，若我单位具有不良信用记录情形，贵方可取消我单位中标资格或者不授予合同，所有责任由我单位自行承担。同时，我单位愿意无条件接受监管部门的调查处理。</w:t>
      </w:r>
    </w:p>
    <w:p w14:paraId="7F5390C3">
      <w:pPr>
        <w:pStyle w:val="73"/>
        <w:ind w:firstLine="4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2A7F8B5">
      <w:pPr>
        <w:pStyle w:val="73"/>
        <w:ind w:firstLine="4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04DE8DA">
      <w:pPr>
        <w:pStyle w:val="73"/>
        <w:ind w:firstLine="4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2AAF0C51">
      <w:pPr>
        <w:pStyle w:val="73"/>
        <w:ind w:firstLine="4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AB3565B">
      <w:pPr>
        <w:pStyle w:val="73"/>
        <w:ind w:firstLine="4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28B7308C">
      <w:pPr>
        <w:spacing w:line="360" w:lineRule="auto"/>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bookmarkStart w:id="596" w:name="_Toc102117326"/>
      <w:bookmarkStart w:id="597" w:name="_Toc103848596"/>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475CD197">
      <w:pPr>
        <w:spacing w:line="360" w:lineRule="auto"/>
        <w:ind w:firstLine="3990" w:firstLineChars="1900"/>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331EE59A">
      <w:pPr>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法定代表人（单位负责人）</w:t>
      </w:r>
    </w:p>
    <w:p w14:paraId="32AFF938">
      <w:pPr>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或其授权代表（签字或盖章）：</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p w14:paraId="7FD89D14">
      <w:pPr>
        <w:ind w:firstLine="3990" w:firstLineChars="1900"/>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pPr>
    </w:p>
    <w:p w14:paraId="1F55D043">
      <w:pPr>
        <w:spacing w:line="360" w:lineRule="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日期：______年</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w:t>
      </w:r>
    </w:p>
    <w:p w14:paraId="33D89D73">
      <w:pPr>
        <w:pStyle w:val="34"/>
        <w:spacing w:before="0"/>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br w:type="page"/>
      </w:r>
      <w:bookmarkStart w:id="598" w:name="_Toc26571"/>
      <w:bookmarkStart w:id="599" w:name="_Toc107246291"/>
      <w:bookmarkStart w:id="600" w:name="_Toc104560911"/>
      <w:bookmarkStart w:id="601" w:name="_Toc1838499822"/>
      <w:bookmarkStart w:id="602" w:name="_Toc16012"/>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（6-8）</w:t>
      </w:r>
      <w:bookmarkEnd w:id="596"/>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招标文件要求的其它实质性资格资信证明文件</w:t>
      </w:r>
      <w:bookmarkEnd w:id="598"/>
      <w:bookmarkEnd w:id="599"/>
      <w:bookmarkEnd w:id="600"/>
      <w:bookmarkEnd w:id="601"/>
      <w:bookmarkEnd w:id="602"/>
    </w:p>
    <w:p w14:paraId="243CB1A1">
      <w:pPr>
        <w:pStyle w:val="17"/>
        <w:ind w:left="0" w:leftChars="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C715BAE">
      <w:pPr>
        <w:pStyle w:val="13"/>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t>注：若投标产品为医疗器械：</w:t>
      </w:r>
    </w:p>
    <w:p w14:paraId="0317D21E">
      <w:pPr>
        <w:pStyle w:val="13"/>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t>（1）根据国家相关规定提供投标产品有效的医疗器械产品注册证复印件或产品备案凭证复印件；</w:t>
      </w:r>
    </w:p>
    <w:p w14:paraId="370620C7">
      <w:pPr>
        <w:pStyle w:val="13"/>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t>（2）若投标供应商为代理商，应根据国家相关规定提供医疗器械经营许可证或医疗器械经营备案凭证复印件；</w:t>
      </w:r>
    </w:p>
    <w:p w14:paraId="2D192452">
      <w:pPr>
        <w:pStyle w:val="13"/>
        <w:rPr>
          <w:rFonts w:hint="default"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t>（3）若投标供应商为生产商，应根据国家相关规定提供医疗器械生产许可证复印件或生产备案凭证复印件。</w:t>
      </w:r>
    </w:p>
    <w:p w14:paraId="56ABE8A6">
      <w:pPr>
        <w:rPr>
          <w:rFonts w:hint="eastAsia"/>
          <w:color w:val="000000" w:themeColor="text1"/>
          <w:highlight w:val="none"/>
          <w14:textFill>
            <w14:solidFill>
              <w14:schemeClr w14:val="tx1"/>
            </w14:solidFill>
          </w14:textFill>
        </w:rPr>
      </w:pPr>
    </w:p>
    <w:bookmarkEnd w:id="597"/>
    <w:p w14:paraId="14221C0A">
      <w:pPr>
        <w:spacing w:line="480" w:lineRule="auto"/>
        <w:rPr>
          <w:rFonts w:hint="eastAsia" w:asciiTheme="minorEastAsia" w:hAnsiTheme="minorEastAsia" w:eastAsiaTheme="minorEastAsia" w:cstheme="minorEastAsia"/>
          <w:bCs/>
          <w:color w:val="000000" w:themeColor="text1"/>
          <w:kern w:val="0"/>
          <w:szCs w:val="21"/>
          <w:highlight w:val="none"/>
          <w14:textFill>
            <w14:solidFill>
              <w14:schemeClr w14:val="tx1"/>
            </w14:solidFill>
          </w14:textFill>
        </w:rPr>
      </w:pPr>
      <w:bookmarkStart w:id="603" w:name="_Toc103848598"/>
      <w:bookmarkStart w:id="604" w:name="_Toc102117330"/>
      <w:r>
        <w:rPr>
          <w:rFonts w:hint="eastAsia" w:asciiTheme="minorEastAsia" w:hAnsiTheme="minorEastAsia" w:eastAsiaTheme="minorEastAsia" w:cstheme="minorEastAsia"/>
          <w:bCs/>
          <w:color w:val="000000" w:themeColor="text1"/>
          <w:kern w:val="0"/>
          <w:szCs w:val="21"/>
          <w:highlight w:val="none"/>
          <w14:textFill>
            <w14:solidFill>
              <w14:schemeClr w14:val="tx1"/>
            </w14:solidFill>
          </w14:textFill>
        </w:rPr>
        <w:br w:type="page"/>
      </w:r>
    </w:p>
    <w:p w14:paraId="7D2B77B2">
      <w:pPr>
        <w:pStyle w:val="34"/>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pPr>
      <w:bookmarkStart w:id="605" w:name="_Toc104560915"/>
      <w:bookmarkStart w:id="606" w:name="_Toc1671795318"/>
      <w:bookmarkStart w:id="607" w:name="_Toc22106"/>
      <w:bookmarkStart w:id="608" w:name="_Toc7920"/>
      <w:bookmarkStart w:id="609" w:name="_Toc107246296"/>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）公章授权书（如需）</w:t>
      </w:r>
      <w:bookmarkEnd w:id="603"/>
      <w:bookmarkEnd w:id="604"/>
      <w:bookmarkEnd w:id="605"/>
      <w:bookmarkEnd w:id="606"/>
      <w:bookmarkEnd w:id="607"/>
      <w:bookmarkEnd w:id="608"/>
      <w:bookmarkEnd w:id="609"/>
    </w:p>
    <w:p w14:paraId="4969D161">
      <w:pPr>
        <w:pStyle w:val="73"/>
        <w:ind w:firstLine="0" w:firstLineChars="0"/>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7C0341A">
      <w:pPr>
        <w:pStyle w:val="73"/>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______________________（采购人）</w:t>
      </w:r>
    </w:p>
    <w:p w14:paraId="63EEA2C9">
      <w:pPr>
        <w:pStyle w:val="73"/>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______，中华人民共和国合法企业，法定地址：____________________。在参与______</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(项目名称)(项目编号)</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______协商活动中，我单位授权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（其他形式的印章名称）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（样式附后）在此次活动中代为公章使用。</w:t>
      </w:r>
    </w:p>
    <w:p w14:paraId="2C444898">
      <w:pPr>
        <w:pStyle w:val="73"/>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（其他形式的印章名称）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所签署的投标文件、澄清等，我单位承认并同意具备与我单位公章签署等同的法律效力。</w:t>
      </w:r>
    </w:p>
    <w:p w14:paraId="008214E3">
      <w:pPr>
        <w:pStyle w:val="73"/>
        <w:ind w:firstLine="42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（其他形式的印章名称）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签署的所有文件、协议不因授权的撤销而失效。</w:t>
      </w:r>
    </w:p>
    <w:p w14:paraId="3695AAE0">
      <w:pPr>
        <w:pStyle w:val="73"/>
        <w:ind w:right="840"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27C24E8">
      <w:pPr>
        <w:pStyle w:val="73"/>
        <w:ind w:right="840" w:firstLine="199" w:firstLineChars="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其他形式的印章名称：______________</w:t>
      </w:r>
    </w:p>
    <w:p w14:paraId="1D403205">
      <w:pPr>
        <w:pStyle w:val="73"/>
        <w:ind w:right="420" w:firstLine="190" w:firstLineChars="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mc:AlternateContent>
          <mc:Choice Requires="wps">
            <w:drawing>
              <wp:anchor distT="45720" distB="45720" distL="114300" distR="114300" simplePos="0" relativeHeight="251659264" behindDoc="0" locked="0" layoutInCell="1" allowOverlap="1">
                <wp:simplePos x="0" y="0"/>
                <wp:positionH relativeFrom="column">
                  <wp:posOffset>1028700</wp:posOffset>
                </wp:positionH>
                <wp:positionV relativeFrom="paragraph">
                  <wp:posOffset>112395</wp:posOffset>
                </wp:positionV>
                <wp:extent cx="2295525" cy="2261235"/>
                <wp:effectExtent l="4445" t="4445" r="11430" b="7620"/>
                <wp:wrapSquare wrapText="bothSides"/>
                <wp:docPr id="1" name="文本框 2"/>
                <wp:cNvGraphicFramePr/>
                <a:graphic xmlns:a="http://schemas.openxmlformats.org/drawingml/2006/main">
                  <a:graphicData uri="http://schemas.microsoft.com/office/word/2010/wordprocessingShape">
                    <wps:wsp>
                      <wps:cNvSpPr txBox="1"/>
                      <wps:spPr>
                        <a:xfrm>
                          <a:off x="0" y="0"/>
                          <a:ext cx="2295525" cy="2261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E4A8EF"/>
                        </w:txbxContent>
                      </wps:txbx>
                      <wps:bodyPr wrap="square" upright="1"/>
                    </wps:wsp>
                  </a:graphicData>
                </a:graphic>
              </wp:anchor>
            </w:drawing>
          </mc:Choice>
          <mc:Fallback>
            <w:pict>
              <v:shape id="文本框 2" o:spid="_x0000_s1026" o:spt="202" type="#_x0000_t202" style="position:absolute;left:0pt;margin-left:81pt;margin-top:8.85pt;height:178.05pt;width:180.75pt;mso-wrap-distance-bottom:3.6pt;mso-wrap-distance-left:9pt;mso-wrap-distance-right:9pt;mso-wrap-distance-top:3.6pt;z-index:251659264;mso-width-relative:page;mso-height-relative:page;" fillcolor="#FFFFFF" filled="t" stroked="t" coordsize="21600,21600" o:gfxdata="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9v33NkAAAAKAQAADwAAAAAA&#10;AAABACAAAAAiAAAAZHJzL2Rvd25yZXYueG1sUEsBAhQAFAAAAAgAh07iQAijVJUSAgAARQQAAA4A&#10;AAAAAAAAAQAgAAAAKAEAAGRycy9lMm9Eb2MueG1sUEsFBgAAAAAGAAYAWQEAAKwFAAAAAA==&#10;">
                <v:fill on="t" focussize="0,0"/>
                <v:stroke color="#000000" joinstyle="miter"/>
                <v:imagedata o:title=""/>
                <o:lock v:ext="edit" aspectratio="f"/>
                <v:textbox>
                  <w:txbxContent>
                    <w:p w14:paraId="50E4A8EF"/>
                  </w:txbxContent>
                </v:textbox>
                <w10:wrap type="square"/>
              </v:shape>
            </w:pict>
          </mc:Fallback>
        </mc:AlternateConten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印章样式：</w:t>
      </w:r>
    </w:p>
    <w:p w14:paraId="305EF89A">
      <w:pPr>
        <w:pStyle w:val="73"/>
        <w:ind w:right="420" w:firstLine="4819" w:firstLineChars="22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034233">
      <w:pPr>
        <w:pStyle w:val="73"/>
        <w:ind w:right="420" w:firstLine="4819" w:firstLineChars="22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CFAE64D">
      <w:pPr>
        <w:pStyle w:val="73"/>
        <w:ind w:right="420" w:firstLine="4819" w:firstLineChars="22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C23C306">
      <w:pPr>
        <w:pStyle w:val="73"/>
        <w:ind w:right="420" w:firstLine="4819" w:firstLineChars="22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96752D8">
      <w:pPr>
        <w:pStyle w:val="73"/>
        <w:ind w:right="420" w:firstLine="3559" w:firstLineChars="16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DD1EA54">
      <w:pPr>
        <w:pStyle w:val="73"/>
        <w:ind w:right="420" w:firstLine="3559" w:firstLineChars="16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7CF74BB">
      <w:pPr>
        <w:pStyle w:val="73"/>
        <w:ind w:right="420" w:firstLine="3559" w:firstLineChars="1695"/>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0E0FAF">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E7A473B">
      <w:pPr>
        <w:pStyle w:val="73"/>
        <w:spacing w:line="276" w:lineRule="auto"/>
        <w:ind w:right="420" w:firstLine="0" w:firstLine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1B3873">
      <w:pPr>
        <w:pStyle w:val="73"/>
        <w:spacing w:line="276" w:lineRule="auto"/>
        <w:ind w:right="420" w:firstLine="0" w:firstLine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49922A0">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名称（公章）：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EDEC8FB">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9BFE187">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法定代表人（单位负责人）</w:t>
      </w:r>
    </w:p>
    <w:p w14:paraId="5C454CC1">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或其授权代表（签字或盖章）：_________________</w:t>
      </w:r>
    </w:p>
    <w:p w14:paraId="32E20F8A">
      <w:pPr>
        <w:pStyle w:val="73"/>
        <w:spacing w:line="276" w:lineRule="auto"/>
        <w:ind w:right="420" w:firstLine="3150" w:firstLineChars="15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FBF1645">
      <w:pPr>
        <w:spacing w:line="276" w:lineRule="auto"/>
        <w:jc w:val="left"/>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日期：______年</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日</w:t>
      </w:r>
    </w:p>
    <w:p w14:paraId="32A8D702">
      <w:pPr>
        <w:spacing w:line="276" w:lineRule="auto"/>
        <w:jc w:val="left"/>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p w14:paraId="10915093">
      <w:pPr>
        <w:pStyle w:val="34"/>
        <w:numPr>
          <w:ilvl w:val="0"/>
          <w:numId w:val="0"/>
        </w:numPr>
        <w:spacing w:before="0" w:line="360" w:lineRule="auto"/>
        <w:ind w:left="601" w:leftChars="0" w:hanging="601" w:firstLineChars="0"/>
        <w:rPr>
          <w:rFonts w:hint="default" w:ascii="Times New Roman" w:hAnsi="Times New Roman" w:eastAsia="宋体" w:cs="Times New Roman"/>
          <w:color w:val="000000" w:themeColor="text1"/>
          <w:sz w:val="28"/>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End w:id="502"/>
      <w:bookmarkStart w:id="610" w:name="_Toc19895"/>
      <w:bookmarkStart w:id="611" w:name="_Toc103848599"/>
      <w:bookmarkStart w:id="612" w:name="_Toc107246299"/>
      <w:bookmarkStart w:id="613" w:name="_Toc104560916"/>
      <w:bookmarkStart w:id="614" w:name="_Toc18213"/>
      <w:bookmarkStart w:id="615" w:name="_Toc96347904"/>
      <w:r>
        <w:rPr>
          <w:rFonts w:hint="eastAsia" w:ascii="Times New Roman" w:hAnsi="Times New Roman" w:eastAsia="宋体" w:cs="Times New Roman"/>
          <w:b/>
          <w:bCs/>
          <w:color w:val="000000" w:themeColor="text1"/>
          <w:sz w:val="28"/>
          <w:szCs w:val="24"/>
          <w:highlight w:val="none"/>
          <w:lang w:val="en-US" w:eastAsia="zh-CN" w:bidi="ar-SA"/>
          <w14:textFill>
            <w14:solidFill>
              <w14:schemeClr w14:val="tx1"/>
            </w14:solidFill>
          </w14:textFill>
        </w:rPr>
        <w:t>二</w:t>
      </w:r>
      <w:r>
        <w:rPr>
          <w:rFonts w:hint="default" w:ascii="Times New Roman" w:hAnsi="Times New Roman" w:eastAsia="宋体" w:cs="Times New Roman"/>
          <w:b/>
          <w:bCs/>
          <w:color w:val="000000" w:themeColor="text1"/>
          <w:sz w:val="28"/>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8"/>
          <w:szCs w:val="24"/>
          <w:highlight w:val="none"/>
          <w14:textFill>
            <w14:solidFill>
              <w14:schemeClr w14:val="tx1"/>
            </w14:solidFill>
          </w14:textFill>
        </w:rPr>
        <w:t>技术部分</w:t>
      </w:r>
      <w:bookmarkEnd w:id="610"/>
      <w:bookmarkEnd w:id="611"/>
      <w:bookmarkEnd w:id="612"/>
      <w:bookmarkEnd w:id="613"/>
      <w:bookmarkEnd w:id="614"/>
    </w:p>
    <w:p w14:paraId="53200231">
      <w:pPr>
        <w:pStyle w:val="34"/>
        <w:spacing w:before="0"/>
        <w:rPr>
          <w:rFonts w:hint="default" w:ascii="Times New Roman" w:hAnsi="Times New Roman" w:eastAsia="宋体" w:cs="Times New Roman"/>
          <w:bCs w:val="0"/>
          <w:color w:val="000000" w:themeColor="text1"/>
          <w:sz w:val="24"/>
          <w:szCs w:val="24"/>
          <w:highlight w:val="none"/>
          <w14:textFill>
            <w14:solidFill>
              <w14:schemeClr w14:val="tx1"/>
            </w14:solidFill>
          </w14:textFill>
        </w:rPr>
      </w:pPr>
      <w:bookmarkStart w:id="616" w:name="_Toc107246301"/>
      <w:bookmarkStart w:id="617" w:name="_Toc14640"/>
      <w:bookmarkStart w:id="618" w:name="_Toc103848601"/>
      <w:bookmarkStart w:id="619" w:name="_Toc104560918"/>
      <w:bookmarkStart w:id="620" w:name="_Toc2890"/>
      <w:r>
        <w:rPr>
          <w:rFonts w:hint="default" w:ascii="Times New Roman" w:hAnsi="Times New Roman" w:eastAsia="宋体" w:cs="Times New Roman"/>
          <w:bCs w:val="0"/>
          <w:color w:val="000000" w:themeColor="text1"/>
          <w:sz w:val="24"/>
          <w:szCs w:val="24"/>
          <w:highlight w:val="none"/>
          <w14:textFill>
            <w14:solidFill>
              <w14:schemeClr w14:val="tx1"/>
            </w14:solidFill>
          </w14:textFill>
        </w:rPr>
        <w:t>（1）技术条款偏离表</w:t>
      </w:r>
      <w:bookmarkEnd w:id="616"/>
      <w:bookmarkEnd w:id="617"/>
      <w:bookmarkEnd w:id="618"/>
      <w:bookmarkEnd w:id="619"/>
      <w:bookmarkEnd w:id="620"/>
    </w:p>
    <w:p w14:paraId="53009032">
      <w:pPr>
        <w:pStyle w:val="95"/>
        <w:ind w:firstLine="42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项目名称：</w:t>
      </w:r>
      <w:sdt>
        <w:sdtPr>
          <w:rPr>
            <w:rFonts w:hint="default" w:ascii="Times New Roman" w:hAnsi="Times New Roman" w:eastAsia="宋体" w:cs="Times New Roman"/>
            <w:color w:val="000000" w:themeColor="text1"/>
            <w:sz w:val="21"/>
            <w:szCs w:val="21"/>
            <w:highlight w:val="none"/>
            <w14:textFill>
              <w14:solidFill>
                <w14:schemeClr w14:val="tx1"/>
              </w14:solidFill>
            </w14:textFill>
          </w:rPr>
          <w:id w:val="147451815"/>
          <w:placeholder>
            <w:docPart w:val="{f522962d-1971-45cf-8d94-286207fb1251}"/>
          </w:placeholder>
        </w:sdtPr>
        <w:sdtEndPr>
          <w:rPr>
            <w:rFonts w:hint="default" w:ascii="Times New Roman" w:hAnsi="Times New Roman" w:eastAsia="宋体" w:cs="Times New Roman"/>
            <w:color w:val="000000" w:themeColor="text1"/>
            <w:sz w:val="21"/>
            <w:szCs w:val="21"/>
            <w:highlight w:val="none"/>
            <w14:textFill>
              <w14:solidFill>
                <w14:schemeClr w14:val="tx1"/>
              </w14:solidFill>
            </w14:textFill>
          </w:rPr>
        </w:sdtEndPr>
        <w:sdtContent>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中国医学科学院皮肤病医院（中国医学科学院皮肤病研究所）</w:t>
          </w:r>
          <w:r>
            <w:rPr>
              <w:rFonts w:hint="eastAsia" w:ascii="Times New Roman" w:hAnsi="Times New Roman" w:cs="Times New Roman"/>
              <w:color w:val="000000" w:themeColor="text1"/>
              <w:sz w:val="21"/>
              <w:szCs w:val="21"/>
              <w:highlight w:val="none"/>
              <w:lang w:eastAsia="zh-CN"/>
              <w14:textFill>
                <w14:solidFill>
                  <w14:schemeClr w14:val="tx1"/>
                </w14:solidFill>
              </w14:textFill>
            </w:rPr>
            <w:t>医用冰箱设备采购项目</w:t>
          </w:r>
        </w:sdtContent>
      </w:sdt>
    </w:p>
    <w:p w14:paraId="2E5F9790">
      <w:pPr>
        <w:pStyle w:val="95"/>
        <w:ind w:firstLine="42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项目编号：</w:t>
      </w:r>
      <w:sdt>
        <w:sdtPr>
          <w:rPr>
            <w:rFonts w:hint="default" w:ascii="Times New Roman" w:hAnsi="Times New Roman" w:eastAsia="宋体" w:cs="Times New Roman"/>
            <w:color w:val="000000" w:themeColor="text1"/>
            <w:sz w:val="21"/>
            <w:szCs w:val="21"/>
            <w:highlight w:val="none"/>
            <w14:textFill>
              <w14:solidFill>
                <w14:schemeClr w14:val="tx1"/>
              </w14:solidFill>
            </w14:textFill>
          </w:rPr>
          <w:id w:val="147475835"/>
          <w:placeholder>
            <w:docPart w:val="{f522962d-1971-45cf-8d94-286207fb1251}"/>
          </w:placeholder>
        </w:sdtPr>
        <w:sdtEndP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sdtEndPr>
        <w:sdtContent>
          <w:r>
            <w:rPr>
              <w:rFonts w:hint="eastAsia" w:ascii="Times New Roman" w:hAnsi="Times New Roman" w:cs="Times New Roman"/>
              <w:color w:val="000000" w:themeColor="text1"/>
              <w:sz w:val="21"/>
              <w:szCs w:val="21"/>
              <w:highlight w:val="none"/>
              <w:lang w:eastAsia="zh-CN"/>
              <w14:textFill>
                <w14:solidFill>
                  <w14:schemeClr w14:val="tx1"/>
                </w14:solidFill>
              </w14:textFill>
            </w:rPr>
            <w:t>JSTCC26025106139</w:t>
          </w:r>
        </w:sdtContent>
      </w:sdt>
    </w:p>
    <w:tbl>
      <w:tblPr>
        <w:tblStyle w:val="3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938"/>
        <w:gridCol w:w="3011"/>
        <w:gridCol w:w="1886"/>
      </w:tblGrid>
      <w:tr w14:paraId="739E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18" w:type="pct"/>
            <w:noWrap w:val="0"/>
            <w:vAlign w:val="center"/>
          </w:tcPr>
          <w:p w14:paraId="4870E4A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Cs w:val="24"/>
                <w:highlight w:val="none"/>
                <w14:textFill>
                  <w14:solidFill>
                    <w14:schemeClr w14:val="tx1"/>
                  </w14:solidFill>
                </w14:textFill>
              </w:rPr>
              <w:t>序号</w:t>
            </w:r>
          </w:p>
        </w:tc>
        <w:tc>
          <w:tcPr>
            <w:tcW w:w="1642" w:type="pct"/>
            <w:noWrap w:val="0"/>
            <w:vAlign w:val="center"/>
          </w:tcPr>
          <w:p w14:paraId="73845B6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Cs w:val="24"/>
                <w:highlight w:val="none"/>
                <w14:textFill>
                  <w14:solidFill>
                    <w14:schemeClr w14:val="tx1"/>
                  </w14:solidFill>
                </w14:textFill>
              </w:rPr>
              <w:t>招标文件要求</w:t>
            </w:r>
          </w:p>
        </w:tc>
        <w:tc>
          <w:tcPr>
            <w:tcW w:w="1683" w:type="pct"/>
            <w:noWrap w:val="0"/>
            <w:vAlign w:val="center"/>
          </w:tcPr>
          <w:p w14:paraId="1DD87DA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Cs w:val="24"/>
                <w:highlight w:val="none"/>
                <w:lang w:eastAsia="zh-CN"/>
                <w14:textFill>
                  <w14:solidFill>
                    <w14:schemeClr w14:val="tx1"/>
                  </w14:solidFill>
                </w14:textFill>
              </w:rPr>
              <w:t>供应商</w:t>
            </w:r>
            <w:r>
              <w:rPr>
                <w:rFonts w:hint="default" w:ascii="Times New Roman" w:hAnsi="Times New Roman" w:eastAsia="宋体" w:cs="Times New Roman"/>
                <w:b w:val="0"/>
                <w:color w:val="000000" w:themeColor="text1"/>
                <w:szCs w:val="24"/>
                <w:highlight w:val="none"/>
                <w14:textFill>
                  <w14:solidFill>
                    <w14:schemeClr w14:val="tx1"/>
                  </w14:solidFill>
                </w14:textFill>
              </w:rPr>
              <w:t>响应内容</w:t>
            </w:r>
          </w:p>
        </w:tc>
        <w:tc>
          <w:tcPr>
            <w:tcW w:w="1054" w:type="pct"/>
            <w:noWrap w:val="0"/>
            <w:vAlign w:val="center"/>
          </w:tcPr>
          <w:p w14:paraId="4AB79FE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Cs w:val="24"/>
                <w:highlight w:val="none"/>
                <w14:textFill>
                  <w14:solidFill>
                    <w14:schemeClr w14:val="tx1"/>
                  </w14:solidFill>
                </w14:textFill>
              </w:rPr>
              <w:t>偏离及说明</w:t>
            </w:r>
          </w:p>
        </w:tc>
      </w:tr>
      <w:tr w14:paraId="0EF7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18" w:type="pct"/>
            <w:noWrap w:val="0"/>
            <w:vAlign w:val="center"/>
          </w:tcPr>
          <w:p w14:paraId="3298B700">
            <w:pPr>
              <w:pStyle w:val="95"/>
              <w:keepNext w:val="0"/>
              <w:keepLines w:val="0"/>
              <w:numPr>
                <w:ilvl w:val="0"/>
                <w:numId w:val="6"/>
              </w:numPr>
              <w:suppressLineNumbers w:val="0"/>
              <w:spacing w:before="0" w:beforeAutospacing="0" w:after="0" w:afterAutospacing="0"/>
              <w:ind w:left="425" w:right="0" w:hanging="425"/>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642" w:type="pct"/>
            <w:noWrap w:val="0"/>
            <w:vAlign w:val="center"/>
          </w:tcPr>
          <w:p w14:paraId="53952461">
            <w:pPr>
              <w:pStyle w:val="8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83" w:type="pct"/>
            <w:noWrap w:val="0"/>
          </w:tcPr>
          <w:p w14:paraId="6778BE3D">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54" w:type="pct"/>
            <w:noWrap w:val="0"/>
            <w:vAlign w:val="center"/>
          </w:tcPr>
          <w:p w14:paraId="7873E801">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080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18" w:type="pct"/>
            <w:noWrap w:val="0"/>
            <w:vAlign w:val="center"/>
          </w:tcPr>
          <w:p w14:paraId="496136CA">
            <w:pPr>
              <w:pStyle w:val="95"/>
              <w:keepNext w:val="0"/>
              <w:keepLines w:val="0"/>
              <w:numPr>
                <w:ilvl w:val="0"/>
                <w:numId w:val="6"/>
              </w:numPr>
              <w:suppressLineNumbers w:val="0"/>
              <w:spacing w:before="0" w:beforeAutospacing="0" w:after="0" w:afterAutospacing="0"/>
              <w:ind w:left="425" w:right="0" w:hanging="425"/>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642" w:type="pct"/>
            <w:noWrap w:val="0"/>
            <w:vAlign w:val="center"/>
          </w:tcPr>
          <w:p w14:paraId="49AEDAD0">
            <w:pPr>
              <w:pStyle w:val="8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83" w:type="pct"/>
            <w:noWrap w:val="0"/>
          </w:tcPr>
          <w:p w14:paraId="5F789008">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54" w:type="pct"/>
            <w:noWrap w:val="0"/>
            <w:vAlign w:val="center"/>
          </w:tcPr>
          <w:p w14:paraId="7B1EF0CB">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AE7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18" w:type="pct"/>
            <w:noWrap w:val="0"/>
            <w:vAlign w:val="center"/>
          </w:tcPr>
          <w:p w14:paraId="6C002722">
            <w:pPr>
              <w:pStyle w:val="95"/>
              <w:keepNext w:val="0"/>
              <w:keepLines w:val="0"/>
              <w:numPr>
                <w:ilvl w:val="0"/>
                <w:numId w:val="6"/>
              </w:numPr>
              <w:suppressLineNumbers w:val="0"/>
              <w:spacing w:before="0" w:beforeAutospacing="0" w:after="0" w:afterAutospacing="0"/>
              <w:ind w:left="425" w:right="0" w:hanging="425"/>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642" w:type="pct"/>
            <w:noWrap w:val="0"/>
            <w:vAlign w:val="center"/>
          </w:tcPr>
          <w:p w14:paraId="37F01C82">
            <w:pPr>
              <w:pStyle w:val="8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83" w:type="pct"/>
            <w:noWrap w:val="0"/>
          </w:tcPr>
          <w:p w14:paraId="744CAD76">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54" w:type="pct"/>
            <w:noWrap w:val="0"/>
            <w:vAlign w:val="center"/>
          </w:tcPr>
          <w:p w14:paraId="35B48792">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723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18" w:type="pct"/>
            <w:noWrap w:val="0"/>
            <w:vAlign w:val="center"/>
          </w:tcPr>
          <w:p w14:paraId="64AE0976">
            <w:pPr>
              <w:pStyle w:val="95"/>
              <w:keepNext w:val="0"/>
              <w:keepLines w:val="0"/>
              <w:numPr>
                <w:ilvl w:val="0"/>
                <w:numId w:val="6"/>
              </w:numPr>
              <w:suppressLineNumbers w:val="0"/>
              <w:spacing w:before="0" w:beforeAutospacing="0" w:after="0" w:afterAutospacing="0"/>
              <w:ind w:left="425" w:right="0" w:hanging="425"/>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642" w:type="pct"/>
            <w:noWrap w:val="0"/>
            <w:vAlign w:val="center"/>
          </w:tcPr>
          <w:p w14:paraId="3CB05EB1">
            <w:pPr>
              <w:pStyle w:val="8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83" w:type="pct"/>
            <w:noWrap w:val="0"/>
          </w:tcPr>
          <w:p w14:paraId="7E59298B">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54" w:type="pct"/>
            <w:noWrap w:val="0"/>
            <w:vAlign w:val="center"/>
          </w:tcPr>
          <w:p w14:paraId="1E9D6E81">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DD3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18" w:type="pct"/>
            <w:noWrap w:val="0"/>
            <w:vAlign w:val="center"/>
          </w:tcPr>
          <w:p w14:paraId="0B2349BE">
            <w:pPr>
              <w:pStyle w:val="95"/>
              <w:keepNext w:val="0"/>
              <w:keepLines w:val="0"/>
              <w:numPr>
                <w:ilvl w:val="0"/>
                <w:numId w:val="6"/>
              </w:numPr>
              <w:suppressLineNumbers w:val="0"/>
              <w:spacing w:before="0" w:beforeAutospacing="0" w:after="0" w:afterAutospacing="0"/>
              <w:ind w:left="425" w:right="0" w:hanging="425"/>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642" w:type="pct"/>
            <w:noWrap w:val="0"/>
            <w:vAlign w:val="center"/>
          </w:tcPr>
          <w:p w14:paraId="2D1BADD5">
            <w:pPr>
              <w:pStyle w:val="8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83" w:type="pct"/>
            <w:noWrap w:val="0"/>
          </w:tcPr>
          <w:p w14:paraId="133BFEF9">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54" w:type="pct"/>
            <w:noWrap w:val="0"/>
            <w:vAlign w:val="center"/>
          </w:tcPr>
          <w:p w14:paraId="7110CE9C">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09923534">
      <w:pPr>
        <w:pStyle w:val="32"/>
        <w:spacing w:line="360" w:lineRule="exact"/>
        <w:rPr>
          <w:rFonts w:hint="default" w:ascii="Times New Roman" w:hAnsi="Times New Roman" w:eastAsia="宋体" w:cs="Times New Roman"/>
          <w:b/>
          <w:bCs/>
          <w:color w:val="000000" w:themeColor="text1"/>
          <w:highlight w:val="none"/>
          <w14:textFill>
            <w14:solidFill>
              <w14:schemeClr w14:val="tx1"/>
            </w14:solidFill>
          </w14:textFill>
        </w:rPr>
      </w:pPr>
    </w:p>
    <w:p w14:paraId="23DFFCC8">
      <w:pPr>
        <w:pStyle w:val="32"/>
        <w:spacing w:line="360" w:lineRule="exact"/>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注：</w:t>
      </w:r>
    </w:p>
    <w:p w14:paraId="2C5641A0">
      <w:pPr>
        <w:pStyle w:val="32"/>
        <w:spacing w:line="360" w:lineRule="exact"/>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 xml:space="preserve">1. </w:t>
      </w:r>
      <w:r>
        <w:rPr>
          <w:rFonts w:hint="eastAsia" w:ascii="Times New Roman" w:hAnsi="Times New Roman" w:cs="Times New Roman"/>
          <w:b/>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
          <w:bCs/>
          <w:color w:val="000000" w:themeColor="text1"/>
          <w:highlight w:val="none"/>
          <w14:textFill>
            <w14:solidFill>
              <w14:schemeClr w14:val="tx1"/>
            </w14:solidFill>
          </w14:textFill>
        </w:rPr>
        <w:t>须根据招标文件技术条款相关要求填写此表，作为投标文件的组成部分。</w:t>
      </w:r>
    </w:p>
    <w:p w14:paraId="6778731E">
      <w:pPr>
        <w:pStyle w:val="32"/>
        <w:spacing w:line="360" w:lineRule="exact"/>
        <w:rPr>
          <w:rFonts w:hint="default"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highlight w:val="none"/>
          <w14:textFill>
            <w14:solidFill>
              <w14:schemeClr w14:val="tx1"/>
            </w14:solidFill>
          </w14:textFill>
        </w:rPr>
        <w:t>. 偏离包括正、负偏离，正偏离指</w:t>
      </w:r>
      <w:r>
        <w:rPr>
          <w:rFonts w:hint="eastAsia" w:ascii="Times New Roman" w:hAnsi="Times New Roman" w:cs="Times New Roman"/>
          <w:b/>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
          <w:bCs/>
          <w:color w:val="000000" w:themeColor="text1"/>
          <w:highlight w:val="none"/>
          <w14:textFill>
            <w14:solidFill>
              <w14:schemeClr w14:val="tx1"/>
            </w14:solidFill>
          </w14:textFill>
        </w:rPr>
        <w:t>的响应优于招标文件要求，负偏离指</w:t>
      </w:r>
      <w:r>
        <w:rPr>
          <w:rFonts w:hint="eastAsia" w:ascii="Times New Roman" w:hAnsi="Times New Roman" w:cs="Times New Roman"/>
          <w:b/>
          <w:bCs/>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b/>
          <w:bCs/>
          <w:color w:val="000000" w:themeColor="text1"/>
          <w:highlight w:val="none"/>
          <w14:textFill>
            <w14:solidFill>
              <w14:schemeClr w14:val="tx1"/>
            </w14:solidFill>
          </w14:textFill>
        </w:rPr>
        <w:t>的响应低于招标文件要求。</w:t>
      </w:r>
    </w:p>
    <w:p w14:paraId="4C69AF5E">
      <w:pPr>
        <w:spacing w:line="360" w:lineRule="auto"/>
        <w:ind w:right="420" w:firstLine="3780"/>
        <w:rPr>
          <w:rFonts w:hint="default" w:ascii="Times New Roman" w:hAnsi="Times New Roman" w:eastAsia="宋体" w:cs="Times New Roman"/>
          <w:color w:val="000000" w:themeColor="text1"/>
          <w:highlight w:val="none"/>
          <w:u w:val="singl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color w:val="000000" w:themeColor="text1"/>
          <w:highlight w:val="none"/>
          <w14:textFill>
            <w14:solidFill>
              <w14:schemeClr w14:val="tx1"/>
            </w14:solidFill>
          </w14:textFill>
        </w:rPr>
        <w:t>名称（公章）：</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p>
    <w:p w14:paraId="6A950A49">
      <w:pPr>
        <w:spacing w:line="360" w:lineRule="auto"/>
        <w:ind w:firstLine="422"/>
        <w:jc w:val="left"/>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ab/>
      </w:r>
      <w:r>
        <w:rPr>
          <w:rFonts w:hint="default" w:ascii="Times New Roman" w:hAnsi="Times New Roman" w:eastAsia="宋体" w:cs="Times New Roman"/>
          <w:b/>
          <w:bCs/>
          <w:color w:val="000000" w:themeColor="text1"/>
          <w:highlight w:val="non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日期：</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年</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月</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日</w:t>
      </w:r>
    </w:p>
    <w:p w14:paraId="7D4A4CE0">
      <w:pPr>
        <w:pBdr>
          <w:top w:val="none" w:color="000000" w:sz="0" w:space="0"/>
          <w:left w:val="none" w:color="000000" w:sz="0" w:space="0"/>
          <w:bottom w:val="none" w:color="000000" w:sz="0" w:space="0"/>
          <w:right w:val="none" w:color="000000" w:sz="0" w:space="0"/>
        </w:pBdr>
        <w:spacing w:before="0" w:after="156" w:line="439" w:lineRule="atLeast"/>
        <w:ind w:left="0" w:right="0" w:firstLine="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br w:type="page" w:clear="all"/>
      </w:r>
    </w:p>
    <w:p w14:paraId="65407CC0">
      <w:pPr>
        <w:pStyle w:val="34"/>
        <w:numPr>
          <w:ilvl w:val="0"/>
          <w:numId w:val="7"/>
        </w:numPr>
        <w:spacing w:before="0"/>
        <w:rPr>
          <w:rFonts w:hint="default" w:ascii="Times New Roman" w:hAnsi="Times New Roman" w:eastAsia="宋体" w:cs="Times New Roman"/>
          <w:bCs w:val="0"/>
          <w:color w:val="000000" w:themeColor="text1"/>
          <w:sz w:val="24"/>
          <w:szCs w:val="24"/>
          <w:highlight w:val="none"/>
          <w14:textFill>
            <w14:solidFill>
              <w14:schemeClr w14:val="tx1"/>
            </w14:solidFill>
          </w14:textFill>
        </w:rPr>
      </w:pPr>
      <w:bookmarkStart w:id="621" w:name="_Toc7032"/>
      <w:bookmarkStart w:id="622" w:name="_Toc31650"/>
      <w:r>
        <w:rPr>
          <w:rFonts w:hint="default" w:ascii="Times New Roman" w:hAnsi="Times New Roman" w:eastAsia="宋体" w:cs="Times New Roman"/>
          <w:bCs w:val="0"/>
          <w:color w:val="000000" w:themeColor="text1"/>
          <w:sz w:val="24"/>
          <w:szCs w:val="24"/>
          <w:highlight w:val="none"/>
          <w14:textFill>
            <w14:solidFill>
              <w14:schemeClr w14:val="tx1"/>
            </w14:solidFill>
          </w14:textFill>
        </w:rPr>
        <w:t>需求响应方案</w:t>
      </w:r>
      <w:bookmarkEnd w:id="621"/>
      <w:bookmarkEnd w:id="622"/>
    </w:p>
    <w:p w14:paraId="465E5674">
      <w:pPr>
        <w:rPr>
          <w:rFonts w:hint="default" w:ascii="Times New Roman" w:hAnsi="Times New Roman" w:eastAsia="宋体" w:cs="Times New Roman"/>
          <w:color w:val="000000" w:themeColor="text1"/>
          <w:highlight w:val="none"/>
          <w14:textFill>
            <w14:solidFill>
              <w14:schemeClr w14:val="tx1"/>
            </w14:solidFill>
          </w14:textFill>
        </w:rPr>
      </w:pPr>
    </w:p>
    <w:p w14:paraId="7B72B1D0">
      <w:pP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 xml:space="preserve"> 格式自拟。</w:t>
      </w:r>
    </w:p>
    <w:p w14:paraId="440E8D4F">
      <w:pPr>
        <w:pStyle w:val="95"/>
        <w:ind w:firstLine="400"/>
        <w:rPr>
          <w:rFonts w:hint="default" w:ascii="Times New Roman" w:hAnsi="Times New Roman" w:eastAsia="宋体" w:cs="Times New Roman"/>
          <w:color w:val="000000" w:themeColor="text1"/>
          <w:highlight w:val="none"/>
          <w14:textFill>
            <w14:solidFill>
              <w14:schemeClr w14:val="tx1"/>
            </w14:solidFill>
          </w14:textFill>
        </w:rPr>
      </w:pPr>
    </w:p>
    <w:p w14:paraId="0190101B">
      <w:pPr>
        <w:pStyle w:val="95"/>
        <w:ind w:firstLine="400"/>
        <w:rPr>
          <w:rFonts w:hint="default" w:ascii="Times New Roman" w:hAnsi="Times New Roman" w:eastAsia="宋体" w:cs="Times New Roman"/>
          <w:color w:val="000000" w:themeColor="text1"/>
          <w:highlight w:val="none"/>
          <w14:textFill>
            <w14:solidFill>
              <w14:schemeClr w14:val="tx1"/>
            </w14:solidFill>
          </w14:textFill>
        </w:rPr>
      </w:pPr>
    </w:p>
    <w:p w14:paraId="3EC4BC5D">
      <w:pPr>
        <w:pStyle w:val="34"/>
        <w:spacing w:before="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br w:type="page" w:clear="all"/>
      </w:r>
      <w:bookmarkStart w:id="623" w:name="_Toc104560919"/>
      <w:bookmarkStart w:id="624" w:name="_Toc103848602"/>
      <w:bookmarkStart w:id="625" w:name="_Toc107246302"/>
      <w:bookmarkStart w:id="626" w:name="_Toc4903"/>
      <w:bookmarkStart w:id="627" w:name="_Toc15691"/>
      <w:r>
        <w:rPr>
          <w:rFonts w:hint="default" w:ascii="Times New Roman" w:hAnsi="Times New Roman" w:eastAsia="宋体" w:cs="Times New Roman"/>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val="0"/>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Cs w:val="0"/>
          <w:color w:val="000000" w:themeColor="text1"/>
          <w:sz w:val="24"/>
          <w:szCs w:val="24"/>
          <w:highlight w:val="none"/>
          <w14:textFill>
            <w14:solidFill>
              <w14:schemeClr w14:val="tx1"/>
            </w14:solidFill>
          </w14:textFill>
        </w:rPr>
        <w:t>）</w:t>
      </w:r>
      <w:r>
        <w:rPr>
          <w:rFonts w:hint="eastAsia" w:ascii="Times New Roman" w:hAnsi="Times New Roman" w:cs="Times New Roman"/>
          <w:bCs w:val="0"/>
          <w:color w:val="000000" w:themeColor="text1"/>
          <w:sz w:val="24"/>
          <w:szCs w:val="24"/>
          <w:highlight w:val="none"/>
          <w:lang w:eastAsia="zh-CN"/>
          <w14:textFill>
            <w14:solidFill>
              <w14:schemeClr w14:val="tx1"/>
            </w14:solidFill>
          </w14:textFill>
        </w:rPr>
        <w:t>供应商</w:t>
      </w:r>
      <w:r>
        <w:rPr>
          <w:rFonts w:hint="default" w:ascii="Times New Roman" w:hAnsi="Times New Roman" w:eastAsia="宋体" w:cs="Times New Roman"/>
          <w:bCs w:val="0"/>
          <w:color w:val="000000" w:themeColor="text1"/>
          <w:sz w:val="24"/>
          <w:szCs w:val="24"/>
          <w:highlight w:val="none"/>
          <w14:textFill>
            <w14:solidFill>
              <w14:schemeClr w14:val="tx1"/>
            </w14:solidFill>
          </w14:textFill>
        </w:rPr>
        <w:t>服务承诺</w:t>
      </w:r>
      <w:bookmarkEnd w:id="623"/>
      <w:bookmarkEnd w:id="624"/>
      <w:bookmarkEnd w:id="625"/>
      <w:r>
        <w:rPr>
          <w:rFonts w:hint="default" w:ascii="Times New Roman" w:hAnsi="Times New Roman" w:eastAsia="宋体" w:cs="Times New Roman"/>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Cs w:val="0"/>
          <w:color w:val="000000" w:themeColor="text1"/>
          <w:sz w:val="24"/>
          <w:szCs w:val="24"/>
          <w:highlight w:val="none"/>
          <w:lang w:val="en-US" w:eastAsia="zh-CN"/>
          <w14:textFill>
            <w14:solidFill>
              <w14:schemeClr w14:val="tx1"/>
            </w14:solidFill>
          </w14:textFill>
        </w:rPr>
        <w:t>如需，格式自拟</w:t>
      </w:r>
      <w:r>
        <w:rPr>
          <w:rFonts w:hint="default" w:ascii="Times New Roman" w:hAnsi="Times New Roman" w:eastAsia="宋体" w:cs="Times New Roman"/>
          <w:bCs w:val="0"/>
          <w:color w:val="000000" w:themeColor="text1"/>
          <w:sz w:val="24"/>
          <w:szCs w:val="24"/>
          <w:highlight w:val="none"/>
          <w:lang w:eastAsia="zh-CN"/>
          <w14:textFill>
            <w14:solidFill>
              <w14:schemeClr w14:val="tx1"/>
            </w14:solidFill>
          </w14:textFill>
        </w:rPr>
        <w:t>）</w:t>
      </w:r>
      <w:bookmarkEnd w:id="626"/>
      <w:bookmarkEnd w:id="627"/>
    </w:p>
    <w:p w14:paraId="212025D4">
      <w:pPr>
        <w:pStyle w:val="34"/>
        <w:spacing w:before="0"/>
        <w:rPr>
          <w:rFonts w:hint="default" w:ascii="Times New Roman" w:hAnsi="Times New Roman" w:eastAsia="宋体" w:cs="Times New Roman"/>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Cs w:val="0"/>
          <w:color w:val="000000" w:themeColor="text1"/>
          <w:sz w:val="24"/>
          <w:szCs w:val="24"/>
          <w:highlight w:val="none"/>
          <w14:textFill>
            <w14:solidFill>
              <w14:schemeClr w14:val="tx1"/>
            </w14:solidFill>
          </w14:textFill>
        </w:rPr>
        <w:br w:type="page" w:clear="all"/>
      </w:r>
      <w:bookmarkStart w:id="628" w:name="_Toc104560920"/>
      <w:bookmarkStart w:id="629" w:name="_Toc107246303"/>
      <w:bookmarkStart w:id="630" w:name="_Toc26672"/>
      <w:bookmarkStart w:id="631" w:name="_Toc10170"/>
      <w:bookmarkStart w:id="632" w:name="_Toc103848603"/>
      <w:r>
        <w:rPr>
          <w:rFonts w:hint="default" w:ascii="Times New Roman" w:hAnsi="Times New Roman" w:eastAsia="宋体" w:cs="Times New Roman"/>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Cs w:val="0"/>
          <w:color w:val="000000" w:themeColor="text1"/>
          <w:sz w:val="24"/>
          <w:szCs w:val="24"/>
          <w:highlight w:val="none"/>
          <w14:textFill>
            <w14:solidFill>
              <w14:schemeClr w14:val="tx1"/>
            </w14:solidFill>
          </w14:textFill>
        </w:rPr>
        <w:t>）用于本项目人员简历表</w:t>
      </w:r>
      <w:bookmarkEnd w:id="628"/>
      <w:bookmarkEnd w:id="629"/>
      <w:bookmarkEnd w:id="630"/>
      <w:bookmarkEnd w:id="631"/>
      <w:bookmarkEnd w:id="632"/>
    </w:p>
    <w:p w14:paraId="4FB6D7C2">
      <w:pPr>
        <w:pStyle w:val="95"/>
        <w:ind w:firstLine="400"/>
        <w:rPr>
          <w:rFonts w:hint="default" w:ascii="Times New Roman" w:hAnsi="Times New Roman" w:eastAsia="宋体" w:cs="Times New Roman"/>
          <w:color w:val="000000" w:themeColor="text1"/>
          <w:highlight w:val="none"/>
          <w14:textFill>
            <w14:solidFill>
              <w14:schemeClr w14:val="tx1"/>
            </w14:solidFill>
          </w14:textFill>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6"/>
        <w:gridCol w:w="1656"/>
        <w:gridCol w:w="1866"/>
        <w:gridCol w:w="2286"/>
      </w:tblGrid>
      <w:tr w14:paraId="2ECF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35FF03B3">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姓名</w:t>
            </w:r>
          </w:p>
        </w:tc>
        <w:tc>
          <w:tcPr>
            <w:tcW w:w="1656" w:type="dxa"/>
            <w:noWrap w:val="0"/>
            <w:vAlign w:val="center"/>
          </w:tcPr>
          <w:p w14:paraId="6D2ED5DC">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15CCA348">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性别</w:t>
            </w:r>
          </w:p>
        </w:tc>
        <w:tc>
          <w:tcPr>
            <w:tcW w:w="2286" w:type="dxa"/>
            <w:noWrap w:val="0"/>
            <w:vAlign w:val="center"/>
          </w:tcPr>
          <w:p w14:paraId="7D44CEF8">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A4B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73E2B256">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职务</w:t>
            </w:r>
          </w:p>
        </w:tc>
        <w:tc>
          <w:tcPr>
            <w:tcW w:w="1656" w:type="dxa"/>
            <w:noWrap w:val="0"/>
            <w:vAlign w:val="center"/>
          </w:tcPr>
          <w:p w14:paraId="13A12DB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6AFB8B31">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职称</w:t>
            </w:r>
          </w:p>
        </w:tc>
        <w:tc>
          <w:tcPr>
            <w:tcW w:w="2286" w:type="dxa"/>
            <w:noWrap w:val="0"/>
            <w:vAlign w:val="center"/>
          </w:tcPr>
          <w:p w14:paraId="7F123B2F">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817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103B3077">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毕业学校、专业</w:t>
            </w:r>
          </w:p>
        </w:tc>
        <w:tc>
          <w:tcPr>
            <w:tcW w:w="5808" w:type="dxa"/>
            <w:gridSpan w:val="3"/>
            <w:noWrap w:val="0"/>
            <w:vAlign w:val="center"/>
          </w:tcPr>
          <w:p w14:paraId="095155E6">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9E3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0F59DD1A">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身份证号</w:t>
            </w:r>
          </w:p>
        </w:tc>
        <w:tc>
          <w:tcPr>
            <w:tcW w:w="1656" w:type="dxa"/>
            <w:noWrap w:val="0"/>
            <w:vAlign w:val="center"/>
          </w:tcPr>
          <w:p w14:paraId="27E95AF5">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6FEDE704">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拟在本项目任职</w:t>
            </w:r>
          </w:p>
        </w:tc>
        <w:tc>
          <w:tcPr>
            <w:tcW w:w="2286" w:type="dxa"/>
            <w:noWrap w:val="0"/>
            <w:vAlign w:val="center"/>
          </w:tcPr>
          <w:p w14:paraId="088AF9F2">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B38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34ECC68F">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执业资格证</w:t>
            </w:r>
          </w:p>
        </w:tc>
        <w:tc>
          <w:tcPr>
            <w:tcW w:w="1656" w:type="dxa"/>
            <w:noWrap w:val="0"/>
            <w:vAlign w:val="center"/>
          </w:tcPr>
          <w:p w14:paraId="697C43D7">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64C529C3">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执业资格证书号</w:t>
            </w:r>
          </w:p>
        </w:tc>
        <w:tc>
          <w:tcPr>
            <w:tcW w:w="2286" w:type="dxa"/>
            <w:noWrap w:val="0"/>
            <w:vAlign w:val="center"/>
          </w:tcPr>
          <w:p w14:paraId="64E771DE">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45E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4" w:type="dxa"/>
            <w:gridSpan w:val="4"/>
            <w:noWrap w:val="0"/>
            <w:vAlign w:val="center"/>
          </w:tcPr>
          <w:p w14:paraId="517331D1">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近____年承担项目情况</w:t>
            </w:r>
          </w:p>
        </w:tc>
      </w:tr>
      <w:tr w14:paraId="57B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3EADA6E4">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时间</w:t>
            </w:r>
          </w:p>
        </w:tc>
        <w:tc>
          <w:tcPr>
            <w:tcW w:w="1656" w:type="dxa"/>
            <w:noWrap w:val="0"/>
            <w:vAlign w:val="center"/>
          </w:tcPr>
          <w:p w14:paraId="71AF675D">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类似项目名称</w:t>
            </w:r>
          </w:p>
        </w:tc>
        <w:tc>
          <w:tcPr>
            <w:tcW w:w="1866" w:type="dxa"/>
            <w:noWrap w:val="0"/>
            <w:vAlign w:val="center"/>
          </w:tcPr>
          <w:p w14:paraId="50439CE9">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担任职务</w:t>
            </w:r>
          </w:p>
        </w:tc>
        <w:tc>
          <w:tcPr>
            <w:tcW w:w="2286" w:type="dxa"/>
            <w:noWrap w:val="0"/>
            <w:vAlign w:val="center"/>
          </w:tcPr>
          <w:p w14:paraId="21D55E5E">
            <w:pPr>
              <w:pStyle w:val="95"/>
              <w:keepNext w:val="0"/>
              <w:keepLines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项目单位名称及电话</w:t>
            </w:r>
          </w:p>
        </w:tc>
      </w:tr>
      <w:tr w14:paraId="5318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3A0FD997">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3C0814C4">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6BBDA7D7">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7D95EFB9">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D27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560346A4">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34A4FB6A">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7033FA71">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3C49C9C7">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D68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662E32F6">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5D468B1A">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2ECF5DD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4DD1A796">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135A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4014546D">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6D9BC752">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2DF5D8CF">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41217470">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95F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4452CD9F">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65A9F7E1">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5CF85968">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499A5D2D">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699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22FCAE88">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16DCD19F">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6EE10E2A">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6E2C1800">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E88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274CCA7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0E274C8F">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57244E41">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0B272418">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66D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5F2E1B66">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2134282D">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7D961EC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3C75941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AAA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49050D1C">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593B8689">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2F57E7D2">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16BBE220">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1EC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70066594">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1BEC42B2">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247C09A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7C727790">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C7A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6" w:type="dxa"/>
            <w:noWrap w:val="0"/>
            <w:vAlign w:val="center"/>
          </w:tcPr>
          <w:p w14:paraId="6A7CD54E">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56" w:type="dxa"/>
            <w:noWrap w:val="0"/>
            <w:vAlign w:val="center"/>
          </w:tcPr>
          <w:p w14:paraId="579A4BD0">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6" w:type="dxa"/>
            <w:noWrap w:val="0"/>
            <w:vAlign w:val="center"/>
          </w:tcPr>
          <w:p w14:paraId="186A56DA">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86" w:type="dxa"/>
            <w:noWrap w:val="0"/>
            <w:vAlign w:val="center"/>
          </w:tcPr>
          <w:p w14:paraId="0D1BD9EB">
            <w:pPr>
              <w:pStyle w:val="95"/>
              <w:keepNext w:val="0"/>
              <w:keepLines w:val="0"/>
              <w:suppressLineNumbers w:val="0"/>
              <w:spacing w:before="0" w:beforeAutospacing="0" w:after="0" w:afterAutospacing="0"/>
              <w:ind w:left="0" w:right="0" w:firstLine="42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03191D15">
      <w:pPr>
        <w:pStyle w:val="95"/>
        <w:ind w:firstLine="400"/>
        <w:rPr>
          <w:rFonts w:hint="default" w:ascii="Times New Roman" w:hAnsi="Times New Roman" w:eastAsia="宋体" w:cs="Times New Roman"/>
          <w:color w:val="000000" w:themeColor="text1"/>
          <w:highlight w:val="none"/>
          <w14:textFill>
            <w14:solidFill>
              <w14:schemeClr w14:val="tx1"/>
            </w14:solidFill>
          </w14:textFill>
        </w:rPr>
      </w:pPr>
    </w:p>
    <w:p w14:paraId="2FEAB2B3">
      <w:pPr>
        <w:pStyle w:val="95"/>
        <w:ind w:firstLine="400"/>
        <w:rPr>
          <w:rFonts w:hint="default" w:ascii="Times New Roman" w:hAnsi="Times New Roman" w:eastAsia="宋体" w:cs="Times New Roman"/>
          <w:color w:val="000000" w:themeColor="text1"/>
          <w:highlight w:val="none"/>
          <w14:textFill>
            <w14:solidFill>
              <w14:schemeClr w14:val="tx1"/>
            </w14:solidFill>
          </w14:textFill>
        </w:rPr>
      </w:pPr>
    </w:p>
    <w:p w14:paraId="7D085ABC">
      <w:pP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br w:type="page" w:clear="all"/>
      </w:r>
    </w:p>
    <w:p w14:paraId="7DE60DD8">
      <w:pPr>
        <w:pStyle w:val="34"/>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highlight w:val="none"/>
          <w14:textFill>
            <w14:solidFill>
              <w14:schemeClr w14:val="tx1"/>
            </w14:solidFill>
          </w14:textFill>
        </w:rPr>
        <w:t>）</w:t>
      </w:r>
      <w:r>
        <w:rPr>
          <w:rFonts w:hint="eastAsia" w:ascii="Times New Roman" w:hAnsi="Times New Roman" w:cs="Times New Roman"/>
          <w:b/>
          <w:bCs/>
          <w:color w:val="000000" w:themeColor="text1"/>
          <w:sz w:val="24"/>
          <w:highlight w:val="none"/>
          <w:lang w:val="en-US" w:eastAsia="zh-CN"/>
          <w14:textFill>
            <w14:solidFill>
              <w14:schemeClr w14:val="tx1"/>
            </w14:solidFill>
          </w14:textFill>
        </w:rPr>
        <w:t>设备清单</w:t>
      </w:r>
      <w:r>
        <w:rPr>
          <w:rFonts w:hint="default" w:ascii="Times New Roman" w:hAnsi="Times New Roman" w:eastAsia="宋体" w:cs="Times New Roman"/>
          <w:color w:val="000000" w:themeColor="text1"/>
          <w:sz w:val="24"/>
          <w:highlight w:val="none"/>
          <w14:textFill>
            <w14:solidFill>
              <w14:schemeClr w14:val="tx1"/>
            </w14:solidFill>
          </w14:textFill>
        </w:rPr>
        <w:t>表</w:t>
      </w:r>
    </w:p>
    <w:p w14:paraId="01C00E76">
      <w:pP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注：格式仅供参考</w:t>
      </w:r>
      <w:r>
        <w:rPr>
          <w:rFonts w:hint="eastAsia" w:cs="Times New Roman"/>
          <w:color w:val="000000" w:themeColor="text1"/>
          <w:szCs w:val="21"/>
          <w:highlight w:val="none"/>
          <w:lang w:val="en-US" w:eastAsia="zh-CN"/>
          <w14:textFill>
            <w14:solidFill>
              <w14:schemeClr w14:val="tx1"/>
            </w14:solidFill>
          </w14:textFill>
        </w:rPr>
        <w:t>，可自行调整）</w:t>
      </w:r>
    </w:p>
    <w:p w14:paraId="25E69FB9">
      <w:pPr>
        <w:rPr>
          <w:rFonts w:hint="default" w:ascii="Times New Roman" w:hAnsi="Times New Roman" w:eastAsia="宋体" w:cs="Times New Roman"/>
          <w:color w:val="000000" w:themeColor="text1"/>
          <w:sz w:val="24"/>
          <w:highlight w:val="none"/>
          <w14:textFill>
            <w14:solidFill>
              <w14:schemeClr w14:val="tx1"/>
            </w14:solidFill>
          </w14:textFill>
        </w:rPr>
      </w:pPr>
    </w:p>
    <w:p w14:paraId="09899222">
      <w:pPr>
        <w:spacing w:line="360" w:lineRule="auto"/>
        <w:ind w:left="-120" w:firstLine="210"/>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项目名称：</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中国医学科学院皮肤病医院（中国医学科学院皮肤病研究所）</w:t>
      </w:r>
      <w:r>
        <w:rPr>
          <w:rFonts w:hint="eastAsia" w:cs="Times New Roman"/>
          <w:color w:val="000000" w:themeColor="text1"/>
          <w:szCs w:val="21"/>
          <w:highlight w:val="none"/>
          <w:lang w:eastAsia="zh-CN"/>
          <w14:textFill>
            <w14:solidFill>
              <w14:schemeClr w14:val="tx1"/>
            </w14:solidFill>
          </w14:textFill>
        </w:rPr>
        <w:t>医用冰箱设备采购项目</w:t>
      </w:r>
    </w:p>
    <w:p w14:paraId="051E5203">
      <w:pPr>
        <w:spacing w:line="360" w:lineRule="auto"/>
        <w:ind w:left="-120" w:firstLine="210"/>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项目编号：</w:t>
      </w:r>
      <w:r>
        <w:rPr>
          <w:rFonts w:hint="eastAsia" w:cs="Times New Roman"/>
          <w:color w:val="000000" w:themeColor="text1"/>
          <w:szCs w:val="21"/>
          <w:highlight w:val="none"/>
          <w:lang w:eastAsia="zh-CN"/>
          <w14:textFill>
            <w14:solidFill>
              <w14:schemeClr w14:val="tx1"/>
            </w14:solidFill>
          </w14:textFill>
        </w:rPr>
        <w:t>JSTCC26025106139</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15"/>
        <w:gridCol w:w="876"/>
        <w:gridCol w:w="1646"/>
        <w:gridCol w:w="1143"/>
        <w:gridCol w:w="2320"/>
        <w:gridCol w:w="1415"/>
      </w:tblGrid>
      <w:tr w14:paraId="5C7F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3E37C0C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序号</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43A171D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pPr>
            <w:r>
              <w:rPr>
                <w:rFonts w:hint="eastAsia" w:cs="Times New Roman"/>
                <w:b/>
                <w:color w:val="000000" w:themeColor="text1"/>
                <w:szCs w:val="21"/>
                <w:highlight w:val="none"/>
                <w:lang w:val="en-US" w:eastAsia="zh-CN"/>
                <w14:textFill>
                  <w14:solidFill>
                    <w14:schemeClr w14:val="tx1"/>
                  </w14:solidFill>
                </w14:textFill>
              </w:rPr>
              <w:t>设备名称</w:t>
            </w:r>
          </w:p>
        </w:tc>
        <w:tc>
          <w:tcPr>
            <w:tcW w:w="490" w:type="pct"/>
            <w:tcBorders>
              <w:top w:val="single" w:color="auto" w:sz="4" w:space="0"/>
              <w:left w:val="single" w:color="auto" w:sz="4" w:space="0"/>
              <w:bottom w:val="single" w:color="auto" w:sz="4" w:space="0"/>
              <w:right w:val="single" w:color="auto" w:sz="4" w:space="0"/>
            </w:tcBorders>
            <w:noWrap w:val="0"/>
            <w:vAlign w:val="center"/>
          </w:tcPr>
          <w:p w14:paraId="4149D7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型号</w:t>
            </w:r>
          </w:p>
        </w:tc>
        <w:tc>
          <w:tcPr>
            <w:tcW w:w="920" w:type="pct"/>
            <w:tcBorders>
              <w:top w:val="single" w:color="auto" w:sz="4" w:space="0"/>
              <w:left w:val="single" w:color="auto" w:sz="4" w:space="0"/>
              <w:bottom w:val="single" w:color="auto" w:sz="4" w:space="0"/>
              <w:right w:val="single" w:color="auto" w:sz="4" w:space="0"/>
            </w:tcBorders>
            <w:noWrap w:val="0"/>
            <w:vAlign w:val="center"/>
          </w:tcPr>
          <w:p w14:paraId="6DD0DBE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生产厂家</w:t>
            </w:r>
          </w:p>
        </w:tc>
        <w:tc>
          <w:tcPr>
            <w:tcW w:w="639" w:type="pct"/>
            <w:tcBorders>
              <w:top w:val="single" w:color="auto" w:sz="4" w:space="0"/>
              <w:left w:val="single" w:color="auto" w:sz="4" w:space="0"/>
              <w:bottom w:val="single" w:color="auto" w:sz="4" w:space="0"/>
              <w:right w:val="single" w:color="auto" w:sz="4" w:space="0"/>
            </w:tcBorders>
            <w:noWrap w:val="0"/>
            <w:vAlign w:val="center"/>
          </w:tcPr>
          <w:p w14:paraId="5C965852">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生产年份</w:t>
            </w:r>
          </w:p>
        </w:tc>
        <w:tc>
          <w:tcPr>
            <w:tcW w:w="1297" w:type="pct"/>
            <w:tcBorders>
              <w:top w:val="single" w:color="auto" w:sz="4" w:space="0"/>
              <w:left w:val="single" w:color="auto" w:sz="4" w:space="0"/>
              <w:bottom w:val="single" w:color="auto" w:sz="4" w:space="0"/>
              <w:right w:val="single" w:color="auto" w:sz="4" w:space="0"/>
            </w:tcBorders>
            <w:noWrap w:val="0"/>
            <w:vAlign w:val="center"/>
          </w:tcPr>
          <w:p w14:paraId="7CF7DEF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主要参数</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617F90F0">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000000" w:themeColor="text1"/>
                <w:szCs w:val="21"/>
                <w:highlight w:val="none"/>
                <w:lang w:val="en-US" w:eastAsia="zh-CN"/>
                <w14:textFill>
                  <w14:solidFill>
                    <w14:schemeClr w14:val="tx1"/>
                  </w14:solidFill>
                </w14:textFill>
              </w:rPr>
            </w:pPr>
            <w:r>
              <w:rPr>
                <w:rFonts w:hint="eastAsia" w:cs="Times New Roman"/>
                <w:b/>
                <w:color w:val="000000" w:themeColor="text1"/>
                <w:szCs w:val="21"/>
                <w:highlight w:val="none"/>
                <w:lang w:val="en-US" w:eastAsia="zh-CN"/>
                <w14:textFill>
                  <w14:solidFill>
                    <w14:schemeClr w14:val="tx1"/>
                  </w14:solidFill>
                </w14:textFill>
              </w:rPr>
              <w:t>备注</w:t>
            </w:r>
          </w:p>
        </w:tc>
      </w:tr>
      <w:tr w14:paraId="49AC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54A8ED0F">
            <w:pPr>
              <w:keepNext w:val="0"/>
              <w:keepLines w:val="0"/>
              <w:widowControl/>
              <w:numPr>
                <w:ilvl w:val="0"/>
                <w:numId w:val="0"/>
              </w:numPr>
              <w:suppressLineNumbers w:val="0"/>
              <w:spacing w:before="0" w:beforeAutospacing="0" w:after="0" w:afterAutospacing="0"/>
              <w:ind w:left="425" w:leftChars="0" w:right="0" w:rightChars="0" w:hanging="425" w:firstLine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s="Times New Roman"/>
                <w:color w:val="000000" w:themeColor="text1"/>
                <w:sz w:val="21"/>
                <w:szCs w:val="21"/>
                <w:highlight w:val="none"/>
                <w:lang w:val="en-US" w:eastAsia="zh-CN" w:bidi="ar-SA"/>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0D1ED8B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90" w:type="pct"/>
            <w:tcBorders>
              <w:top w:val="single" w:color="auto" w:sz="4" w:space="0"/>
              <w:left w:val="single" w:color="auto" w:sz="4" w:space="0"/>
              <w:bottom w:val="single" w:color="auto" w:sz="4" w:space="0"/>
              <w:right w:val="single" w:color="auto" w:sz="4" w:space="0"/>
            </w:tcBorders>
            <w:noWrap w:val="0"/>
            <w:vAlign w:val="center"/>
          </w:tcPr>
          <w:p w14:paraId="21C99F7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20" w:type="pct"/>
            <w:tcBorders>
              <w:top w:val="single" w:color="auto" w:sz="4" w:space="0"/>
              <w:left w:val="single" w:color="auto" w:sz="4" w:space="0"/>
              <w:bottom w:val="single" w:color="auto" w:sz="4" w:space="0"/>
              <w:right w:val="single" w:color="auto" w:sz="4" w:space="0"/>
            </w:tcBorders>
            <w:noWrap w:val="0"/>
            <w:vAlign w:val="center"/>
          </w:tcPr>
          <w:p w14:paraId="0D66581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39" w:type="pct"/>
            <w:tcBorders>
              <w:top w:val="single" w:color="auto" w:sz="4" w:space="0"/>
              <w:left w:val="single" w:color="auto" w:sz="4" w:space="0"/>
              <w:bottom w:val="single" w:color="auto" w:sz="4" w:space="0"/>
              <w:right w:val="single" w:color="auto" w:sz="4" w:space="0"/>
            </w:tcBorders>
            <w:noWrap w:val="0"/>
            <w:vAlign w:val="center"/>
          </w:tcPr>
          <w:p w14:paraId="27143E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97" w:type="pct"/>
            <w:tcBorders>
              <w:top w:val="single" w:color="auto" w:sz="4" w:space="0"/>
              <w:left w:val="single" w:color="auto" w:sz="4" w:space="0"/>
              <w:bottom w:val="single" w:color="auto" w:sz="4" w:space="0"/>
              <w:right w:val="single" w:color="auto" w:sz="4" w:space="0"/>
            </w:tcBorders>
            <w:noWrap w:val="0"/>
            <w:vAlign w:val="center"/>
          </w:tcPr>
          <w:p w14:paraId="3588B6A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1" w:type="pct"/>
            <w:tcBorders>
              <w:top w:val="single" w:color="auto" w:sz="4" w:space="0"/>
              <w:left w:val="single" w:color="auto" w:sz="4" w:space="0"/>
              <w:bottom w:val="single" w:color="auto" w:sz="4" w:space="0"/>
              <w:right w:val="single" w:color="auto" w:sz="4" w:space="0"/>
            </w:tcBorders>
            <w:noWrap w:val="0"/>
            <w:vAlign w:val="center"/>
          </w:tcPr>
          <w:p w14:paraId="694513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4654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148D4764">
            <w:pPr>
              <w:keepNext w:val="0"/>
              <w:keepLines w:val="0"/>
              <w:widowControl/>
              <w:numPr>
                <w:ilvl w:val="0"/>
                <w:numId w:val="0"/>
              </w:numPr>
              <w:suppressLineNumbers w:val="0"/>
              <w:spacing w:before="0" w:beforeAutospacing="0" w:after="0" w:afterAutospacing="0"/>
              <w:ind w:left="425" w:leftChars="0" w:right="0" w:rightChars="0" w:hanging="425" w:firstLine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s="Times New Roman"/>
                <w:color w:val="000000" w:themeColor="text1"/>
                <w:sz w:val="21"/>
                <w:szCs w:val="21"/>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803636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90" w:type="pct"/>
            <w:tcBorders>
              <w:top w:val="single" w:color="auto" w:sz="4" w:space="0"/>
              <w:left w:val="single" w:color="auto" w:sz="4" w:space="0"/>
              <w:bottom w:val="single" w:color="auto" w:sz="4" w:space="0"/>
              <w:right w:val="single" w:color="auto" w:sz="4" w:space="0"/>
            </w:tcBorders>
            <w:noWrap w:val="0"/>
            <w:vAlign w:val="center"/>
          </w:tcPr>
          <w:p w14:paraId="42C5297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20" w:type="pct"/>
            <w:tcBorders>
              <w:top w:val="single" w:color="auto" w:sz="4" w:space="0"/>
              <w:left w:val="single" w:color="auto" w:sz="4" w:space="0"/>
              <w:bottom w:val="single" w:color="auto" w:sz="4" w:space="0"/>
              <w:right w:val="single" w:color="auto" w:sz="4" w:space="0"/>
            </w:tcBorders>
            <w:noWrap w:val="0"/>
            <w:vAlign w:val="center"/>
          </w:tcPr>
          <w:p w14:paraId="305FF5A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39" w:type="pct"/>
            <w:tcBorders>
              <w:top w:val="single" w:color="auto" w:sz="4" w:space="0"/>
              <w:left w:val="single" w:color="auto" w:sz="4" w:space="0"/>
              <w:bottom w:val="single" w:color="auto" w:sz="4" w:space="0"/>
              <w:right w:val="single" w:color="auto" w:sz="4" w:space="0"/>
            </w:tcBorders>
            <w:noWrap w:val="0"/>
            <w:vAlign w:val="center"/>
          </w:tcPr>
          <w:p w14:paraId="0CD48E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97" w:type="pct"/>
            <w:tcBorders>
              <w:top w:val="single" w:color="auto" w:sz="4" w:space="0"/>
              <w:left w:val="single" w:color="auto" w:sz="4" w:space="0"/>
              <w:bottom w:val="single" w:color="auto" w:sz="4" w:space="0"/>
              <w:right w:val="single" w:color="auto" w:sz="4" w:space="0"/>
            </w:tcBorders>
            <w:noWrap w:val="0"/>
            <w:vAlign w:val="center"/>
          </w:tcPr>
          <w:p w14:paraId="05E722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1" w:type="pct"/>
            <w:tcBorders>
              <w:top w:val="single" w:color="auto" w:sz="4" w:space="0"/>
              <w:left w:val="single" w:color="auto" w:sz="4" w:space="0"/>
              <w:bottom w:val="single" w:color="auto" w:sz="4" w:space="0"/>
              <w:right w:val="single" w:color="auto" w:sz="4" w:space="0"/>
            </w:tcBorders>
            <w:noWrap w:val="0"/>
            <w:vAlign w:val="center"/>
          </w:tcPr>
          <w:p w14:paraId="618AF6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6815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33DF393B">
            <w:pPr>
              <w:keepNext w:val="0"/>
              <w:keepLines w:val="0"/>
              <w:widowControl/>
              <w:numPr>
                <w:ilvl w:val="0"/>
                <w:numId w:val="0"/>
              </w:numPr>
              <w:suppressLineNumbers w:val="0"/>
              <w:spacing w:before="0" w:beforeAutospacing="0" w:after="0" w:afterAutospacing="0"/>
              <w:ind w:left="425" w:leftChars="0" w:right="0" w:rightChars="0" w:hanging="425" w:firstLine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s="Times New Roman"/>
                <w:color w:val="000000" w:themeColor="text1"/>
                <w:sz w:val="21"/>
                <w:szCs w:val="21"/>
                <w:highlight w:val="none"/>
                <w:lang w:val="en-US" w:eastAsia="zh-CN" w:bidi="ar-SA"/>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E9A331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90" w:type="pct"/>
            <w:tcBorders>
              <w:top w:val="single" w:color="auto" w:sz="4" w:space="0"/>
              <w:left w:val="single" w:color="auto" w:sz="4" w:space="0"/>
              <w:bottom w:val="single" w:color="auto" w:sz="4" w:space="0"/>
              <w:right w:val="single" w:color="auto" w:sz="4" w:space="0"/>
            </w:tcBorders>
            <w:noWrap w:val="0"/>
            <w:vAlign w:val="center"/>
          </w:tcPr>
          <w:p w14:paraId="3CEFBA0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20" w:type="pct"/>
            <w:tcBorders>
              <w:top w:val="single" w:color="auto" w:sz="4" w:space="0"/>
              <w:left w:val="single" w:color="auto" w:sz="4" w:space="0"/>
              <w:bottom w:val="single" w:color="auto" w:sz="4" w:space="0"/>
              <w:right w:val="single" w:color="auto" w:sz="4" w:space="0"/>
            </w:tcBorders>
            <w:noWrap w:val="0"/>
            <w:vAlign w:val="center"/>
          </w:tcPr>
          <w:p w14:paraId="1F1C64E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39" w:type="pct"/>
            <w:tcBorders>
              <w:top w:val="single" w:color="auto" w:sz="4" w:space="0"/>
              <w:left w:val="single" w:color="auto" w:sz="4" w:space="0"/>
              <w:bottom w:val="single" w:color="auto" w:sz="4" w:space="0"/>
              <w:right w:val="single" w:color="auto" w:sz="4" w:space="0"/>
            </w:tcBorders>
            <w:noWrap w:val="0"/>
            <w:vAlign w:val="center"/>
          </w:tcPr>
          <w:p w14:paraId="5947C8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97" w:type="pct"/>
            <w:tcBorders>
              <w:top w:val="single" w:color="auto" w:sz="4" w:space="0"/>
              <w:left w:val="single" w:color="auto" w:sz="4" w:space="0"/>
              <w:bottom w:val="single" w:color="auto" w:sz="4" w:space="0"/>
              <w:right w:val="single" w:color="auto" w:sz="4" w:space="0"/>
            </w:tcBorders>
            <w:noWrap w:val="0"/>
            <w:vAlign w:val="center"/>
          </w:tcPr>
          <w:p w14:paraId="0A1472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1" w:type="pct"/>
            <w:tcBorders>
              <w:top w:val="single" w:color="auto" w:sz="4" w:space="0"/>
              <w:left w:val="single" w:color="auto" w:sz="4" w:space="0"/>
              <w:bottom w:val="single" w:color="auto" w:sz="4" w:space="0"/>
              <w:right w:val="single" w:color="auto" w:sz="4" w:space="0"/>
            </w:tcBorders>
            <w:noWrap w:val="0"/>
            <w:vAlign w:val="center"/>
          </w:tcPr>
          <w:p w14:paraId="1B1B90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74DC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402CB224">
            <w:pPr>
              <w:keepNext w:val="0"/>
              <w:keepLines w:val="0"/>
              <w:widowControl/>
              <w:numPr>
                <w:ilvl w:val="0"/>
                <w:numId w:val="0"/>
              </w:numPr>
              <w:suppressLineNumbers w:val="0"/>
              <w:spacing w:before="0" w:beforeAutospacing="0" w:after="0" w:afterAutospacing="0"/>
              <w:ind w:left="425" w:leftChars="0" w:right="0" w:rightChars="0" w:hanging="425" w:firstLine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s="Times New Roman"/>
                <w:color w:val="000000" w:themeColor="text1"/>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46D8398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90" w:type="pct"/>
            <w:tcBorders>
              <w:top w:val="single" w:color="auto" w:sz="4" w:space="0"/>
              <w:left w:val="single" w:color="auto" w:sz="4" w:space="0"/>
              <w:bottom w:val="single" w:color="auto" w:sz="4" w:space="0"/>
              <w:right w:val="single" w:color="auto" w:sz="4" w:space="0"/>
            </w:tcBorders>
            <w:noWrap w:val="0"/>
            <w:vAlign w:val="center"/>
          </w:tcPr>
          <w:p w14:paraId="406DF96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20" w:type="pct"/>
            <w:tcBorders>
              <w:top w:val="single" w:color="auto" w:sz="4" w:space="0"/>
              <w:left w:val="single" w:color="auto" w:sz="4" w:space="0"/>
              <w:bottom w:val="single" w:color="auto" w:sz="4" w:space="0"/>
              <w:right w:val="single" w:color="auto" w:sz="4" w:space="0"/>
            </w:tcBorders>
            <w:noWrap w:val="0"/>
            <w:vAlign w:val="center"/>
          </w:tcPr>
          <w:p w14:paraId="3281789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39" w:type="pct"/>
            <w:tcBorders>
              <w:top w:val="single" w:color="auto" w:sz="4" w:space="0"/>
              <w:left w:val="single" w:color="auto" w:sz="4" w:space="0"/>
              <w:bottom w:val="single" w:color="auto" w:sz="4" w:space="0"/>
              <w:right w:val="single" w:color="auto" w:sz="4" w:space="0"/>
            </w:tcBorders>
            <w:noWrap w:val="0"/>
            <w:vAlign w:val="center"/>
          </w:tcPr>
          <w:p w14:paraId="7A0715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97" w:type="pct"/>
            <w:tcBorders>
              <w:top w:val="single" w:color="auto" w:sz="4" w:space="0"/>
              <w:left w:val="single" w:color="auto" w:sz="4" w:space="0"/>
              <w:bottom w:val="single" w:color="auto" w:sz="4" w:space="0"/>
              <w:right w:val="single" w:color="auto" w:sz="4" w:space="0"/>
            </w:tcBorders>
            <w:noWrap w:val="0"/>
            <w:vAlign w:val="center"/>
          </w:tcPr>
          <w:p w14:paraId="73C7C6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1" w:type="pct"/>
            <w:tcBorders>
              <w:top w:val="single" w:color="auto" w:sz="4" w:space="0"/>
              <w:left w:val="single" w:color="auto" w:sz="4" w:space="0"/>
              <w:bottom w:val="single" w:color="auto" w:sz="4" w:space="0"/>
              <w:right w:val="single" w:color="auto" w:sz="4" w:space="0"/>
            </w:tcBorders>
            <w:noWrap w:val="0"/>
            <w:vAlign w:val="center"/>
          </w:tcPr>
          <w:p w14:paraId="73DA4B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2A3D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14:paraId="12C6F8D4">
            <w:pPr>
              <w:keepNext w:val="0"/>
              <w:keepLines w:val="0"/>
              <w:widowControl/>
              <w:numPr>
                <w:ilvl w:val="0"/>
                <w:numId w:val="0"/>
              </w:numPr>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5.</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C161EE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490" w:type="pct"/>
            <w:tcBorders>
              <w:top w:val="single" w:color="auto" w:sz="4" w:space="0"/>
              <w:left w:val="single" w:color="auto" w:sz="4" w:space="0"/>
              <w:bottom w:val="single" w:color="auto" w:sz="4" w:space="0"/>
              <w:right w:val="single" w:color="auto" w:sz="4" w:space="0"/>
            </w:tcBorders>
            <w:noWrap w:val="0"/>
            <w:vAlign w:val="center"/>
          </w:tcPr>
          <w:p w14:paraId="4C8E887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20" w:type="pct"/>
            <w:tcBorders>
              <w:top w:val="single" w:color="auto" w:sz="4" w:space="0"/>
              <w:left w:val="single" w:color="auto" w:sz="4" w:space="0"/>
              <w:bottom w:val="single" w:color="auto" w:sz="4" w:space="0"/>
              <w:right w:val="single" w:color="auto" w:sz="4" w:space="0"/>
            </w:tcBorders>
            <w:noWrap w:val="0"/>
            <w:vAlign w:val="center"/>
          </w:tcPr>
          <w:p w14:paraId="2DFBEFF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39" w:type="pct"/>
            <w:tcBorders>
              <w:top w:val="single" w:color="auto" w:sz="4" w:space="0"/>
              <w:left w:val="single" w:color="auto" w:sz="4" w:space="0"/>
              <w:bottom w:val="single" w:color="auto" w:sz="4" w:space="0"/>
              <w:right w:val="single" w:color="auto" w:sz="4" w:space="0"/>
            </w:tcBorders>
            <w:noWrap w:val="0"/>
            <w:vAlign w:val="center"/>
          </w:tcPr>
          <w:p w14:paraId="45CADA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97" w:type="pct"/>
            <w:tcBorders>
              <w:top w:val="single" w:color="auto" w:sz="4" w:space="0"/>
              <w:left w:val="single" w:color="auto" w:sz="4" w:space="0"/>
              <w:bottom w:val="single" w:color="auto" w:sz="4" w:space="0"/>
              <w:right w:val="single" w:color="auto" w:sz="4" w:space="0"/>
            </w:tcBorders>
            <w:noWrap w:val="0"/>
            <w:vAlign w:val="center"/>
          </w:tcPr>
          <w:p w14:paraId="28248C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1" w:type="pct"/>
            <w:tcBorders>
              <w:top w:val="single" w:color="auto" w:sz="4" w:space="0"/>
              <w:left w:val="single" w:color="auto" w:sz="4" w:space="0"/>
              <w:bottom w:val="single" w:color="auto" w:sz="4" w:space="0"/>
              <w:right w:val="single" w:color="auto" w:sz="4" w:space="0"/>
            </w:tcBorders>
            <w:noWrap w:val="0"/>
            <w:vAlign w:val="center"/>
          </w:tcPr>
          <w:p w14:paraId="229231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bl>
    <w:p w14:paraId="6E6480C8">
      <w:pPr>
        <w:spacing w:line="360" w:lineRule="auto"/>
        <w:ind w:left="-120" w:firstLine="210"/>
        <w:rPr>
          <w:rFonts w:hint="default" w:ascii="Times New Roman" w:hAnsi="Times New Roman" w:eastAsia="宋体" w:cs="Times New Roman"/>
          <w:color w:val="000000" w:themeColor="text1"/>
          <w:szCs w:val="21"/>
          <w:highlight w:val="none"/>
          <w:lang w:eastAsia="zh-CN"/>
          <w14:textFill>
            <w14:solidFill>
              <w14:schemeClr w14:val="tx1"/>
            </w14:solidFill>
          </w14:textFill>
        </w:rPr>
      </w:pPr>
    </w:p>
    <w:p w14:paraId="20FF8BEE">
      <w:pPr>
        <w:keepNext w:val="0"/>
        <w:keepLines w:val="0"/>
        <w:pageBreakBefore w:val="0"/>
        <w:widowControl w:val="0"/>
        <w:tabs>
          <w:tab w:val="left" w:pos="6045"/>
        </w:tabs>
        <w:kinsoku/>
        <w:wordWrap/>
        <w:overflowPunct/>
        <w:topLinePunct w:val="0"/>
        <w:autoSpaceDE/>
        <w:autoSpaceDN/>
        <w:bidi w:val="0"/>
        <w:adjustRightInd/>
        <w:snapToGrid/>
        <w:textAlignment w:val="auto"/>
        <w:rPr>
          <w:rFonts w:hint="default" w:ascii="Times New Roman" w:hAnsi="Times New Roman" w:eastAsia="宋体" w:cs="Times New Roman"/>
          <w:b/>
          <w:bCs/>
          <w:color w:val="000000" w:themeColor="text1"/>
          <w:sz w:val="22"/>
          <w:szCs w:val="22"/>
          <w:highlight w:val="none"/>
          <w14:textFill>
            <w14:solidFill>
              <w14:schemeClr w14:val="tx1"/>
            </w14:solidFill>
          </w14:textFill>
        </w:rPr>
      </w:pPr>
      <w:r>
        <w:rPr>
          <w:rFonts w:hint="default" w:ascii="Times New Roman" w:hAnsi="Times New Roman" w:eastAsia="宋体" w:cs="Times New Roman"/>
          <w:b/>
          <w:bCs/>
          <w:color w:val="000000" w:themeColor="text1"/>
          <w:sz w:val="22"/>
          <w:szCs w:val="22"/>
          <w:highlight w:val="none"/>
          <w14:textFill>
            <w14:solidFill>
              <w14:schemeClr w14:val="tx1"/>
            </w14:solidFill>
          </w14:textFill>
        </w:rPr>
        <w:t>注：</w:t>
      </w:r>
    </w:p>
    <w:p w14:paraId="012EEA12">
      <w:pPr>
        <w:keepNext w:val="0"/>
        <w:keepLines w:val="0"/>
        <w:pageBreakBefore w:val="0"/>
        <w:widowControl w:val="0"/>
        <w:tabs>
          <w:tab w:val="left" w:pos="6045"/>
        </w:tabs>
        <w:kinsoku/>
        <w:wordWrap/>
        <w:overflowPunct/>
        <w:topLinePunct w:val="0"/>
        <w:autoSpaceDE/>
        <w:autoSpaceDN/>
        <w:bidi w:val="0"/>
        <w:adjustRightInd/>
        <w:snapToGrid/>
        <w:textAlignment w:val="auto"/>
        <w:rPr>
          <w:rFonts w:hint="default" w:ascii="Times New Roman" w:hAnsi="Times New Roman" w:eastAsia="宋体" w:cs="Times New Roman"/>
          <w:b/>
          <w:bCs/>
          <w:color w:val="000000" w:themeColor="text1"/>
          <w:sz w:val="22"/>
          <w:szCs w:val="22"/>
          <w:highlight w:val="none"/>
          <w14:textFill>
            <w14:solidFill>
              <w14:schemeClr w14:val="tx1"/>
            </w14:solidFill>
          </w14:textFill>
        </w:rPr>
      </w:pPr>
      <w:r>
        <w:rPr>
          <w:rFonts w:hint="default" w:ascii="Times New Roman" w:hAnsi="Times New Roman" w:eastAsia="宋体" w:cs="Times New Roman"/>
          <w:b/>
          <w:bCs/>
          <w:color w:val="000000" w:themeColor="text1"/>
          <w:sz w:val="22"/>
          <w:szCs w:val="22"/>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2"/>
          <w:szCs w:val="22"/>
          <w:highlight w:val="none"/>
          <w14:textFill>
            <w14:solidFill>
              <w14:schemeClr w14:val="tx1"/>
            </w14:solidFill>
          </w14:textFill>
        </w:rPr>
        <w:t>如果行数不够，请自行增加。</w:t>
      </w:r>
    </w:p>
    <w:p w14:paraId="386B382D">
      <w:pPr>
        <w:keepNext w:val="0"/>
        <w:keepLines w:val="0"/>
        <w:pageBreakBefore w:val="0"/>
        <w:widowControl w:val="0"/>
        <w:tabs>
          <w:tab w:val="left" w:pos="6045"/>
        </w:tabs>
        <w:kinsoku/>
        <w:wordWrap/>
        <w:overflowPunct/>
        <w:topLinePunct w:val="0"/>
        <w:autoSpaceDE/>
        <w:autoSpaceDN/>
        <w:bidi w:val="0"/>
        <w:adjustRightInd/>
        <w:snapToGrid/>
        <w:textAlignment w:val="auto"/>
        <w:rPr>
          <w:rFonts w:hint="default" w:ascii="Times New Roman" w:hAnsi="Times New Roman" w:eastAsia="宋体" w:cs="Times New Roman"/>
          <w:b/>
          <w:bCs/>
          <w:color w:val="000000" w:themeColor="text1"/>
          <w:sz w:val="22"/>
          <w:szCs w:val="22"/>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2"/>
          <w:szCs w:val="22"/>
          <w:highlight w:val="none"/>
          <w:lang w:val="en-US" w:eastAsia="zh-CN"/>
          <w14:textFill>
            <w14:solidFill>
              <w14:schemeClr w14:val="tx1"/>
            </w14:solidFill>
          </w14:textFill>
        </w:rPr>
        <w:t>2.</w:t>
      </w:r>
      <w:r>
        <w:rPr>
          <w:rFonts w:hint="eastAsia" w:cs="Times New Roman"/>
          <w:b/>
          <w:bCs/>
          <w:color w:val="000000" w:themeColor="text1"/>
          <w:sz w:val="22"/>
          <w:szCs w:val="22"/>
          <w:highlight w:val="none"/>
          <w:lang w:val="en-US" w:eastAsia="zh-CN"/>
          <w14:textFill>
            <w14:solidFill>
              <w14:schemeClr w14:val="tx1"/>
            </w14:solidFill>
          </w14:textFill>
        </w:rPr>
        <w:t>注意</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提供设备照片</w:t>
      </w:r>
      <w:r>
        <w:rPr>
          <w:rFonts w:hint="eastAsia" w:cs="Times New Roman"/>
          <w:b/>
          <w:bCs/>
          <w:color w:val="000000" w:themeColor="text1"/>
          <w:sz w:val="21"/>
          <w:szCs w:val="21"/>
          <w:highlight w:val="none"/>
          <w:lang w:val="en-US" w:eastAsia="zh-CN"/>
          <w14:textFill>
            <w14:solidFill>
              <w14:schemeClr w14:val="tx1"/>
            </w14:solidFill>
          </w14:textFill>
        </w:rPr>
        <w:t>。</w:t>
      </w:r>
    </w:p>
    <w:p w14:paraId="0AD14705">
      <w:pPr>
        <w:keepNext w:val="0"/>
        <w:keepLines w:val="0"/>
        <w:pageBreakBefore w:val="0"/>
        <w:widowControl w:val="0"/>
        <w:tabs>
          <w:tab w:val="left" w:pos="6045"/>
        </w:tabs>
        <w:kinsoku/>
        <w:wordWrap/>
        <w:overflowPunct/>
        <w:topLinePunct w:val="0"/>
        <w:autoSpaceDE/>
        <w:autoSpaceDN/>
        <w:bidi w:val="0"/>
        <w:adjustRightInd/>
        <w:snapToGrid/>
        <w:textAlignment w:val="auto"/>
        <w:rPr>
          <w:rFonts w:hint="default" w:ascii="Times New Roman" w:hAnsi="Times New Roman" w:eastAsia="宋体" w:cs="Times New Roman"/>
          <w:b/>
          <w:bCs/>
          <w:color w:val="000000" w:themeColor="text1"/>
          <w:sz w:val="22"/>
          <w:szCs w:val="22"/>
          <w:highlight w:val="none"/>
          <w14:textFill>
            <w14:solidFill>
              <w14:schemeClr w14:val="tx1"/>
            </w14:solidFill>
          </w14:textFill>
        </w:rPr>
      </w:pPr>
    </w:p>
    <w:p w14:paraId="5138DFE5">
      <w:pPr>
        <w:spacing w:line="360" w:lineRule="auto"/>
        <w:ind w:firstLine="440"/>
        <w:jc w:val="right"/>
        <w:rPr>
          <w:rFonts w:hint="default" w:ascii="Times New Roman" w:hAnsi="Times New Roman" w:eastAsia="宋体" w:cs="Times New Roman"/>
          <w:color w:val="000000" w:themeColor="text1"/>
          <w:sz w:val="22"/>
          <w:szCs w:val="22"/>
          <w:highlight w:val="none"/>
          <w14:textFill>
            <w14:solidFill>
              <w14:schemeClr w14:val="tx1"/>
            </w14:solidFill>
          </w14:textFill>
        </w:rPr>
      </w:pPr>
    </w:p>
    <w:p w14:paraId="6EF536FA">
      <w:pPr>
        <w:spacing w:line="360" w:lineRule="auto"/>
        <w:ind w:right="420" w:firstLine="3780"/>
        <w:rPr>
          <w:rFonts w:hint="default" w:ascii="Times New Roman" w:hAnsi="Times New Roman" w:eastAsia="宋体" w:cs="Times New Roman"/>
          <w:color w:val="000000" w:themeColor="text1"/>
          <w:highlight w:val="none"/>
          <w:u w:val="singl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供应商</w:t>
      </w:r>
      <w:r>
        <w:rPr>
          <w:rFonts w:hint="default" w:ascii="Times New Roman" w:hAnsi="Times New Roman" w:eastAsia="宋体" w:cs="Times New Roman"/>
          <w:color w:val="000000" w:themeColor="text1"/>
          <w:highlight w:val="none"/>
          <w14:textFill>
            <w14:solidFill>
              <w14:schemeClr w14:val="tx1"/>
            </w14:solidFill>
          </w14:textFill>
        </w:rPr>
        <w:t>名称（公章）：</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p>
    <w:p w14:paraId="7B30F236">
      <w:pPr>
        <w:spacing w:line="360" w:lineRule="auto"/>
        <w:ind w:firstLine="422"/>
        <w:jc w:val="left"/>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ab/>
      </w:r>
      <w:r>
        <w:rPr>
          <w:rFonts w:hint="default" w:ascii="Times New Roman" w:hAnsi="Times New Roman" w:eastAsia="宋体" w:cs="Times New Roman"/>
          <w:b/>
          <w:bCs/>
          <w:color w:val="000000" w:themeColor="text1"/>
          <w:highlight w:val="non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日期：</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年</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月</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日</w:t>
      </w:r>
    </w:p>
    <w:p w14:paraId="68F2CBA4">
      <w:pPr>
        <w:pStyle w:val="34"/>
        <w:spacing w:before="0"/>
        <w:ind w:firstLine="426"/>
        <w:rPr>
          <w:rFonts w:hint="default" w:ascii="Times New Roman" w:hAnsi="Times New Roman" w:eastAsia="宋体" w:cs="Times New Roman"/>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br w:type="page" w:clear="all"/>
      </w:r>
      <w:bookmarkStart w:id="633" w:name="_Toc12686"/>
      <w:bookmarkStart w:id="634" w:name="_Toc24598"/>
      <w:r>
        <w:rPr>
          <w:rFonts w:hint="default" w:ascii="Times New Roman" w:hAnsi="Times New Roman" w:eastAsia="宋体" w:cs="Times New Roman"/>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val="0"/>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Cs w:val="0"/>
          <w:color w:val="000000" w:themeColor="text1"/>
          <w:sz w:val="24"/>
          <w:szCs w:val="24"/>
          <w:highlight w:val="none"/>
          <w14:textFill>
            <w14:solidFill>
              <w14:schemeClr w14:val="tx1"/>
            </w14:solidFill>
          </w14:textFill>
        </w:rPr>
        <w:t>）拟投入本项目人员情况表</w:t>
      </w:r>
      <w:bookmarkEnd w:id="633"/>
      <w:bookmarkEnd w:id="634"/>
    </w:p>
    <w:p w14:paraId="6902C998">
      <w:pPr>
        <w:pStyle w:val="95"/>
        <w:ind w:firstLine="42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项目名称：</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中国医学科学院皮肤病医院（中国医学科学院皮肤病研究所）</w:t>
      </w:r>
      <w:r>
        <w:rPr>
          <w:rFonts w:hint="eastAsia" w:ascii="Times New Roman" w:hAnsi="Times New Roman" w:cs="Times New Roman"/>
          <w:color w:val="000000" w:themeColor="text1"/>
          <w:sz w:val="21"/>
          <w:szCs w:val="21"/>
          <w:highlight w:val="none"/>
          <w:lang w:eastAsia="zh-CN"/>
          <w14:textFill>
            <w14:solidFill>
              <w14:schemeClr w14:val="tx1"/>
            </w14:solidFill>
          </w14:textFill>
        </w:rPr>
        <w:t>医用冰箱设备采购项目</w:t>
      </w:r>
      <w:r>
        <w:rPr>
          <w:rFonts w:hint="default" w:ascii="Times New Roman" w:hAnsi="Times New Roman" w:eastAsia="宋体" w:cs="Times New Roman"/>
          <w:color w:val="000000" w:themeColor="text1"/>
          <w:sz w:val="21"/>
          <w:szCs w:val="21"/>
          <w:highlight w:val="none"/>
          <w14:textFill>
            <w14:solidFill>
              <w14:schemeClr w14:val="tx1"/>
            </w14:solidFill>
          </w14:textFill>
        </w:rPr>
        <w:tab/>
      </w:r>
      <w:r>
        <w:rPr>
          <w:rFonts w:hint="default" w:ascii="Times New Roman" w:hAnsi="Times New Roman" w:eastAsia="宋体" w:cs="Times New Roman"/>
          <w:color w:val="000000" w:themeColor="text1"/>
          <w:sz w:val="21"/>
          <w:szCs w:val="21"/>
          <w:highlight w:val="none"/>
          <w14:textFill>
            <w14:solidFill>
              <w14:schemeClr w14:val="tx1"/>
            </w14:solidFill>
          </w14:textFill>
        </w:rPr>
        <w:tab/>
      </w:r>
    </w:p>
    <w:p w14:paraId="746F4080">
      <w:pPr>
        <w:pStyle w:val="95"/>
        <w:ind w:firstLine="42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项目编号：</w:t>
      </w:r>
      <w:sdt>
        <w:sdtPr>
          <w:rPr>
            <w:rFonts w:hint="default" w:ascii="Times New Roman" w:hAnsi="Times New Roman" w:eastAsia="宋体" w:cs="Times New Roman"/>
            <w:color w:val="000000" w:themeColor="text1"/>
            <w:sz w:val="21"/>
            <w:szCs w:val="21"/>
            <w:highlight w:val="none"/>
            <w14:textFill>
              <w14:solidFill>
                <w14:schemeClr w14:val="tx1"/>
              </w14:solidFill>
            </w14:textFill>
          </w:rPr>
          <w:id w:val="147467611"/>
          <w:placeholder>
            <w:docPart w:val="{8a29084f-8244-4cb5-b9da-5b3ea3e99aac}"/>
          </w:placeholder>
        </w:sdtPr>
        <w:sdtEndPr>
          <w:rPr>
            <w:rFonts w:hint="default" w:ascii="Times New Roman" w:hAnsi="Times New Roman" w:eastAsia="宋体" w:cs="Times New Roman"/>
            <w:color w:val="000000" w:themeColor="text1"/>
            <w:sz w:val="21"/>
            <w:szCs w:val="21"/>
            <w:highlight w:val="none"/>
            <w14:textFill>
              <w14:solidFill>
                <w14:schemeClr w14:val="tx1"/>
              </w14:solidFill>
            </w14:textFill>
          </w:rPr>
        </w:sdtEndPr>
        <w:sdtContent>
          <w:r>
            <w:rPr>
              <w:rFonts w:hint="eastAsia" w:ascii="Times New Roman" w:hAnsi="Times New Roman" w:cs="Times New Roman"/>
              <w:color w:val="000000" w:themeColor="text1"/>
              <w:sz w:val="21"/>
              <w:szCs w:val="21"/>
              <w:highlight w:val="none"/>
              <w:lang w:eastAsia="zh-CN"/>
              <w14:textFill>
                <w14:solidFill>
                  <w14:schemeClr w14:val="tx1"/>
                </w14:solidFill>
              </w14:textFill>
            </w:rPr>
            <w:t>JSTCC26025106139</w:t>
          </w:r>
        </w:sdtContent>
      </w:sdt>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590"/>
        <w:gridCol w:w="1742"/>
        <w:gridCol w:w="1057"/>
        <w:gridCol w:w="1822"/>
        <w:gridCol w:w="1675"/>
      </w:tblGrid>
      <w:tr w14:paraId="13AC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49" w:type="pct"/>
            <w:noWrap/>
            <w:vAlign w:val="center"/>
          </w:tcPr>
          <w:p w14:paraId="3A2654A4">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907" w:type="pct"/>
            <w:noWrap/>
            <w:vAlign w:val="center"/>
          </w:tcPr>
          <w:p w14:paraId="1B11DD66">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岗位</w:t>
            </w:r>
          </w:p>
        </w:tc>
        <w:tc>
          <w:tcPr>
            <w:tcW w:w="992" w:type="pct"/>
            <w:noWrap/>
            <w:vAlign w:val="center"/>
          </w:tcPr>
          <w:p w14:paraId="1CC52573">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姓名</w:t>
            </w:r>
          </w:p>
        </w:tc>
        <w:tc>
          <w:tcPr>
            <w:tcW w:w="558" w:type="pct"/>
            <w:noWrap/>
            <w:vAlign w:val="center"/>
          </w:tcPr>
          <w:p w14:paraId="15972D7C">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年龄</w:t>
            </w:r>
          </w:p>
        </w:tc>
        <w:tc>
          <w:tcPr>
            <w:tcW w:w="1036" w:type="pct"/>
            <w:noWrap/>
            <w:vAlign w:val="center"/>
          </w:tcPr>
          <w:p w14:paraId="562A65C8">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职称/证书</w:t>
            </w:r>
          </w:p>
        </w:tc>
        <w:tc>
          <w:tcPr>
            <w:tcW w:w="954" w:type="pct"/>
            <w:noWrap/>
            <w:vAlign w:val="center"/>
          </w:tcPr>
          <w:p w14:paraId="6DFA291A">
            <w:pPr>
              <w:pStyle w:val="95"/>
              <w:keepNext w:val="0"/>
              <w:keepLines w:val="0"/>
              <w:pageBreakBefore w:val="0"/>
              <w:widowControl w:val="0"/>
              <w:suppressLineNumbers w:val="0"/>
              <w:spacing w:before="0" w:beforeAutospacing="0" w:after="0" w:afterAutospacing="0"/>
              <w:ind w:left="0" w:right="0" w:firstLine="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tc>
      </w:tr>
      <w:tr w14:paraId="7032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385E812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tcPr>
          <w:p w14:paraId="203A227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tcPr>
          <w:p w14:paraId="2C0C4C7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tcPr>
          <w:p w14:paraId="3749653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63C1757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17144290">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947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10A06D1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2B73150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355FDE7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2EE2EEB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4E9AB75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2928415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F81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54BF85E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71FA7AC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057F401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63555BF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249863E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55E1365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CBC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2D283A7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121BD8A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6A37168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27D556D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7980AF2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59AF8C6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7745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4D37DCD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70CF2DF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6FF69B4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1AAB4C7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5319011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479EEEB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5D6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677BCAD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3034F1E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11A6354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583F57B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58F2B4F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6050147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A94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5B4FA37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5BB4F97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5CE3ED0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6B282DD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64CAE31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0B622F8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080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549" w:type="pct"/>
            <w:noWrap/>
          </w:tcPr>
          <w:p w14:paraId="5CB66C5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pct"/>
            <w:noWrap/>
            <w:vAlign w:val="center"/>
          </w:tcPr>
          <w:p w14:paraId="2798796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92" w:type="pct"/>
            <w:noWrap/>
            <w:vAlign w:val="center"/>
          </w:tcPr>
          <w:p w14:paraId="7482B35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58" w:type="pct"/>
            <w:noWrap/>
            <w:vAlign w:val="center"/>
          </w:tcPr>
          <w:p w14:paraId="2E63424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36" w:type="pct"/>
            <w:noWrap/>
            <w:vAlign w:val="center"/>
          </w:tcPr>
          <w:p w14:paraId="22899D5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54" w:type="pct"/>
            <w:noWrap/>
            <w:vAlign w:val="center"/>
          </w:tcPr>
          <w:p w14:paraId="5319512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124806E6">
      <w:pPr>
        <w:rPr>
          <w:rFonts w:hint="default" w:ascii="Times New Roman" w:hAnsi="Times New Roman" w:eastAsia="宋体" w:cs="Times New Roman"/>
          <w:b/>
          <w:bCs w:val="0"/>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lang w:val="en-US" w:eastAsia="zh-CN" w:bidi="ar-SA"/>
          <w14:textFill>
            <w14:solidFill>
              <w14:schemeClr w14:val="tx1"/>
            </w14:solidFill>
          </w14:textFill>
        </w:rPr>
        <w:br w:type="page" w:clear="all"/>
      </w:r>
    </w:p>
    <w:p w14:paraId="72065723">
      <w:pPr>
        <w:pStyle w:val="34"/>
        <w:numPr>
          <w:ilvl w:val="0"/>
          <w:numId w:val="8"/>
        </w:numPr>
        <w:spacing w:before="0"/>
        <w:ind w:firstLine="426"/>
        <w:rPr>
          <w:rFonts w:hint="default" w:ascii="Times New Roman" w:hAnsi="Times New Roman" w:eastAsia="宋体" w:cs="Times New Roman"/>
          <w:b/>
          <w:bCs w:val="0"/>
          <w:color w:val="000000" w:themeColor="text1"/>
          <w:sz w:val="24"/>
          <w:szCs w:val="24"/>
          <w:highlight w:val="none"/>
          <w:lang w:val="en-US" w:eastAsia="zh-CN" w:bidi="ar-SA"/>
          <w14:textFill>
            <w14:solidFill>
              <w14:schemeClr w14:val="tx1"/>
            </w14:solidFill>
          </w14:textFill>
        </w:rPr>
      </w:pPr>
      <w:bookmarkStart w:id="635" w:name="_Toc29343"/>
      <w:bookmarkStart w:id="636" w:name="_Toc20888"/>
      <w:r>
        <w:rPr>
          <w:rFonts w:hint="default" w:ascii="Times New Roman" w:hAnsi="Times New Roman" w:eastAsia="宋体" w:cs="Times New Roman"/>
          <w:b/>
          <w:bCs w:val="0"/>
          <w:color w:val="000000" w:themeColor="text1"/>
          <w:sz w:val="24"/>
          <w:szCs w:val="24"/>
          <w:highlight w:val="none"/>
          <w:lang w:val="en-US" w:eastAsia="zh-CN" w:bidi="ar-SA"/>
          <w14:textFill>
            <w14:solidFill>
              <w14:schemeClr w14:val="tx1"/>
            </w14:solidFill>
          </w14:textFill>
        </w:rPr>
        <w:t>业绩表</w:t>
      </w:r>
      <w:bookmarkEnd w:id="635"/>
      <w:bookmarkEnd w:id="636"/>
    </w:p>
    <w:tbl>
      <w:tblPr>
        <w:tblStyle w:val="37"/>
        <w:tblW w:w="4998" w:type="pct"/>
        <w:tblInd w:w="0" w:type="dxa"/>
        <w:tblLayout w:type="autofit"/>
        <w:tblCellMar>
          <w:top w:w="0" w:type="dxa"/>
          <w:left w:w="0" w:type="dxa"/>
          <w:bottom w:w="0" w:type="dxa"/>
          <w:right w:w="0" w:type="dxa"/>
        </w:tblCellMar>
      </w:tblPr>
      <w:tblGrid>
        <w:gridCol w:w="596"/>
        <w:gridCol w:w="1147"/>
        <w:gridCol w:w="1859"/>
        <w:gridCol w:w="956"/>
        <w:gridCol w:w="1205"/>
        <w:gridCol w:w="1150"/>
        <w:gridCol w:w="1853"/>
      </w:tblGrid>
      <w:tr w14:paraId="447FA16F">
        <w:tblPrEx>
          <w:tblCellMar>
            <w:top w:w="0" w:type="dxa"/>
            <w:left w:w="0" w:type="dxa"/>
            <w:bottom w:w="0" w:type="dxa"/>
            <w:right w:w="0" w:type="dxa"/>
          </w:tblCellMar>
        </w:tblPrEx>
        <w:trPr>
          <w:trHeight w:val="840" w:hRule="atLeast"/>
        </w:trPr>
        <w:tc>
          <w:tcPr>
            <w:tcW w:w="340" w:type="pct"/>
            <w:tcBorders>
              <w:top w:val="single" w:color="auto" w:sz="4" w:space="0"/>
              <w:left w:val="single" w:color="auto" w:sz="4" w:space="0"/>
              <w:bottom w:val="single" w:color="auto" w:sz="4" w:space="0"/>
              <w:right w:val="single" w:color="auto" w:sz="4" w:space="0"/>
            </w:tcBorders>
            <w:noWrap/>
            <w:tcMar>
              <w:top w:w="20" w:type="dxa"/>
              <w:left w:w="20" w:type="dxa"/>
              <w:bottom w:w="0" w:type="dxa"/>
              <w:right w:w="20" w:type="dxa"/>
            </w:tcMar>
            <w:vAlign w:val="center"/>
          </w:tcPr>
          <w:p w14:paraId="15A4E62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序号</w:t>
            </w:r>
          </w:p>
        </w:tc>
        <w:tc>
          <w:tcPr>
            <w:tcW w:w="654"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364C64C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项目名称</w:t>
            </w:r>
          </w:p>
        </w:tc>
        <w:tc>
          <w:tcPr>
            <w:tcW w:w="1060"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4F749E6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合同内容</w:t>
            </w:r>
          </w:p>
        </w:tc>
        <w:tc>
          <w:tcPr>
            <w:tcW w:w="545"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04C8518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合同金额</w:t>
            </w:r>
          </w:p>
        </w:tc>
        <w:tc>
          <w:tcPr>
            <w:tcW w:w="687"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5BB72E7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签约</w:t>
            </w:r>
          </w:p>
          <w:p w14:paraId="64B5AE1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日期</w:t>
            </w:r>
          </w:p>
        </w:tc>
        <w:tc>
          <w:tcPr>
            <w:tcW w:w="655"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79535EA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业主名称</w:t>
            </w:r>
          </w:p>
        </w:tc>
        <w:tc>
          <w:tcPr>
            <w:tcW w:w="1056" w:type="pct"/>
            <w:tcBorders>
              <w:top w:val="single" w:color="auto" w:sz="4" w:space="0"/>
              <w:left w:val="nil"/>
              <w:bottom w:val="single" w:color="auto" w:sz="4" w:space="0"/>
              <w:right w:val="single" w:color="auto" w:sz="4" w:space="0"/>
            </w:tcBorders>
            <w:noWrap/>
            <w:tcMar>
              <w:top w:w="20" w:type="dxa"/>
              <w:left w:w="20" w:type="dxa"/>
              <w:bottom w:w="0" w:type="dxa"/>
              <w:right w:w="20" w:type="dxa"/>
            </w:tcMar>
            <w:vAlign w:val="center"/>
          </w:tcPr>
          <w:p w14:paraId="48E7625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地址/电话/传真</w:t>
            </w:r>
          </w:p>
        </w:tc>
      </w:tr>
      <w:tr w14:paraId="7A32F16C">
        <w:tblPrEx>
          <w:tblCellMar>
            <w:top w:w="0" w:type="dxa"/>
            <w:left w:w="0" w:type="dxa"/>
            <w:bottom w:w="0" w:type="dxa"/>
            <w:right w:w="0" w:type="dxa"/>
          </w:tblCellMar>
        </w:tblPrEx>
        <w:trPr>
          <w:trHeight w:val="499" w:hRule="atLeast"/>
        </w:trPr>
        <w:tc>
          <w:tcPr>
            <w:tcW w:w="340" w:type="pct"/>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66890F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1</w:t>
            </w:r>
          </w:p>
        </w:tc>
        <w:tc>
          <w:tcPr>
            <w:tcW w:w="654"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602A57F1">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60"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56E6E8E9">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54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069D869E">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p>
        </w:tc>
        <w:tc>
          <w:tcPr>
            <w:tcW w:w="687"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0A8F7041">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65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55257439">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56"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2368A488">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r>
      <w:tr w14:paraId="6C7AA583">
        <w:tblPrEx>
          <w:tblCellMar>
            <w:top w:w="0" w:type="dxa"/>
            <w:left w:w="0" w:type="dxa"/>
            <w:bottom w:w="0" w:type="dxa"/>
            <w:right w:w="0" w:type="dxa"/>
          </w:tblCellMar>
        </w:tblPrEx>
        <w:trPr>
          <w:trHeight w:val="499" w:hRule="atLeast"/>
        </w:trPr>
        <w:tc>
          <w:tcPr>
            <w:tcW w:w="340" w:type="pct"/>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75C76AF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2</w:t>
            </w:r>
          </w:p>
        </w:tc>
        <w:tc>
          <w:tcPr>
            <w:tcW w:w="654"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5127DE8D">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60"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6DF74459">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54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2BD10C28">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p>
        </w:tc>
        <w:tc>
          <w:tcPr>
            <w:tcW w:w="687"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45C4CC8F">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65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349927A3">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56"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0FA8D8D2">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r>
      <w:tr w14:paraId="0DA4038B">
        <w:tblPrEx>
          <w:tblCellMar>
            <w:top w:w="0" w:type="dxa"/>
            <w:left w:w="0" w:type="dxa"/>
            <w:bottom w:w="0" w:type="dxa"/>
            <w:right w:w="0" w:type="dxa"/>
          </w:tblCellMar>
        </w:tblPrEx>
        <w:trPr>
          <w:trHeight w:val="499" w:hRule="atLeast"/>
        </w:trPr>
        <w:tc>
          <w:tcPr>
            <w:tcW w:w="340" w:type="pct"/>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5B4C35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3</w:t>
            </w:r>
          </w:p>
        </w:tc>
        <w:tc>
          <w:tcPr>
            <w:tcW w:w="654"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48B9FFED">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60"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16EF25D6">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54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313B8DBD">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p>
        </w:tc>
        <w:tc>
          <w:tcPr>
            <w:tcW w:w="687"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3C04F6FE">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65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45413014">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56"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7D57E160">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r>
      <w:tr w14:paraId="73AB34FB">
        <w:tblPrEx>
          <w:tblCellMar>
            <w:top w:w="0" w:type="dxa"/>
            <w:left w:w="0" w:type="dxa"/>
            <w:bottom w:w="0" w:type="dxa"/>
            <w:right w:w="0" w:type="dxa"/>
          </w:tblCellMar>
        </w:tblPrEx>
        <w:trPr>
          <w:trHeight w:val="499" w:hRule="atLeast"/>
        </w:trPr>
        <w:tc>
          <w:tcPr>
            <w:tcW w:w="340" w:type="pct"/>
            <w:tcBorders>
              <w:top w:val="nil"/>
              <w:left w:val="single" w:color="auto" w:sz="4" w:space="0"/>
              <w:bottom w:val="single" w:color="auto" w:sz="4" w:space="0"/>
              <w:right w:val="single" w:color="auto" w:sz="4" w:space="0"/>
            </w:tcBorders>
            <w:noWrap/>
            <w:tcMar>
              <w:top w:w="20" w:type="dxa"/>
              <w:left w:w="20" w:type="dxa"/>
              <w:bottom w:w="0" w:type="dxa"/>
              <w:right w:w="20" w:type="dxa"/>
            </w:tcMar>
            <w:vAlign w:val="bottom"/>
          </w:tcPr>
          <w:p w14:paraId="46274089">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14:textFill>
                  <w14:solidFill>
                    <w14:schemeClr w14:val="tx1"/>
                  </w14:solidFill>
                </w14:textFill>
              </w:rPr>
              <w:t>……</w:t>
            </w:r>
          </w:p>
        </w:tc>
        <w:tc>
          <w:tcPr>
            <w:tcW w:w="654"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00C7F62C">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60"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6A000121">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54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4B428A9D">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14:textFill>
                  <w14:solidFill>
                    <w14:schemeClr w14:val="tx1"/>
                  </w14:solidFill>
                </w14:textFill>
              </w:rPr>
            </w:pPr>
          </w:p>
        </w:tc>
        <w:tc>
          <w:tcPr>
            <w:tcW w:w="687"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7D27A3C9">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655"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06E15F02">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c>
          <w:tcPr>
            <w:tcW w:w="1056" w:type="pct"/>
            <w:tcBorders>
              <w:top w:val="nil"/>
              <w:left w:val="nil"/>
              <w:bottom w:val="single" w:color="auto" w:sz="4" w:space="0"/>
              <w:right w:val="single" w:color="auto" w:sz="4" w:space="0"/>
            </w:tcBorders>
            <w:noWrap/>
            <w:tcMar>
              <w:top w:w="20" w:type="dxa"/>
              <w:left w:w="20" w:type="dxa"/>
              <w:bottom w:w="0" w:type="dxa"/>
              <w:right w:w="20" w:type="dxa"/>
            </w:tcMar>
            <w:vAlign w:val="bottom"/>
          </w:tcPr>
          <w:p w14:paraId="1BED515A">
            <w:pPr>
              <w:keepNext w:val="0"/>
              <w:keepLines w:val="0"/>
              <w:suppressLineNumbers w:val="0"/>
              <w:spacing w:before="0" w:beforeAutospacing="0" w:after="0" w:afterAutospacing="0"/>
              <w:ind w:left="0" w:right="0"/>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pPr>
            <w:r>
              <w:rPr>
                <w:rFonts w:hint="default" w:ascii="Times New Roman" w:hAnsi="Times New Roman" w:eastAsia="宋体" w:cs="Times New Roman"/>
                <w:b w:val="0"/>
                <w:color w:val="000000" w:themeColor="text1"/>
                <w:position w:val="0"/>
                <w:szCs w:val="24"/>
                <w:highlight w:val="none"/>
                <w:lang w:eastAsia="zh-CN"/>
                <w14:textFill>
                  <w14:solidFill>
                    <w14:schemeClr w14:val="tx1"/>
                  </w14:solidFill>
                </w14:textFill>
              </w:rPr>
              <w:t xml:space="preserve"> </w:t>
            </w:r>
          </w:p>
        </w:tc>
      </w:tr>
    </w:tbl>
    <w:p w14:paraId="6BA37E1D">
      <w:pPr>
        <w:pStyle w:val="34"/>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Start w:id="637" w:name="_Toc4877"/>
      <w:bookmarkStart w:id="638" w:name="_Toc104560922"/>
      <w:bookmarkStart w:id="639" w:name="_Toc107246305"/>
      <w:bookmarkStart w:id="640" w:name="_Toc1102064032"/>
      <w:bookmarkStart w:id="641" w:name="_Toc1565"/>
      <w:bookmarkStart w:id="642" w:name="_Toc103848605"/>
      <w:bookmarkStart w:id="643" w:name="_Toc100905289"/>
      <w:r>
        <w:rPr>
          <w:rFonts w:hint="eastAsia" w:asciiTheme="minorEastAsia" w:hAnsiTheme="minorEastAsia" w:eastAsiaTheme="minorEastAsia" w:cstheme="minorEastAsia"/>
          <w:color w:val="000000" w:themeColor="text1"/>
          <w:sz w:val="28"/>
          <w:szCs w:val="24"/>
          <w:highlight w:val="none"/>
          <w14:textFill>
            <w14:solidFill>
              <w14:schemeClr w14:val="tx1"/>
            </w14:solidFill>
          </w14:textFill>
        </w:rPr>
        <w:t>三、其他部分</w:t>
      </w:r>
      <w:bookmarkEnd w:id="637"/>
      <w:bookmarkEnd w:id="638"/>
      <w:bookmarkEnd w:id="639"/>
      <w:bookmarkEnd w:id="640"/>
      <w:bookmarkEnd w:id="641"/>
      <w:bookmarkEnd w:id="642"/>
    </w:p>
    <w:bookmarkEnd w:id="615"/>
    <w:bookmarkEnd w:id="643"/>
    <w:p w14:paraId="0B794CB9">
      <w:pPr>
        <w:pStyle w:val="34"/>
        <w:spacing w:before="0"/>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pPr>
      <w:bookmarkStart w:id="644" w:name="_Toc100905295"/>
      <w:bookmarkStart w:id="645" w:name="_Toc104560924"/>
      <w:bookmarkStart w:id="646" w:name="_Toc7869"/>
      <w:bookmarkStart w:id="647" w:name="_Toc103848607"/>
      <w:bookmarkStart w:id="648" w:name="_Toc107246307"/>
      <w:bookmarkStart w:id="649" w:name="_Toc343730449"/>
      <w:bookmarkStart w:id="650" w:name="_Toc27742"/>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bCs w:val="0"/>
          <w:color w:val="000000" w:themeColor="text1"/>
          <w:sz w:val="24"/>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认为需提供的其他</w:t>
      </w:r>
      <w:bookmarkEnd w:id="644"/>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文件或证明材料</w:t>
      </w:r>
      <w:bookmarkEnd w:id="645"/>
      <w:bookmarkEnd w:id="646"/>
      <w:bookmarkEnd w:id="647"/>
      <w:bookmarkEnd w:id="648"/>
      <w:bookmarkEnd w:id="649"/>
      <w:bookmarkEnd w:id="650"/>
    </w:p>
    <w:p w14:paraId="213799A2">
      <w:pPr>
        <w:pStyle w:val="34"/>
        <w:spacing w:before="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br w:type="page"/>
      </w:r>
      <w:bookmarkStart w:id="651" w:name="_Toc11843"/>
      <w:bookmarkStart w:id="652" w:name="_Toc346645913"/>
      <w:bookmarkStart w:id="653" w:name="_Toc24318"/>
      <w:bookmarkStart w:id="654" w:name="_Toc103848608"/>
      <w:bookmarkStart w:id="655" w:name="_Toc104560925"/>
      <w:bookmarkStart w:id="656" w:name="_Toc107246308"/>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（2）要求</w:t>
      </w:r>
      <w:r>
        <w:rPr>
          <w:rFonts w:hint="eastAsia" w:asciiTheme="minorEastAsia" w:hAnsiTheme="minorEastAsia" w:eastAsiaTheme="minorEastAsia" w:cstheme="minorEastAsia"/>
          <w:bCs w:val="0"/>
          <w:color w:val="000000" w:themeColor="text1"/>
          <w:sz w:val="24"/>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bCs w:val="0"/>
          <w:color w:val="000000" w:themeColor="text1"/>
          <w:sz w:val="24"/>
          <w:szCs w:val="24"/>
          <w:highlight w:val="none"/>
          <w14:textFill>
            <w14:solidFill>
              <w14:schemeClr w14:val="tx1"/>
            </w14:solidFill>
          </w14:textFill>
        </w:rPr>
        <w:t>提交的其他文件材料或证明材料</w:t>
      </w:r>
      <w:bookmarkEnd w:id="651"/>
      <w:bookmarkEnd w:id="652"/>
      <w:bookmarkEnd w:id="653"/>
      <w:bookmarkEnd w:id="654"/>
      <w:bookmarkEnd w:id="655"/>
      <w:bookmarkEnd w:id="656"/>
    </w:p>
    <w:p w14:paraId="2F606DC7">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52BE2EC">
      <w:pPr>
        <w:rPr>
          <w:rFonts w:hint="eastAsia" w:asciiTheme="minorEastAsia" w:hAnsiTheme="minorEastAsia" w:eastAsiaTheme="minorEastAsia" w:cstheme="minorEastAsia"/>
          <w:color w:val="000000" w:themeColor="text1"/>
          <w:highlight w:val="none"/>
          <w14:textFill>
            <w14:solidFill>
              <w14:schemeClr w14:val="tx1"/>
            </w14:solidFill>
          </w14:textFill>
        </w:rPr>
      </w:pPr>
    </w:p>
    <w:sectPr>
      <w:pgSz w:w="11906" w:h="16838"/>
      <w:pgMar w:top="1440" w:right="1588" w:bottom="1440"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pingfang sc">
    <w:altName w:val="PMingLiU-ExtB"/>
    <w:panose1 w:val="02020503050405090304"/>
    <w:charset w:val="00"/>
    <w:family w:val="auto"/>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Helvetica Neue">
    <w:altName w:val="Times New Roman"/>
    <w:panose1 w:val="02000503000000020004"/>
    <w:charset w:val="00"/>
    <w:family w:val="auto"/>
    <w:pitch w:val="default"/>
    <w:sig w:usb0="00000000" w:usb1="00000000" w:usb2="00000010" w:usb3="00000000" w:csb0="00000000" w:csb1="00000000"/>
  </w:font>
  <w:font w:name="Helvetica">
    <w:altName w:val="Arial"/>
    <w:panose1 w:val="00000000000000000000"/>
    <w:charset w:val="00"/>
    <w:family w:val="swiss"/>
    <w:pitch w:val="default"/>
    <w:sig w:usb0="00000000" w:usb1="00000000" w:usb2="00000000" w:usb3="00000000" w:csb0="2000019F" w:csb1="4F010000"/>
  </w:font>
  <w:font w:name="pingfang sc">
    <w:altName w:val="宋体"/>
    <w:panose1 w:val="020B0400000000000000"/>
    <w:charset w:val="86"/>
    <w:family w:val="auto"/>
    <w:pitch w:val="default"/>
    <w:sig w:usb0="00000000" w:usb1="00000000" w:usb2="00000017" w:usb3="00000000" w:csb0="00040001" w:csb1="00000000"/>
  </w:font>
  <w:font w:name=".applesystemui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implifiedchinesefo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E392">
    <w:pPr>
      <w:pStyle w:val="25"/>
      <w:jc w:val="center"/>
    </w:pPr>
  </w:p>
  <w:p w14:paraId="0F37F216">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C5B95">
    <w:pPr>
      <w:spacing w:line="176" w:lineRule="auto"/>
      <w:ind w:left="5618"/>
      <w:rPr>
        <w:rFonts w:eastAsia="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EA3CF">
    <w:pPr>
      <w:spacing w:line="176" w:lineRule="auto"/>
      <w:ind w:left="5618"/>
      <w:rPr>
        <w:rFonts w:eastAsia="Times New Roman"/>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BD446">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7BD446">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BE917">
    <w:pPr>
      <w:pStyle w:val="26"/>
      <w:rPr>
        <w:rFonts w:hint="eastAsia" w:ascii="宋体" w:hAnsi="宋体" w:cs="宋体"/>
        <w:color w:val="000000"/>
        <w:kern w:val="0"/>
        <w:sz w:val="22"/>
        <w:szCs w:val="22"/>
      </w:rPr>
    </w:pPr>
    <w:r>
      <w:drawing>
        <wp:anchor distT="0" distB="0" distL="114300" distR="114300" simplePos="0" relativeHeight="251660288" behindDoc="0" locked="0" layoutInCell="1" allowOverlap="1">
          <wp:simplePos x="0" y="0"/>
          <wp:positionH relativeFrom="margin">
            <wp:posOffset>-487045</wp:posOffset>
          </wp:positionH>
          <wp:positionV relativeFrom="paragraph">
            <wp:posOffset>-191770</wp:posOffset>
          </wp:positionV>
          <wp:extent cx="515620" cy="561340"/>
          <wp:effectExtent l="0" t="0" r="5080" b="10160"/>
          <wp:wrapSquare wrapText="bothSides"/>
          <wp:docPr id="5" name="图片 3" descr="印章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印章2-01"/>
                  <pic:cNvPicPr>
                    <a:picLocks noChangeAspect="1"/>
                  </pic:cNvPicPr>
                </pic:nvPicPr>
                <pic:blipFill>
                  <a:blip r:embed="rId1"/>
                  <a:stretch>
                    <a:fillRect/>
                  </a:stretch>
                </pic:blipFill>
                <pic:spPr>
                  <a:xfrm>
                    <a:off x="0" y="0"/>
                    <a:ext cx="515620" cy="561340"/>
                  </a:xfrm>
                  <a:prstGeom prst="rect">
                    <a:avLst/>
                  </a:prstGeom>
                  <a:noFill/>
                  <a:ln>
                    <a:noFill/>
                  </a:ln>
                </pic:spPr>
              </pic:pic>
            </a:graphicData>
          </a:graphic>
        </wp:anchor>
      </w:drawing>
    </w:r>
    <w:r>
      <w:rPr>
        <w:rFonts w:hint="eastAsia" w:ascii="宋体" w:hAnsi="宋体" w:cs="宋体"/>
        <w:color w:val="000000"/>
        <w:kern w:val="0"/>
        <w:sz w:val="22"/>
        <w:szCs w:val="22"/>
      </w:rPr>
      <w:t>江苏省招标中心有限公司</w:t>
    </w:r>
  </w:p>
  <w:p w14:paraId="7E51ABD9">
    <w:pPr>
      <w:pStyle w:val="26"/>
      <w:rPr>
        <w:rFonts w:hint="eastAsia" w:ascii="宋体" w:hAnsi="宋体" w:cs="宋体"/>
        <w:color w:val="000000"/>
        <w:kern w:val="0"/>
        <w:sz w:val="22"/>
        <w:szCs w:val="22"/>
        <w:lang w:eastAsia="zh-CN"/>
      </w:rPr>
    </w:pPr>
    <w:r>
      <w:rPr>
        <w:rFonts w:hint="eastAsia" w:ascii="宋体" w:hAnsi="宋体" w:cs="宋体"/>
        <w:color w:val="000000"/>
        <w:kern w:val="0"/>
        <w:sz w:val="22"/>
        <w:szCs w:val="22"/>
        <w:lang w:eastAsia="zh-CN"/>
      </w:rPr>
      <w:t>中国医学科学院皮肤病医院（中国医学科学院皮肤病研究所）</w:t>
    </w:r>
  </w:p>
  <w:p w14:paraId="6F8852CA">
    <w:pPr>
      <w:pStyle w:val="26"/>
    </w:pPr>
    <w:r>
      <w:rPr>
        <w:rFonts w:hint="eastAsia" w:ascii="宋体" w:hAnsi="宋体" w:cs="宋体"/>
        <w:color w:val="000000"/>
        <w:kern w:val="0"/>
        <w:sz w:val="22"/>
        <w:szCs w:val="22"/>
        <w:lang w:eastAsia="zh-CN"/>
      </w:rPr>
      <w:t>医用冰箱设备采购项目</w:t>
    </w:r>
    <w:r>
      <w:rPr>
        <w:rFonts w:hint="eastAsia" w:ascii="宋体" w:hAnsi="宋体" w:cs="宋体"/>
        <w:color w:val="000000"/>
        <w:kern w:val="0"/>
        <w:sz w:val="22"/>
        <w:szCs w:val="22"/>
      </w:rPr>
      <w:t>招标文件</w:t>
    </w:r>
  </w:p>
  <w:p w14:paraId="5CD00F58">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08D4F"/>
    <w:multiLevelType w:val="singleLevel"/>
    <w:tmpl w:val="82C08D4F"/>
    <w:lvl w:ilvl="0" w:tentative="0">
      <w:start w:val="1"/>
      <w:numFmt w:val="decimal"/>
      <w:suff w:val="nothing"/>
      <w:lvlText w:val="（%1）"/>
      <w:lvlJc w:val="left"/>
    </w:lvl>
  </w:abstractNum>
  <w:abstractNum w:abstractNumId="1">
    <w:nsid w:val="897A0237"/>
    <w:multiLevelType w:val="multilevel"/>
    <w:tmpl w:val="897A0237"/>
    <w:lvl w:ilvl="0" w:tentative="0">
      <w:start w:val="2"/>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45A0218"/>
    <w:multiLevelType w:val="singleLevel"/>
    <w:tmpl w:val="A45A0218"/>
    <w:lvl w:ilvl="0" w:tentative="0">
      <w:start w:val="2"/>
      <w:numFmt w:val="decimal"/>
      <w:suff w:val="nothing"/>
      <w:lvlText w:val="%1、"/>
      <w:lvlJc w:val="left"/>
    </w:lvl>
  </w:abstractNum>
  <w:abstractNum w:abstractNumId="3">
    <w:nsid w:val="DE93FF16"/>
    <w:multiLevelType w:val="multilevel"/>
    <w:tmpl w:val="DE93FF16"/>
    <w:lvl w:ilvl="0" w:tentative="0">
      <w:start w:val="1"/>
      <w:numFmt w:val="decimal"/>
      <w:suff w:val="nothing"/>
      <w:lvlText w:val="%1."/>
      <w:lvlJc w:val="left"/>
      <w:pPr>
        <w:ind w:left="4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3B6E315E"/>
    <w:multiLevelType w:val="multilevel"/>
    <w:tmpl w:val="3B6E315E"/>
    <w:lvl w:ilvl="0" w:tentative="0">
      <w:start w:val="1"/>
      <w:numFmt w:val="japaneseCounting"/>
      <w:lvlText w:val="第%1章"/>
      <w:lvlJc w:val="left"/>
      <w:pPr>
        <w:ind w:left="1125" w:hanging="11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0D7803"/>
    <w:multiLevelType w:val="singleLevel"/>
    <w:tmpl w:val="480D7803"/>
    <w:lvl w:ilvl="0" w:tentative="0">
      <w:start w:val="1"/>
      <w:numFmt w:val="decimal"/>
      <w:suff w:val="nothing"/>
      <w:lvlText w:val="%1、"/>
      <w:lvlJc w:val="left"/>
    </w:lvl>
  </w:abstractNum>
  <w:abstractNum w:abstractNumId="6">
    <w:nsid w:val="6D9E2086"/>
    <w:multiLevelType w:val="multilevel"/>
    <w:tmpl w:val="6D9E2086"/>
    <w:lvl w:ilvl="0" w:tentative="0">
      <w:start w:val="6"/>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73A43DCA"/>
    <w:multiLevelType w:val="multilevel"/>
    <w:tmpl w:val="73A43DCA"/>
    <w:lvl w:ilvl="0" w:tentative="0">
      <w:start w:val="1"/>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0"/>
  </w:num>
  <w:num w:numId="4">
    <w:abstractNumId w:val="7"/>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4NjI5OTBmMDM1ODFlMDkzNDFlZTFiMWNhZWU5ZTMifQ=="/>
  </w:docVars>
  <w:rsids>
    <w:rsidRoot w:val="00DD0DD6"/>
    <w:rsid w:val="000017B7"/>
    <w:rsid w:val="000018CA"/>
    <w:rsid w:val="00001CE4"/>
    <w:rsid w:val="00001E0C"/>
    <w:rsid w:val="00002566"/>
    <w:rsid w:val="00003745"/>
    <w:rsid w:val="00004332"/>
    <w:rsid w:val="00005996"/>
    <w:rsid w:val="00007E66"/>
    <w:rsid w:val="000102E9"/>
    <w:rsid w:val="00011741"/>
    <w:rsid w:val="0001189A"/>
    <w:rsid w:val="000119EA"/>
    <w:rsid w:val="00012618"/>
    <w:rsid w:val="00013C5E"/>
    <w:rsid w:val="00014509"/>
    <w:rsid w:val="000155F5"/>
    <w:rsid w:val="00016D06"/>
    <w:rsid w:val="00016EB2"/>
    <w:rsid w:val="00020349"/>
    <w:rsid w:val="00020A54"/>
    <w:rsid w:val="00020E4D"/>
    <w:rsid w:val="0002152B"/>
    <w:rsid w:val="000238D8"/>
    <w:rsid w:val="0002394A"/>
    <w:rsid w:val="000243C4"/>
    <w:rsid w:val="00025219"/>
    <w:rsid w:val="00025C24"/>
    <w:rsid w:val="00025D41"/>
    <w:rsid w:val="00026A51"/>
    <w:rsid w:val="00026F05"/>
    <w:rsid w:val="0003036F"/>
    <w:rsid w:val="000310C9"/>
    <w:rsid w:val="0003110D"/>
    <w:rsid w:val="00031248"/>
    <w:rsid w:val="000317BD"/>
    <w:rsid w:val="00032450"/>
    <w:rsid w:val="00032B74"/>
    <w:rsid w:val="000344D6"/>
    <w:rsid w:val="000344E7"/>
    <w:rsid w:val="000356B6"/>
    <w:rsid w:val="0003707F"/>
    <w:rsid w:val="0003769A"/>
    <w:rsid w:val="000408A4"/>
    <w:rsid w:val="00041CB7"/>
    <w:rsid w:val="000432C8"/>
    <w:rsid w:val="00043AEA"/>
    <w:rsid w:val="000450CC"/>
    <w:rsid w:val="0004532B"/>
    <w:rsid w:val="000461DF"/>
    <w:rsid w:val="00047CA0"/>
    <w:rsid w:val="00050306"/>
    <w:rsid w:val="00053380"/>
    <w:rsid w:val="00054915"/>
    <w:rsid w:val="000554C8"/>
    <w:rsid w:val="0005557A"/>
    <w:rsid w:val="000555AF"/>
    <w:rsid w:val="00055C3B"/>
    <w:rsid w:val="000565E0"/>
    <w:rsid w:val="000567D5"/>
    <w:rsid w:val="00056D1A"/>
    <w:rsid w:val="000572AD"/>
    <w:rsid w:val="00061DBB"/>
    <w:rsid w:val="00063A5F"/>
    <w:rsid w:val="00063EB9"/>
    <w:rsid w:val="00064004"/>
    <w:rsid w:val="00064BA1"/>
    <w:rsid w:val="00065A8C"/>
    <w:rsid w:val="00066C11"/>
    <w:rsid w:val="00066CDD"/>
    <w:rsid w:val="00071922"/>
    <w:rsid w:val="00072507"/>
    <w:rsid w:val="00072741"/>
    <w:rsid w:val="00072BB7"/>
    <w:rsid w:val="0007378E"/>
    <w:rsid w:val="000738E7"/>
    <w:rsid w:val="00074C1B"/>
    <w:rsid w:val="00076280"/>
    <w:rsid w:val="0007707A"/>
    <w:rsid w:val="00080165"/>
    <w:rsid w:val="0008030D"/>
    <w:rsid w:val="00080645"/>
    <w:rsid w:val="0008077C"/>
    <w:rsid w:val="00081C7E"/>
    <w:rsid w:val="00082016"/>
    <w:rsid w:val="00082100"/>
    <w:rsid w:val="0008219F"/>
    <w:rsid w:val="00082414"/>
    <w:rsid w:val="00082AD0"/>
    <w:rsid w:val="0008522F"/>
    <w:rsid w:val="0008664F"/>
    <w:rsid w:val="000867E9"/>
    <w:rsid w:val="00087702"/>
    <w:rsid w:val="000903DD"/>
    <w:rsid w:val="00090550"/>
    <w:rsid w:val="00091BC7"/>
    <w:rsid w:val="0009211F"/>
    <w:rsid w:val="0009293A"/>
    <w:rsid w:val="00094C65"/>
    <w:rsid w:val="00094C9F"/>
    <w:rsid w:val="00095BF0"/>
    <w:rsid w:val="000A0A88"/>
    <w:rsid w:val="000A1B05"/>
    <w:rsid w:val="000A1F90"/>
    <w:rsid w:val="000A6C79"/>
    <w:rsid w:val="000A7792"/>
    <w:rsid w:val="000A7A5C"/>
    <w:rsid w:val="000B0A03"/>
    <w:rsid w:val="000B10FD"/>
    <w:rsid w:val="000B13C9"/>
    <w:rsid w:val="000B21B1"/>
    <w:rsid w:val="000B22E8"/>
    <w:rsid w:val="000B27A3"/>
    <w:rsid w:val="000B494F"/>
    <w:rsid w:val="000B5A31"/>
    <w:rsid w:val="000B7901"/>
    <w:rsid w:val="000C0112"/>
    <w:rsid w:val="000C01BB"/>
    <w:rsid w:val="000C02BA"/>
    <w:rsid w:val="000C1010"/>
    <w:rsid w:val="000C1851"/>
    <w:rsid w:val="000C1E7C"/>
    <w:rsid w:val="000C297D"/>
    <w:rsid w:val="000C4DEC"/>
    <w:rsid w:val="000C4F26"/>
    <w:rsid w:val="000C5A56"/>
    <w:rsid w:val="000C5E63"/>
    <w:rsid w:val="000C625D"/>
    <w:rsid w:val="000D0EEE"/>
    <w:rsid w:val="000D16B8"/>
    <w:rsid w:val="000D176F"/>
    <w:rsid w:val="000D288B"/>
    <w:rsid w:val="000D3826"/>
    <w:rsid w:val="000D39B1"/>
    <w:rsid w:val="000D4A44"/>
    <w:rsid w:val="000D4A95"/>
    <w:rsid w:val="000D51C5"/>
    <w:rsid w:val="000D575A"/>
    <w:rsid w:val="000D619C"/>
    <w:rsid w:val="000E02E7"/>
    <w:rsid w:val="000E032D"/>
    <w:rsid w:val="000E1663"/>
    <w:rsid w:val="000E1F07"/>
    <w:rsid w:val="000E2170"/>
    <w:rsid w:val="000E277E"/>
    <w:rsid w:val="000E476C"/>
    <w:rsid w:val="000E4973"/>
    <w:rsid w:val="000E65F1"/>
    <w:rsid w:val="000E786A"/>
    <w:rsid w:val="000F0CF6"/>
    <w:rsid w:val="000F301A"/>
    <w:rsid w:val="000F47BF"/>
    <w:rsid w:val="000F5056"/>
    <w:rsid w:val="000F50AD"/>
    <w:rsid w:val="000F5D62"/>
    <w:rsid w:val="000F744F"/>
    <w:rsid w:val="000F7D47"/>
    <w:rsid w:val="00100FA9"/>
    <w:rsid w:val="0010116A"/>
    <w:rsid w:val="00101D03"/>
    <w:rsid w:val="0010228C"/>
    <w:rsid w:val="0010241F"/>
    <w:rsid w:val="001041A5"/>
    <w:rsid w:val="00104548"/>
    <w:rsid w:val="00105F06"/>
    <w:rsid w:val="00106E40"/>
    <w:rsid w:val="00107146"/>
    <w:rsid w:val="00107238"/>
    <w:rsid w:val="00107797"/>
    <w:rsid w:val="00107F23"/>
    <w:rsid w:val="001124C4"/>
    <w:rsid w:val="00113FBD"/>
    <w:rsid w:val="00114CE3"/>
    <w:rsid w:val="00116BF1"/>
    <w:rsid w:val="00116CD6"/>
    <w:rsid w:val="00116ED1"/>
    <w:rsid w:val="001170E8"/>
    <w:rsid w:val="00117935"/>
    <w:rsid w:val="00117AB2"/>
    <w:rsid w:val="001209F2"/>
    <w:rsid w:val="00120E45"/>
    <w:rsid w:val="00122895"/>
    <w:rsid w:val="0012400D"/>
    <w:rsid w:val="00124725"/>
    <w:rsid w:val="001254BA"/>
    <w:rsid w:val="0013092D"/>
    <w:rsid w:val="00131AF3"/>
    <w:rsid w:val="00131FD9"/>
    <w:rsid w:val="001324E3"/>
    <w:rsid w:val="00136E7F"/>
    <w:rsid w:val="0013748B"/>
    <w:rsid w:val="00137B17"/>
    <w:rsid w:val="00140D6E"/>
    <w:rsid w:val="001453B6"/>
    <w:rsid w:val="0014543F"/>
    <w:rsid w:val="00146105"/>
    <w:rsid w:val="001478A2"/>
    <w:rsid w:val="00147C07"/>
    <w:rsid w:val="00147E68"/>
    <w:rsid w:val="001507ED"/>
    <w:rsid w:val="001516A3"/>
    <w:rsid w:val="001516EB"/>
    <w:rsid w:val="0015238A"/>
    <w:rsid w:val="001526FE"/>
    <w:rsid w:val="00152DA4"/>
    <w:rsid w:val="00153264"/>
    <w:rsid w:val="0015373A"/>
    <w:rsid w:val="001542CE"/>
    <w:rsid w:val="001571DB"/>
    <w:rsid w:val="0016055F"/>
    <w:rsid w:val="00160699"/>
    <w:rsid w:val="00161587"/>
    <w:rsid w:val="001629A1"/>
    <w:rsid w:val="0016319A"/>
    <w:rsid w:val="001634F1"/>
    <w:rsid w:val="001655C6"/>
    <w:rsid w:val="00166067"/>
    <w:rsid w:val="00170869"/>
    <w:rsid w:val="0017171D"/>
    <w:rsid w:val="00171A07"/>
    <w:rsid w:val="00171FB0"/>
    <w:rsid w:val="00172F1D"/>
    <w:rsid w:val="001735A8"/>
    <w:rsid w:val="00174A20"/>
    <w:rsid w:val="0017631B"/>
    <w:rsid w:val="00180552"/>
    <w:rsid w:val="0018098D"/>
    <w:rsid w:val="00181297"/>
    <w:rsid w:val="00181574"/>
    <w:rsid w:val="001818EE"/>
    <w:rsid w:val="00182FF5"/>
    <w:rsid w:val="001830CF"/>
    <w:rsid w:val="00184BDF"/>
    <w:rsid w:val="00184E26"/>
    <w:rsid w:val="00185282"/>
    <w:rsid w:val="0018601D"/>
    <w:rsid w:val="00190183"/>
    <w:rsid w:val="00191B5E"/>
    <w:rsid w:val="0019200C"/>
    <w:rsid w:val="00194241"/>
    <w:rsid w:val="0019427F"/>
    <w:rsid w:val="00194CEC"/>
    <w:rsid w:val="00195C21"/>
    <w:rsid w:val="00195E95"/>
    <w:rsid w:val="00196D94"/>
    <w:rsid w:val="001A4A2F"/>
    <w:rsid w:val="001A4A35"/>
    <w:rsid w:val="001A5C27"/>
    <w:rsid w:val="001A635F"/>
    <w:rsid w:val="001A6941"/>
    <w:rsid w:val="001A69F3"/>
    <w:rsid w:val="001B178B"/>
    <w:rsid w:val="001B2327"/>
    <w:rsid w:val="001B2467"/>
    <w:rsid w:val="001B24C0"/>
    <w:rsid w:val="001B303F"/>
    <w:rsid w:val="001B3772"/>
    <w:rsid w:val="001B4C93"/>
    <w:rsid w:val="001B6424"/>
    <w:rsid w:val="001B6BBE"/>
    <w:rsid w:val="001B71E4"/>
    <w:rsid w:val="001B7DB4"/>
    <w:rsid w:val="001C1638"/>
    <w:rsid w:val="001C1CCA"/>
    <w:rsid w:val="001C4359"/>
    <w:rsid w:val="001C5EC1"/>
    <w:rsid w:val="001C6BAA"/>
    <w:rsid w:val="001C70EB"/>
    <w:rsid w:val="001C7EF2"/>
    <w:rsid w:val="001D02ED"/>
    <w:rsid w:val="001D0B07"/>
    <w:rsid w:val="001D0E6C"/>
    <w:rsid w:val="001D0E81"/>
    <w:rsid w:val="001D1166"/>
    <w:rsid w:val="001D2BB0"/>
    <w:rsid w:val="001D5226"/>
    <w:rsid w:val="001D5CC0"/>
    <w:rsid w:val="001D5D12"/>
    <w:rsid w:val="001D78C6"/>
    <w:rsid w:val="001E3D13"/>
    <w:rsid w:val="001E3DD9"/>
    <w:rsid w:val="001E4000"/>
    <w:rsid w:val="001E4187"/>
    <w:rsid w:val="001E4342"/>
    <w:rsid w:val="001E4B12"/>
    <w:rsid w:val="001E537B"/>
    <w:rsid w:val="001E5D7A"/>
    <w:rsid w:val="001E6025"/>
    <w:rsid w:val="001E71BF"/>
    <w:rsid w:val="001F0357"/>
    <w:rsid w:val="001F0CF6"/>
    <w:rsid w:val="001F2115"/>
    <w:rsid w:val="001F35AF"/>
    <w:rsid w:val="001F39DC"/>
    <w:rsid w:val="001F7147"/>
    <w:rsid w:val="001F7FF7"/>
    <w:rsid w:val="00202121"/>
    <w:rsid w:val="002024A5"/>
    <w:rsid w:val="00203902"/>
    <w:rsid w:val="00203D84"/>
    <w:rsid w:val="002050A6"/>
    <w:rsid w:val="00205BEE"/>
    <w:rsid w:val="00207252"/>
    <w:rsid w:val="0020744A"/>
    <w:rsid w:val="00207E1E"/>
    <w:rsid w:val="0021215D"/>
    <w:rsid w:val="00213CF6"/>
    <w:rsid w:val="00213D8E"/>
    <w:rsid w:val="0021489C"/>
    <w:rsid w:val="00214A8D"/>
    <w:rsid w:val="00214E82"/>
    <w:rsid w:val="00214EEF"/>
    <w:rsid w:val="00215182"/>
    <w:rsid w:val="00215E35"/>
    <w:rsid w:val="00215F32"/>
    <w:rsid w:val="002165B2"/>
    <w:rsid w:val="002174E9"/>
    <w:rsid w:val="00220DC4"/>
    <w:rsid w:val="00220DCD"/>
    <w:rsid w:val="00223DC3"/>
    <w:rsid w:val="0022556D"/>
    <w:rsid w:val="00225F10"/>
    <w:rsid w:val="002272C7"/>
    <w:rsid w:val="00230E6F"/>
    <w:rsid w:val="00231C51"/>
    <w:rsid w:val="00231F3C"/>
    <w:rsid w:val="0023454A"/>
    <w:rsid w:val="00236C0C"/>
    <w:rsid w:val="002402B6"/>
    <w:rsid w:val="002426E3"/>
    <w:rsid w:val="0024377E"/>
    <w:rsid w:val="002440F0"/>
    <w:rsid w:val="00245277"/>
    <w:rsid w:val="00246560"/>
    <w:rsid w:val="00246AA7"/>
    <w:rsid w:val="0024716F"/>
    <w:rsid w:val="002474D0"/>
    <w:rsid w:val="00253373"/>
    <w:rsid w:val="00253811"/>
    <w:rsid w:val="00254482"/>
    <w:rsid w:val="002545FD"/>
    <w:rsid w:val="002551F1"/>
    <w:rsid w:val="00257AB9"/>
    <w:rsid w:val="00257C14"/>
    <w:rsid w:val="00261BC8"/>
    <w:rsid w:val="00265341"/>
    <w:rsid w:val="00267073"/>
    <w:rsid w:val="00270C25"/>
    <w:rsid w:val="00270C4D"/>
    <w:rsid w:val="00270D8F"/>
    <w:rsid w:val="00272C03"/>
    <w:rsid w:val="0027318B"/>
    <w:rsid w:val="002733F5"/>
    <w:rsid w:val="00274D63"/>
    <w:rsid w:val="00275E66"/>
    <w:rsid w:val="0028034C"/>
    <w:rsid w:val="002824AA"/>
    <w:rsid w:val="00283F6A"/>
    <w:rsid w:val="00285C3A"/>
    <w:rsid w:val="002867D5"/>
    <w:rsid w:val="002867D7"/>
    <w:rsid w:val="0028692C"/>
    <w:rsid w:val="00286DD5"/>
    <w:rsid w:val="00287442"/>
    <w:rsid w:val="00287637"/>
    <w:rsid w:val="002879D3"/>
    <w:rsid w:val="0029003A"/>
    <w:rsid w:val="00291D15"/>
    <w:rsid w:val="002947E6"/>
    <w:rsid w:val="00295159"/>
    <w:rsid w:val="00295F1A"/>
    <w:rsid w:val="00296039"/>
    <w:rsid w:val="00297162"/>
    <w:rsid w:val="002A1EA2"/>
    <w:rsid w:val="002A3C0E"/>
    <w:rsid w:val="002A52BD"/>
    <w:rsid w:val="002A626B"/>
    <w:rsid w:val="002A72E9"/>
    <w:rsid w:val="002B013D"/>
    <w:rsid w:val="002B1EDF"/>
    <w:rsid w:val="002B2496"/>
    <w:rsid w:val="002B2AAC"/>
    <w:rsid w:val="002B2EA3"/>
    <w:rsid w:val="002B3468"/>
    <w:rsid w:val="002B3541"/>
    <w:rsid w:val="002B3F92"/>
    <w:rsid w:val="002B4A0A"/>
    <w:rsid w:val="002B4CAA"/>
    <w:rsid w:val="002B502C"/>
    <w:rsid w:val="002B507F"/>
    <w:rsid w:val="002C0450"/>
    <w:rsid w:val="002C3826"/>
    <w:rsid w:val="002C3B9A"/>
    <w:rsid w:val="002C4500"/>
    <w:rsid w:val="002C45C9"/>
    <w:rsid w:val="002C4A55"/>
    <w:rsid w:val="002C5CBF"/>
    <w:rsid w:val="002C6986"/>
    <w:rsid w:val="002C6EE0"/>
    <w:rsid w:val="002C7B5A"/>
    <w:rsid w:val="002D0585"/>
    <w:rsid w:val="002D113D"/>
    <w:rsid w:val="002D23CD"/>
    <w:rsid w:val="002D2D46"/>
    <w:rsid w:val="002D31C5"/>
    <w:rsid w:val="002D4198"/>
    <w:rsid w:val="002D6043"/>
    <w:rsid w:val="002D7B92"/>
    <w:rsid w:val="002E0580"/>
    <w:rsid w:val="002E23F9"/>
    <w:rsid w:val="002E43D0"/>
    <w:rsid w:val="002E569D"/>
    <w:rsid w:val="002E6610"/>
    <w:rsid w:val="002E6A62"/>
    <w:rsid w:val="002F05AF"/>
    <w:rsid w:val="002F1ADE"/>
    <w:rsid w:val="002F1EC3"/>
    <w:rsid w:val="002F3E17"/>
    <w:rsid w:val="002F537E"/>
    <w:rsid w:val="002F57DE"/>
    <w:rsid w:val="002F72F8"/>
    <w:rsid w:val="0030018F"/>
    <w:rsid w:val="0030051B"/>
    <w:rsid w:val="00301FFB"/>
    <w:rsid w:val="00302B51"/>
    <w:rsid w:val="003031C2"/>
    <w:rsid w:val="003034CD"/>
    <w:rsid w:val="00303540"/>
    <w:rsid w:val="00304C4E"/>
    <w:rsid w:val="00305222"/>
    <w:rsid w:val="00306037"/>
    <w:rsid w:val="00310910"/>
    <w:rsid w:val="00310AD8"/>
    <w:rsid w:val="00311782"/>
    <w:rsid w:val="00312D1D"/>
    <w:rsid w:val="00312D64"/>
    <w:rsid w:val="00314D90"/>
    <w:rsid w:val="00315DE4"/>
    <w:rsid w:val="00317613"/>
    <w:rsid w:val="0032033A"/>
    <w:rsid w:val="0032098D"/>
    <w:rsid w:val="0032101C"/>
    <w:rsid w:val="00321315"/>
    <w:rsid w:val="00321431"/>
    <w:rsid w:val="00321A0E"/>
    <w:rsid w:val="00321E33"/>
    <w:rsid w:val="0032215F"/>
    <w:rsid w:val="00323EDF"/>
    <w:rsid w:val="003247D4"/>
    <w:rsid w:val="00325FF6"/>
    <w:rsid w:val="00326304"/>
    <w:rsid w:val="00326888"/>
    <w:rsid w:val="00326ABE"/>
    <w:rsid w:val="003270D8"/>
    <w:rsid w:val="00327240"/>
    <w:rsid w:val="00330030"/>
    <w:rsid w:val="003302C1"/>
    <w:rsid w:val="00332046"/>
    <w:rsid w:val="00332281"/>
    <w:rsid w:val="00332941"/>
    <w:rsid w:val="00333A40"/>
    <w:rsid w:val="00334761"/>
    <w:rsid w:val="00335104"/>
    <w:rsid w:val="00337144"/>
    <w:rsid w:val="00337277"/>
    <w:rsid w:val="003401CC"/>
    <w:rsid w:val="00340669"/>
    <w:rsid w:val="00341E63"/>
    <w:rsid w:val="00344B98"/>
    <w:rsid w:val="00346436"/>
    <w:rsid w:val="003466C3"/>
    <w:rsid w:val="0034677E"/>
    <w:rsid w:val="00347909"/>
    <w:rsid w:val="003526DD"/>
    <w:rsid w:val="00352A2E"/>
    <w:rsid w:val="00354166"/>
    <w:rsid w:val="00354221"/>
    <w:rsid w:val="00360D65"/>
    <w:rsid w:val="00363811"/>
    <w:rsid w:val="00363EFE"/>
    <w:rsid w:val="00364594"/>
    <w:rsid w:val="003704A7"/>
    <w:rsid w:val="00371433"/>
    <w:rsid w:val="0037157C"/>
    <w:rsid w:val="003715C3"/>
    <w:rsid w:val="003730C9"/>
    <w:rsid w:val="003732CB"/>
    <w:rsid w:val="00376D2F"/>
    <w:rsid w:val="00376F47"/>
    <w:rsid w:val="00377E3F"/>
    <w:rsid w:val="00377FDC"/>
    <w:rsid w:val="00380878"/>
    <w:rsid w:val="00384D63"/>
    <w:rsid w:val="0038510F"/>
    <w:rsid w:val="00390B45"/>
    <w:rsid w:val="00390BD9"/>
    <w:rsid w:val="00390ED0"/>
    <w:rsid w:val="0039471D"/>
    <w:rsid w:val="003950B6"/>
    <w:rsid w:val="003961EF"/>
    <w:rsid w:val="00396276"/>
    <w:rsid w:val="003A12C9"/>
    <w:rsid w:val="003A14C9"/>
    <w:rsid w:val="003A18F3"/>
    <w:rsid w:val="003A34E8"/>
    <w:rsid w:val="003A3B6F"/>
    <w:rsid w:val="003A4461"/>
    <w:rsid w:val="003A495A"/>
    <w:rsid w:val="003A5608"/>
    <w:rsid w:val="003A5691"/>
    <w:rsid w:val="003A6AC0"/>
    <w:rsid w:val="003A6EF3"/>
    <w:rsid w:val="003A74EE"/>
    <w:rsid w:val="003B119D"/>
    <w:rsid w:val="003B1274"/>
    <w:rsid w:val="003B15AE"/>
    <w:rsid w:val="003B176F"/>
    <w:rsid w:val="003B2FD7"/>
    <w:rsid w:val="003B436D"/>
    <w:rsid w:val="003B5C5B"/>
    <w:rsid w:val="003B6212"/>
    <w:rsid w:val="003B67D3"/>
    <w:rsid w:val="003B67E7"/>
    <w:rsid w:val="003B724F"/>
    <w:rsid w:val="003C06EA"/>
    <w:rsid w:val="003C1225"/>
    <w:rsid w:val="003C15A3"/>
    <w:rsid w:val="003C16A6"/>
    <w:rsid w:val="003C306B"/>
    <w:rsid w:val="003C331D"/>
    <w:rsid w:val="003C34E6"/>
    <w:rsid w:val="003C3706"/>
    <w:rsid w:val="003C463D"/>
    <w:rsid w:val="003C55C2"/>
    <w:rsid w:val="003C55EF"/>
    <w:rsid w:val="003D15A2"/>
    <w:rsid w:val="003D350C"/>
    <w:rsid w:val="003D579B"/>
    <w:rsid w:val="003D6C43"/>
    <w:rsid w:val="003E101E"/>
    <w:rsid w:val="003E23EB"/>
    <w:rsid w:val="003E2443"/>
    <w:rsid w:val="003E30AB"/>
    <w:rsid w:val="003E3115"/>
    <w:rsid w:val="003E5996"/>
    <w:rsid w:val="003F1824"/>
    <w:rsid w:val="003F1834"/>
    <w:rsid w:val="003F2228"/>
    <w:rsid w:val="003F31FA"/>
    <w:rsid w:val="003F58BB"/>
    <w:rsid w:val="003F67FB"/>
    <w:rsid w:val="00400DAC"/>
    <w:rsid w:val="00402A46"/>
    <w:rsid w:val="00403332"/>
    <w:rsid w:val="004033B4"/>
    <w:rsid w:val="004045F1"/>
    <w:rsid w:val="00405832"/>
    <w:rsid w:val="00407DAB"/>
    <w:rsid w:val="004100DA"/>
    <w:rsid w:val="00411A84"/>
    <w:rsid w:val="00411B73"/>
    <w:rsid w:val="00411BDE"/>
    <w:rsid w:val="004128C1"/>
    <w:rsid w:val="00412B4A"/>
    <w:rsid w:val="00413C28"/>
    <w:rsid w:val="0041423C"/>
    <w:rsid w:val="00414AF2"/>
    <w:rsid w:val="0041532F"/>
    <w:rsid w:val="0041536C"/>
    <w:rsid w:val="00415CD4"/>
    <w:rsid w:val="00417127"/>
    <w:rsid w:val="00420094"/>
    <w:rsid w:val="004222EC"/>
    <w:rsid w:val="00424DED"/>
    <w:rsid w:val="00425CC5"/>
    <w:rsid w:val="0042793B"/>
    <w:rsid w:val="00430456"/>
    <w:rsid w:val="0043107D"/>
    <w:rsid w:val="00431989"/>
    <w:rsid w:val="00433D4D"/>
    <w:rsid w:val="00436458"/>
    <w:rsid w:val="00441A34"/>
    <w:rsid w:val="004456B6"/>
    <w:rsid w:val="004474D8"/>
    <w:rsid w:val="00451C59"/>
    <w:rsid w:val="00451E2F"/>
    <w:rsid w:val="0045315D"/>
    <w:rsid w:val="004543BD"/>
    <w:rsid w:val="00454730"/>
    <w:rsid w:val="00455AD1"/>
    <w:rsid w:val="004560C1"/>
    <w:rsid w:val="004563FA"/>
    <w:rsid w:val="004567ED"/>
    <w:rsid w:val="00457800"/>
    <w:rsid w:val="00457B4E"/>
    <w:rsid w:val="00457BE2"/>
    <w:rsid w:val="00457D01"/>
    <w:rsid w:val="00460AA8"/>
    <w:rsid w:val="00460AC8"/>
    <w:rsid w:val="004630BD"/>
    <w:rsid w:val="004642FE"/>
    <w:rsid w:val="00464302"/>
    <w:rsid w:val="00464645"/>
    <w:rsid w:val="00470ADC"/>
    <w:rsid w:val="004731D2"/>
    <w:rsid w:val="004743A0"/>
    <w:rsid w:val="0047575E"/>
    <w:rsid w:val="00475B5D"/>
    <w:rsid w:val="004761D6"/>
    <w:rsid w:val="0048008F"/>
    <w:rsid w:val="00481602"/>
    <w:rsid w:val="00482275"/>
    <w:rsid w:val="004825BA"/>
    <w:rsid w:val="00482DCC"/>
    <w:rsid w:val="00487461"/>
    <w:rsid w:val="00487DDB"/>
    <w:rsid w:val="00487E6A"/>
    <w:rsid w:val="00491517"/>
    <w:rsid w:val="004926C9"/>
    <w:rsid w:val="00493B9E"/>
    <w:rsid w:val="00494E36"/>
    <w:rsid w:val="0049607B"/>
    <w:rsid w:val="004962EF"/>
    <w:rsid w:val="00496CDA"/>
    <w:rsid w:val="004972CB"/>
    <w:rsid w:val="004A00AE"/>
    <w:rsid w:val="004A01FE"/>
    <w:rsid w:val="004A1081"/>
    <w:rsid w:val="004A282B"/>
    <w:rsid w:val="004A2EAD"/>
    <w:rsid w:val="004A4582"/>
    <w:rsid w:val="004A4E12"/>
    <w:rsid w:val="004A533F"/>
    <w:rsid w:val="004A58D7"/>
    <w:rsid w:val="004A6120"/>
    <w:rsid w:val="004A682A"/>
    <w:rsid w:val="004B00E1"/>
    <w:rsid w:val="004B02E1"/>
    <w:rsid w:val="004B0B0B"/>
    <w:rsid w:val="004B0D6B"/>
    <w:rsid w:val="004B1581"/>
    <w:rsid w:val="004B3D68"/>
    <w:rsid w:val="004B6C28"/>
    <w:rsid w:val="004B7E04"/>
    <w:rsid w:val="004C013F"/>
    <w:rsid w:val="004C0B0C"/>
    <w:rsid w:val="004C0B3E"/>
    <w:rsid w:val="004C12A1"/>
    <w:rsid w:val="004C14CB"/>
    <w:rsid w:val="004C4D73"/>
    <w:rsid w:val="004C674D"/>
    <w:rsid w:val="004C6BB5"/>
    <w:rsid w:val="004D0372"/>
    <w:rsid w:val="004D224F"/>
    <w:rsid w:val="004D2461"/>
    <w:rsid w:val="004D31C1"/>
    <w:rsid w:val="004D36BB"/>
    <w:rsid w:val="004D67EC"/>
    <w:rsid w:val="004E15C1"/>
    <w:rsid w:val="004E1A0B"/>
    <w:rsid w:val="004E2164"/>
    <w:rsid w:val="004E221F"/>
    <w:rsid w:val="004E3BC0"/>
    <w:rsid w:val="004E6B5F"/>
    <w:rsid w:val="004E7CFD"/>
    <w:rsid w:val="004F0EDB"/>
    <w:rsid w:val="004F104B"/>
    <w:rsid w:val="004F1106"/>
    <w:rsid w:val="004F3944"/>
    <w:rsid w:val="004F3FF2"/>
    <w:rsid w:val="004F4951"/>
    <w:rsid w:val="004F5015"/>
    <w:rsid w:val="004F5E49"/>
    <w:rsid w:val="004F6DEA"/>
    <w:rsid w:val="004F72BA"/>
    <w:rsid w:val="004F7A91"/>
    <w:rsid w:val="004F7C9E"/>
    <w:rsid w:val="00500D76"/>
    <w:rsid w:val="005024D6"/>
    <w:rsid w:val="00503B0F"/>
    <w:rsid w:val="00503B86"/>
    <w:rsid w:val="00505668"/>
    <w:rsid w:val="00506426"/>
    <w:rsid w:val="00506FC8"/>
    <w:rsid w:val="005074E6"/>
    <w:rsid w:val="0050773B"/>
    <w:rsid w:val="00507D9B"/>
    <w:rsid w:val="00507F13"/>
    <w:rsid w:val="0051022E"/>
    <w:rsid w:val="005109FB"/>
    <w:rsid w:val="005110DC"/>
    <w:rsid w:val="00511856"/>
    <w:rsid w:val="00511D52"/>
    <w:rsid w:val="00513C8E"/>
    <w:rsid w:val="00513D50"/>
    <w:rsid w:val="005144B5"/>
    <w:rsid w:val="00514E17"/>
    <w:rsid w:val="00515135"/>
    <w:rsid w:val="00515212"/>
    <w:rsid w:val="00515D29"/>
    <w:rsid w:val="005162D4"/>
    <w:rsid w:val="00516920"/>
    <w:rsid w:val="00516C14"/>
    <w:rsid w:val="0051761A"/>
    <w:rsid w:val="00520306"/>
    <w:rsid w:val="005234FA"/>
    <w:rsid w:val="00524B9B"/>
    <w:rsid w:val="0052510D"/>
    <w:rsid w:val="005255D3"/>
    <w:rsid w:val="005262E6"/>
    <w:rsid w:val="005268A8"/>
    <w:rsid w:val="005274D2"/>
    <w:rsid w:val="0053070A"/>
    <w:rsid w:val="00530CEE"/>
    <w:rsid w:val="00530E0E"/>
    <w:rsid w:val="00530FA1"/>
    <w:rsid w:val="005316EF"/>
    <w:rsid w:val="00531F70"/>
    <w:rsid w:val="00532575"/>
    <w:rsid w:val="00532E44"/>
    <w:rsid w:val="00533CE6"/>
    <w:rsid w:val="00534295"/>
    <w:rsid w:val="005362A9"/>
    <w:rsid w:val="005378EA"/>
    <w:rsid w:val="005400BA"/>
    <w:rsid w:val="00541D3B"/>
    <w:rsid w:val="00542625"/>
    <w:rsid w:val="00543064"/>
    <w:rsid w:val="005448D0"/>
    <w:rsid w:val="005470CB"/>
    <w:rsid w:val="005522D6"/>
    <w:rsid w:val="0055264C"/>
    <w:rsid w:val="005530D7"/>
    <w:rsid w:val="0055334C"/>
    <w:rsid w:val="0055401F"/>
    <w:rsid w:val="0055467C"/>
    <w:rsid w:val="0055485E"/>
    <w:rsid w:val="005563F9"/>
    <w:rsid w:val="00556E60"/>
    <w:rsid w:val="005571C0"/>
    <w:rsid w:val="005610E3"/>
    <w:rsid w:val="00561ADC"/>
    <w:rsid w:val="00561BE9"/>
    <w:rsid w:val="0056287C"/>
    <w:rsid w:val="00564D28"/>
    <w:rsid w:val="005670B0"/>
    <w:rsid w:val="00567521"/>
    <w:rsid w:val="00567C4D"/>
    <w:rsid w:val="00567F48"/>
    <w:rsid w:val="0057099B"/>
    <w:rsid w:val="00571DDC"/>
    <w:rsid w:val="005734B9"/>
    <w:rsid w:val="00573D1C"/>
    <w:rsid w:val="00574393"/>
    <w:rsid w:val="00574EE2"/>
    <w:rsid w:val="00574FEC"/>
    <w:rsid w:val="005751C4"/>
    <w:rsid w:val="00577A9A"/>
    <w:rsid w:val="00580B03"/>
    <w:rsid w:val="00580EEF"/>
    <w:rsid w:val="0058136D"/>
    <w:rsid w:val="00581D75"/>
    <w:rsid w:val="00582787"/>
    <w:rsid w:val="00583300"/>
    <w:rsid w:val="00583F77"/>
    <w:rsid w:val="005853F6"/>
    <w:rsid w:val="005854C3"/>
    <w:rsid w:val="005858E7"/>
    <w:rsid w:val="00585C65"/>
    <w:rsid w:val="005876AA"/>
    <w:rsid w:val="005918B5"/>
    <w:rsid w:val="005925E3"/>
    <w:rsid w:val="00592B2C"/>
    <w:rsid w:val="00592E06"/>
    <w:rsid w:val="005954D0"/>
    <w:rsid w:val="00595DE9"/>
    <w:rsid w:val="005963D5"/>
    <w:rsid w:val="00597B4E"/>
    <w:rsid w:val="005A12F7"/>
    <w:rsid w:val="005A488E"/>
    <w:rsid w:val="005A6080"/>
    <w:rsid w:val="005A665D"/>
    <w:rsid w:val="005A729F"/>
    <w:rsid w:val="005A78B6"/>
    <w:rsid w:val="005A7AA2"/>
    <w:rsid w:val="005A7D80"/>
    <w:rsid w:val="005B11D9"/>
    <w:rsid w:val="005B16EF"/>
    <w:rsid w:val="005B2F30"/>
    <w:rsid w:val="005B3B25"/>
    <w:rsid w:val="005B4305"/>
    <w:rsid w:val="005B63EA"/>
    <w:rsid w:val="005B6F90"/>
    <w:rsid w:val="005B75EA"/>
    <w:rsid w:val="005B7ACA"/>
    <w:rsid w:val="005C04E8"/>
    <w:rsid w:val="005C09F8"/>
    <w:rsid w:val="005C22E8"/>
    <w:rsid w:val="005C2305"/>
    <w:rsid w:val="005C3B2D"/>
    <w:rsid w:val="005C4D01"/>
    <w:rsid w:val="005C50CF"/>
    <w:rsid w:val="005C5B17"/>
    <w:rsid w:val="005C6740"/>
    <w:rsid w:val="005D2C69"/>
    <w:rsid w:val="005D4331"/>
    <w:rsid w:val="005D711C"/>
    <w:rsid w:val="005E1CD6"/>
    <w:rsid w:val="005E31AC"/>
    <w:rsid w:val="005E6098"/>
    <w:rsid w:val="005E7E61"/>
    <w:rsid w:val="005F06B4"/>
    <w:rsid w:val="005F155E"/>
    <w:rsid w:val="005F4000"/>
    <w:rsid w:val="005F4888"/>
    <w:rsid w:val="005F4D20"/>
    <w:rsid w:val="005F5390"/>
    <w:rsid w:val="005F6546"/>
    <w:rsid w:val="006018FB"/>
    <w:rsid w:val="00606648"/>
    <w:rsid w:val="00606989"/>
    <w:rsid w:val="00610BA9"/>
    <w:rsid w:val="00611634"/>
    <w:rsid w:val="006116D6"/>
    <w:rsid w:val="00611913"/>
    <w:rsid w:val="00611BC9"/>
    <w:rsid w:val="00612F4C"/>
    <w:rsid w:val="0061372E"/>
    <w:rsid w:val="00613825"/>
    <w:rsid w:val="00614646"/>
    <w:rsid w:val="006159C4"/>
    <w:rsid w:val="0061609C"/>
    <w:rsid w:val="00617FE0"/>
    <w:rsid w:val="00622EC6"/>
    <w:rsid w:val="00624C7F"/>
    <w:rsid w:val="006265AA"/>
    <w:rsid w:val="00626A04"/>
    <w:rsid w:val="00630936"/>
    <w:rsid w:val="006318F0"/>
    <w:rsid w:val="00631D7F"/>
    <w:rsid w:val="00632A53"/>
    <w:rsid w:val="006336AD"/>
    <w:rsid w:val="00633A2B"/>
    <w:rsid w:val="00634537"/>
    <w:rsid w:val="00634D8A"/>
    <w:rsid w:val="00636C09"/>
    <w:rsid w:val="0063727E"/>
    <w:rsid w:val="00641325"/>
    <w:rsid w:val="006425AF"/>
    <w:rsid w:val="00642901"/>
    <w:rsid w:val="00642BC1"/>
    <w:rsid w:val="00644E22"/>
    <w:rsid w:val="006461D4"/>
    <w:rsid w:val="0064644C"/>
    <w:rsid w:val="00646F9C"/>
    <w:rsid w:val="00647F83"/>
    <w:rsid w:val="006511EA"/>
    <w:rsid w:val="00651BAD"/>
    <w:rsid w:val="00653D17"/>
    <w:rsid w:val="00654DDA"/>
    <w:rsid w:val="006553EC"/>
    <w:rsid w:val="006559AA"/>
    <w:rsid w:val="00662C4D"/>
    <w:rsid w:val="006635FF"/>
    <w:rsid w:val="0066378F"/>
    <w:rsid w:val="00663ABF"/>
    <w:rsid w:val="00663F60"/>
    <w:rsid w:val="0066450E"/>
    <w:rsid w:val="00667B6F"/>
    <w:rsid w:val="00671045"/>
    <w:rsid w:val="006711AE"/>
    <w:rsid w:val="00671DAF"/>
    <w:rsid w:val="00672656"/>
    <w:rsid w:val="0067450F"/>
    <w:rsid w:val="00680B53"/>
    <w:rsid w:val="00682665"/>
    <w:rsid w:val="00683B85"/>
    <w:rsid w:val="0068516A"/>
    <w:rsid w:val="0068631C"/>
    <w:rsid w:val="0068792D"/>
    <w:rsid w:val="006901C0"/>
    <w:rsid w:val="00691953"/>
    <w:rsid w:val="00691EBC"/>
    <w:rsid w:val="006921B5"/>
    <w:rsid w:val="00692F09"/>
    <w:rsid w:val="00695EF0"/>
    <w:rsid w:val="006A0F73"/>
    <w:rsid w:val="006A14BE"/>
    <w:rsid w:val="006A2C52"/>
    <w:rsid w:val="006A38B6"/>
    <w:rsid w:val="006A42D4"/>
    <w:rsid w:val="006A4C5B"/>
    <w:rsid w:val="006A5B1F"/>
    <w:rsid w:val="006A6627"/>
    <w:rsid w:val="006A6AEC"/>
    <w:rsid w:val="006A7A59"/>
    <w:rsid w:val="006A7FA7"/>
    <w:rsid w:val="006B08B6"/>
    <w:rsid w:val="006B1261"/>
    <w:rsid w:val="006B1511"/>
    <w:rsid w:val="006B1FBD"/>
    <w:rsid w:val="006B3F85"/>
    <w:rsid w:val="006B4FD3"/>
    <w:rsid w:val="006C146C"/>
    <w:rsid w:val="006C324C"/>
    <w:rsid w:val="006C352E"/>
    <w:rsid w:val="006C3895"/>
    <w:rsid w:val="006C4E09"/>
    <w:rsid w:val="006C50C2"/>
    <w:rsid w:val="006C615E"/>
    <w:rsid w:val="006D1E6A"/>
    <w:rsid w:val="006D27C2"/>
    <w:rsid w:val="006E179F"/>
    <w:rsid w:val="006E193F"/>
    <w:rsid w:val="006E2930"/>
    <w:rsid w:val="006E2938"/>
    <w:rsid w:val="006E29C1"/>
    <w:rsid w:val="006E2AD0"/>
    <w:rsid w:val="006E4235"/>
    <w:rsid w:val="006E7211"/>
    <w:rsid w:val="006E79E3"/>
    <w:rsid w:val="006E7A99"/>
    <w:rsid w:val="006E7F77"/>
    <w:rsid w:val="006F21A5"/>
    <w:rsid w:val="006F27BF"/>
    <w:rsid w:val="006F3775"/>
    <w:rsid w:val="006F37F8"/>
    <w:rsid w:val="006F6DCE"/>
    <w:rsid w:val="006F7B21"/>
    <w:rsid w:val="00700B2A"/>
    <w:rsid w:val="007011E3"/>
    <w:rsid w:val="00701681"/>
    <w:rsid w:val="0070171F"/>
    <w:rsid w:val="007023FB"/>
    <w:rsid w:val="0070247B"/>
    <w:rsid w:val="00703376"/>
    <w:rsid w:val="0070381C"/>
    <w:rsid w:val="007048B0"/>
    <w:rsid w:val="007051EB"/>
    <w:rsid w:val="00705E9B"/>
    <w:rsid w:val="007066F0"/>
    <w:rsid w:val="00706F41"/>
    <w:rsid w:val="00710886"/>
    <w:rsid w:val="00710B55"/>
    <w:rsid w:val="00711DC3"/>
    <w:rsid w:val="007142DA"/>
    <w:rsid w:val="007154F5"/>
    <w:rsid w:val="007159E8"/>
    <w:rsid w:val="00715E2A"/>
    <w:rsid w:val="007160FC"/>
    <w:rsid w:val="00716191"/>
    <w:rsid w:val="007165D1"/>
    <w:rsid w:val="0071662D"/>
    <w:rsid w:val="00720033"/>
    <w:rsid w:val="0072068A"/>
    <w:rsid w:val="00720C10"/>
    <w:rsid w:val="00720CDF"/>
    <w:rsid w:val="00724594"/>
    <w:rsid w:val="0072775E"/>
    <w:rsid w:val="007309F4"/>
    <w:rsid w:val="00731137"/>
    <w:rsid w:val="00731212"/>
    <w:rsid w:val="00731E1A"/>
    <w:rsid w:val="00731EDA"/>
    <w:rsid w:val="007339B6"/>
    <w:rsid w:val="00735461"/>
    <w:rsid w:val="00736ADE"/>
    <w:rsid w:val="00744861"/>
    <w:rsid w:val="007478D6"/>
    <w:rsid w:val="00747BB1"/>
    <w:rsid w:val="00751B6B"/>
    <w:rsid w:val="007528C2"/>
    <w:rsid w:val="00755145"/>
    <w:rsid w:val="0075617D"/>
    <w:rsid w:val="00756D27"/>
    <w:rsid w:val="0076199F"/>
    <w:rsid w:val="00762158"/>
    <w:rsid w:val="007630B3"/>
    <w:rsid w:val="00764E5F"/>
    <w:rsid w:val="00765195"/>
    <w:rsid w:val="0076647D"/>
    <w:rsid w:val="0076683F"/>
    <w:rsid w:val="00767A49"/>
    <w:rsid w:val="00770052"/>
    <w:rsid w:val="0077065C"/>
    <w:rsid w:val="00770F73"/>
    <w:rsid w:val="00771183"/>
    <w:rsid w:val="0077125D"/>
    <w:rsid w:val="00772A14"/>
    <w:rsid w:val="00772C5B"/>
    <w:rsid w:val="00772EB8"/>
    <w:rsid w:val="00773C6F"/>
    <w:rsid w:val="00774CA4"/>
    <w:rsid w:val="00774FA3"/>
    <w:rsid w:val="00775861"/>
    <w:rsid w:val="00776226"/>
    <w:rsid w:val="0077784E"/>
    <w:rsid w:val="0078090C"/>
    <w:rsid w:val="0078190C"/>
    <w:rsid w:val="00781D2E"/>
    <w:rsid w:val="00781D60"/>
    <w:rsid w:val="00782A6A"/>
    <w:rsid w:val="00782B3C"/>
    <w:rsid w:val="00783429"/>
    <w:rsid w:val="00784765"/>
    <w:rsid w:val="00785F3B"/>
    <w:rsid w:val="00786EFE"/>
    <w:rsid w:val="007873B4"/>
    <w:rsid w:val="007877DB"/>
    <w:rsid w:val="00790D4C"/>
    <w:rsid w:val="00790EDE"/>
    <w:rsid w:val="00791910"/>
    <w:rsid w:val="0079316F"/>
    <w:rsid w:val="007A023F"/>
    <w:rsid w:val="007A1CCF"/>
    <w:rsid w:val="007A3C9C"/>
    <w:rsid w:val="007A50AA"/>
    <w:rsid w:val="007A62FF"/>
    <w:rsid w:val="007A65D5"/>
    <w:rsid w:val="007A66F7"/>
    <w:rsid w:val="007B14A3"/>
    <w:rsid w:val="007B1783"/>
    <w:rsid w:val="007B5FE6"/>
    <w:rsid w:val="007B6BD8"/>
    <w:rsid w:val="007B7145"/>
    <w:rsid w:val="007B718D"/>
    <w:rsid w:val="007C1599"/>
    <w:rsid w:val="007C171A"/>
    <w:rsid w:val="007C39B5"/>
    <w:rsid w:val="007C5797"/>
    <w:rsid w:val="007C5806"/>
    <w:rsid w:val="007C6026"/>
    <w:rsid w:val="007C650D"/>
    <w:rsid w:val="007C68B0"/>
    <w:rsid w:val="007C68B5"/>
    <w:rsid w:val="007D264C"/>
    <w:rsid w:val="007D2ABA"/>
    <w:rsid w:val="007D3AC0"/>
    <w:rsid w:val="007D53F3"/>
    <w:rsid w:val="007D634D"/>
    <w:rsid w:val="007D68F6"/>
    <w:rsid w:val="007D6C02"/>
    <w:rsid w:val="007D7A8F"/>
    <w:rsid w:val="007D7DD5"/>
    <w:rsid w:val="007E1784"/>
    <w:rsid w:val="007E3015"/>
    <w:rsid w:val="007E38AB"/>
    <w:rsid w:val="007E4103"/>
    <w:rsid w:val="007E4F94"/>
    <w:rsid w:val="007E55A5"/>
    <w:rsid w:val="007E7143"/>
    <w:rsid w:val="007F2366"/>
    <w:rsid w:val="007F31AE"/>
    <w:rsid w:val="007F3EDB"/>
    <w:rsid w:val="007F410D"/>
    <w:rsid w:val="007F6084"/>
    <w:rsid w:val="007F6250"/>
    <w:rsid w:val="007F6B0A"/>
    <w:rsid w:val="007F6F40"/>
    <w:rsid w:val="007F7135"/>
    <w:rsid w:val="00800CF1"/>
    <w:rsid w:val="008018D4"/>
    <w:rsid w:val="00801A45"/>
    <w:rsid w:val="008040C2"/>
    <w:rsid w:val="00805056"/>
    <w:rsid w:val="0080581F"/>
    <w:rsid w:val="00805AC4"/>
    <w:rsid w:val="0080662B"/>
    <w:rsid w:val="008069E9"/>
    <w:rsid w:val="00806CB9"/>
    <w:rsid w:val="00807374"/>
    <w:rsid w:val="008074EF"/>
    <w:rsid w:val="008105F1"/>
    <w:rsid w:val="0081081A"/>
    <w:rsid w:val="00811992"/>
    <w:rsid w:val="00812F77"/>
    <w:rsid w:val="008139E5"/>
    <w:rsid w:val="008147D7"/>
    <w:rsid w:val="00815CA2"/>
    <w:rsid w:val="00816D8F"/>
    <w:rsid w:val="00816EB9"/>
    <w:rsid w:val="00820C32"/>
    <w:rsid w:val="00821787"/>
    <w:rsid w:val="00822A8C"/>
    <w:rsid w:val="00823608"/>
    <w:rsid w:val="008247C9"/>
    <w:rsid w:val="00824BFE"/>
    <w:rsid w:val="0082512F"/>
    <w:rsid w:val="00826162"/>
    <w:rsid w:val="00826E90"/>
    <w:rsid w:val="00827967"/>
    <w:rsid w:val="00827EC1"/>
    <w:rsid w:val="00830583"/>
    <w:rsid w:val="00831047"/>
    <w:rsid w:val="00831340"/>
    <w:rsid w:val="008314EA"/>
    <w:rsid w:val="00832F95"/>
    <w:rsid w:val="00834720"/>
    <w:rsid w:val="008361D8"/>
    <w:rsid w:val="00836572"/>
    <w:rsid w:val="00836A0F"/>
    <w:rsid w:val="008409D1"/>
    <w:rsid w:val="00841780"/>
    <w:rsid w:val="00843AEA"/>
    <w:rsid w:val="00846852"/>
    <w:rsid w:val="00850AAF"/>
    <w:rsid w:val="008520B3"/>
    <w:rsid w:val="00852A03"/>
    <w:rsid w:val="00853082"/>
    <w:rsid w:val="00853C3C"/>
    <w:rsid w:val="00853EB6"/>
    <w:rsid w:val="00856915"/>
    <w:rsid w:val="00861D08"/>
    <w:rsid w:val="00862CD7"/>
    <w:rsid w:val="0086634E"/>
    <w:rsid w:val="008675B1"/>
    <w:rsid w:val="00870CA4"/>
    <w:rsid w:val="00870EED"/>
    <w:rsid w:val="00873DCB"/>
    <w:rsid w:val="00875900"/>
    <w:rsid w:val="00875DF8"/>
    <w:rsid w:val="0088138E"/>
    <w:rsid w:val="00881843"/>
    <w:rsid w:val="00881D0A"/>
    <w:rsid w:val="00884125"/>
    <w:rsid w:val="0088705B"/>
    <w:rsid w:val="00887C7F"/>
    <w:rsid w:val="0089275A"/>
    <w:rsid w:val="0089426D"/>
    <w:rsid w:val="00894C37"/>
    <w:rsid w:val="008951F1"/>
    <w:rsid w:val="008961A2"/>
    <w:rsid w:val="008A1014"/>
    <w:rsid w:val="008A4217"/>
    <w:rsid w:val="008A5FED"/>
    <w:rsid w:val="008B021E"/>
    <w:rsid w:val="008B087F"/>
    <w:rsid w:val="008B120C"/>
    <w:rsid w:val="008B19CF"/>
    <w:rsid w:val="008B2F1F"/>
    <w:rsid w:val="008B50EF"/>
    <w:rsid w:val="008B6803"/>
    <w:rsid w:val="008C1A56"/>
    <w:rsid w:val="008C28E2"/>
    <w:rsid w:val="008C4389"/>
    <w:rsid w:val="008C4754"/>
    <w:rsid w:val="008C5A25"/>
    <w:rsid w:val="008C5B46"/>
    <w:rsid w:val="008D062B"/>
    <w:rsid w:val="008D193A"/>
    <w:rsid w:val="008D3991"/>
    <w:rsid w:val="008D41EE"/>
    <w:rsid w:val="008D4B97"/>
    <w:rsid w:val="008D5BCE"/>
    <w:rsid w:val="008E20C5"/>
    <w:rsid w:val="008E6236"/>
    <w:rsid w:val="008E733B"/>
    <w:rsid w:val="008E7B24"/>
    <w:rsid w:val="008F0E06"/>
    <w:rsid w:val="008F190C"/>
    <w:rsid w:val="008F3B5A"/>
    <w:rsid w:val="008F487D"/>
    <w:rsid w:val="008F4ADA"/>
    <w:rsid w:val="008F55B2"/>
    <w:rsid w:val="008F5919"/>
    <w:rsid w:val="009001D2"/>
    <w:rsid w:val="00904160"/>
    <w:rsid w:val="009059F5"/>
    <w:rsid w:val="00905AE4"/>
    <w:rsid w:val="00905CAA"/>
    <w:rsid w:val="00905CDD"/>
    <w:rsid w:val="009062BC"/>
    <w:rsid w:val="0091123D"/>
    <w:rsid w:val="00911B77"/>
    <w:rsid w:val="00913C1E"/>
    <w:rsid w:val="00913E51"/>
    <w:rsid w:val="009141B7"/>
    <w:rsid w:val="00915263"/>
    <w:rsid w:val="00915708"/>
    <w:rsid w:val="00916093"/>
    <w:rsid w:val="00916198"/>
    <w:rsid w:val="009163E7"/>
    <w:rsid w:val="009202E2"/>
    <w:rsid w:val="0092036C"/>
    <w:rsid w:val="00920C15"/>
    <w:rsid w:val="0092114D"/>
    <w:rsid w:val="009213D9"/>
    <w:rsid w:val="009221CA"/>
    <w:rsid w:val="00922D40"/>
    <w:rsid w:val="00922EF3"/>
    <w:rsid w:val="00923168"/>
    <w:rsid w:val="0092406D"/>
    <w:rsid w:val="009244BA"/>
    <w:rsid w:val="00924561"/>
    <w:rsid w:val="00926305"/>
    <w:rsid w:val="00926358"/>
    <w:rsid w:val="009267EF"/>
    <w:rsid w:val="009268B5"/>
    <w:rsid w:val="009268FD"/>
    <w:rsid w:val="00927374"/>
    <w:rsid w:val="0093032D"/>
    <w:rsid w:val="009303A5"/>
    <w:rsid w:val="0093190D"/>
    <w:rsid w:val="009342FB"/>
    <w:rsid w:val="00934BBF"/>
    <w:rsid w:val="00934EDC"/>
    <w:rsid w:val="00935FA5"/>
    <w:rsid w:val="00941014"/>
    <w:rsid w:val="00942AA6"/>
    <w:rsid w:val="00942FC2"/>
    <w:rsid w:val="00943CCB"/>
    <w:rsid w:val="0094434B"/>
    <w:rsid w:val="009462C4"/>
    <w:rsid w:val="009466F4"/>
    <w:rsid w:val="009467DC"/>
    <w:rsid w:val="009471B9"/>
    <w:rsid w:val="0094743E"/>
    <w:rsid w:val="009511A7"/>
    <w:rsid w:val="00953319"/>
    <w:rsid w:val="009549CF"/>
    <w:rsid w:val="009556EC"/>
    <w:rsid w:val="009559BC"/>
    <w:rsid w:val="0095683B"/>
    <w:rsid w:val="009575F1"/>
    <w:rsid w:val="0095797A"/>
    <w:rsid w:val="00957AE6"/>
    <w:rsid w:val="00960A08"/>
    <w:rsid w:val="00960E44"/>
    <w:rsid w:val="009613C1"/>
    <w:rsid w:val="0096140D"/>
    <w:rsid w:val="009635B4"/>
    <w:rsid w:val="009655F3"/>
    <w:rsid w:val="00965AC1"/>
    <w:rsid w:val="00965B8F"/>
    <w:rsid w:val="009726FE"/>
    <w:rsid w:val="00972C59"/>
    <w:rsid w:val="0097383F"/>
    <w:rsid w:val="00974939"/>
    <w:rsid w:val="00976367"/>
    <w:rsid w:val="00976454"/>
    <w:rsid w:val="009768D3"/>
    <w:rsid w:val="009770A7"/>
    <w:rsid w:val="009778F2"/>
    <w:rsid w:val="00980937"/>
    <w:rsid w:val="00982954"/>
    <w:rsid w:val="009862C2"/>
    <w:rsid w:val="0098747D"/>
    <w:rsid w:val="009875FA"/>
    <w:rsid w:val="0098799C"/>
    <w:rsid w:val="00990A75"/>
    <w:rsid w:val="0099104D"/>
    <w:rsid w:val="00991CF0"/>
    <w:rsid w:val="00992400"/>
    <w:rsid w:val="00994C61"/>
    <w:rsid w:val="0099620A"/>
    <w:rsid w:val="00996351"/>
    <w:rsid w:val="009970CF"/>
    <w:rsid w:val="0099748E"/>
    <w:rsid w:val="009979B3"/>
    <w:rsid w:val="009A0DB0"/>
    <w:rsid w:val="009A476C"/>
    <w:rsid w:val="009A4DAC"/>
    <w:rsid w:val="009A64C7"/>
    <w:rsid w:val="009B0B3C"/>
    <w:rsid w:val="009B0CC8"/>
    <w:rsid w:val="009B1AD8"/>
    <w:rsid w:val="009B293B"/>
    <w:rsid w:val="009B4E88"/>
    <w:rsid w:val="009B605D"/>
    <w:rsid w:val="009B697B"/>
    <w:rsid w:val="009B6C2D"/>
    <w:rsid w:val="009B6FC6"/>
    <w:rsid w:val="009B7CEE"/>
    <w:rsid w:val="009C0853"/>
    <w:rsid w:val="009C090D"/>
    <w:rsid w:val="009C27C0"/>
    <w:rsid w:val="009C3017"/>
    <w:rsid w:val="009C44A4"/>
    <w:rsid w:val="009C55AE"/>
    <w:rsid w:val="009C6BA1"/>
    <w:rsid w:val="009C7DB3"/>
    <w:rsid w:val="009D012C"/>
    <w:rsid w:val="009D4561"/>
    <w:rsid w:val="009D4574"/>
    <w:rsid w:val="009D6C81"/>
    <w:rsid w:val="009E1B91"/>
    <w:rsid w:val="009E24D0"/>
    <w:rsid w:val="009E2C80"/>
    <w:rsid w:val="009E37C3"/>
    <w:rsid w:val="009E435A"/>
    <w:rsid w:val="009E45CF"/>
    <w:rsid w:val="009E5195"/>
    <w:rsid w:val="009E5678"/>
    <w:rsid w:val="009E5768"/>
    <w:rsid w:val="009E6836"/>
    <w:rsid w:val="009E6E7B"/>
    <w:rsid w:val="009F1610"/>
    <w:rsid w:val="009F17BD"/>
    <w:rsid w:val="009F2889"/>
    <w:rsid w:val="009F417D"/>
    <w:rsid w:val="009F6011"/>
    <w:rsid w:val="009F60D5"/>
    <w:rsid w:val="009F7E21"/>
    <w:rsid w:val="009F7E8A"/>
    <w:rsid w:val="00A003AD"/>
    <w:rsid w:val="00A00F08"/>
    <w:rsid w:val="00A01DE2"/>
    <w:rsid w:val="00A02D48"/>
    <w:rsid w:val="00A03EB6"/>
    <w:rsid w:val="00A0440A"/>
    <w:rsid w:val="00A06409"/>
    <w:rsid w:val="00A06C40"/>
    <w:rsid w:val="00A079DB"/>
    <w:rsid w:val="00A11672"/>
    <w:rsid w:val="00A12800"/>
    <w:rsid w:val="00A12CDF"/>
    <w:rsid w:val="00A159AC"/>
    <w:rsid w:val="00A1613F"/>
    <w:rsid w:val="00A1682A"/>
    <w:rsid w:val="00A16BFA"/>
    <w:rsid w:val="00A16F31"/>
    <w:rsid w:val="00A17B29"/>
    <w:rsid w:val="00A22D30"/>
    <w:rsid w:val="00A2425E"/>
    <w:rsid w:val="00A24AA7"/>
    <w:rsid w:val="00A255D8"/>
    <w:rsid w:val="00A255F7"/>
    <w:rsid w:val="00A276E6"/>
    <w:rsid w:val="00A27C90"/>
    <w:rsid w:val="00A30B92"/>
    <w:rsid w:val="00A314F5"/>
    <w:rsid w:val="00A32C21"/>
    <w:rsid w:val="00A33094"/>
    <w:rsid w:val="00A3343F"/>
    <w:rsid w:val="00A33709"/>
    <w:rsid w:val="00A33FB2"/>
    <w:rsid w:val="00A348E2"/>
    <w:rsid w:val="00A349E5"/>
    <w:rsid w:val="00A358D7"/>
    <w:rsid w:val="00A36037"/>
    <w:rsid w:val="00A367CD"/>
    <w:rsid w:val="00A368A6"/>
    <w:rsid w:val="00A37D7D"/>
    <w:rsid w:val="00A42598"/>
    <w:rsid w:val="00A43BB1"/>
    <w:rsid w:val="00A4476D"/>
    <w:rsid w:val="00A44A69"/>
    <w:rsid w:val="00A45431"/>
    <w:rsid w:val="00A45566"/>
    <w:rsid w:val="00A46B2E"/>
    <w:rsid w:val="00A478F4"/>
    <w:rsid w:val="00A479AB"/>
    <w:rsid w:val="00A47B94"/>
    <w:rsid w:val="00A47FF6"/>
    <w:rsid w:val="00A51032"/>
    <w:rsid w:val="00A523B3"/>
    <w:rsid w:val="00A52F3E"/>
    <w:rsid w:val="00A54FFF"/>
    <w:rsid w:val="00A554A7"/>
    <w:rsid w:val="00A55B91"/>
    <w:rsid w:val="00A56F0D"/>
    <w:rsid w:val="00A57F29"/>
    <w:rsid w:val="00A60DD3"/>
    <w:rsid w:val="00A60F46"/>
    <w:rsid w:val="00A61C15"/>
    <w:rsid w:val="00A620A4"/>
    <w:rsid w:val="00A6252E"/>
    <w:rsid w:val="00A629E1"/>
    <w:rsid w:val="00A64F76"/>
    <w:rsid w:val="00A67098"/>
    <w:rsid w:val="00A67B81"/>
    <w:rsid w:val="00A7047E"/>
    <w:rsid w:val="00A73ACD"/>
    <w:rsid w:val="00A8265C"/>
    <w:rsid w:val="00A82843"/>
    <w:rsid w:val="00A83839"/>
    <w:rsid w:val="00A83AC2"/>
    <w:rsid w:val="00A8564B"/>
    <w:rsid w:val="00A85902"/>
    <w:rsid w:val="00A8598B"/>
    <w:rsid w:val="00A86186"/>
    <w:rsid w:val="00A86560"/>
    <w:rsid w:val="00A874EB"/>
    <w:rsid w:val="00A9081E"/>
    <w:rsid w:val="00A90CD3"/>
    <w:rsid w:val="00A90F67"/>
    <w:rsid w:val="00A94B97"/>
    <w:rsid w:val="00A94F9F"/>
    <w:rsid w:val="00A97BAB"/>
    <w:rsid w:val="00AA0383"/>
    <w:rsid w:val="00AA0D01"/>
    <w:rsid w:val="00AA14F9"/>
    <w:rsid w:val="00AA1DEE"/>
    <w:rsid w:val="00AA2A02"/>
    <w:rsid w:val="00AA2A65"/>
    <w:rsid w:val="00AA3030"/>
    <w:rsid w:val="00AA30EF"/>
    <w:rsid w:val="00AA3AFF"/>
    <w:rsid w:val="00AA55DA"/>
    <w:rsid w:val="00AA5DAC"/>
    <w:rsid w:val="00AA6BF1"/>
    <w:rsid w:val="00AA766E"/>
    <w:rsid w:val="00AB1867"/>
    <w:rsid w:val="00AB3630"/>
    <w:rsid w:val="00AB582D"/>
    <w:rsid w:val="00AB68B8"/>
    <w:rsid w:val="00AB7717"/>
    <w:rsid w:val="00AC367C"/>
    <w:rsid w:val="00AC450D"/>
    <w:rsid w:val="00AC63FC"/>
    <w:rsid w:val="00AD212B"/>
    <w:rsid w:val="00AD2148"/>
    <w:rsid w:val="00AD2847"/>
    <w:rsid w:val="00AD2A67"/>
    <w:rsid w:val="00AD2C5D"/>
    <w:rsid w:val="00AD2CBA"/>
    <w:rsid w:val="00AD4F64"/>
    <w:rsid w:val="00AD6AC2"/>
    <w:rsid w:val="00AD6D98"/>
    <w:rsid w:val="00AD747D"/>
    <w:rsid w:val="00AE0267"/>
    <w:rsid w:val="00AE189F"/>
    <w:rsid w:val="00AE5273"/>
    <w:rsid w:val="00AE5B1F"/>
    <w:rsid w:val="00AE5D8A"/>
    <w:rsid w:val="00AF07DE"/>
    <w:rsid w:val="00AF11F5"/>
    <w:rsid w:val="00AF14D3"/>
    <w:rsid w:val="00AF3D10"/>
    <w:rsid w:val="00AF3F20"/>
    <w:rsid w:val="00AF459C"/>
    <w:rsid w:val="00AF5994"/>
    <w:rsid w:val="00AF63B4"/>
    <w:rsid w:val="00AF6900"/>
    <w:rsid w:val="00AF7FFB"/>
    <w:rsid w:val="00B00201"/>
    <w:rsid w:val="00B0070D"/>
    <w:rsid w:val="00B0331A"/>
    <w:rsid w:val="00B052AD"/>
    <w:rsid w:val="00B055AA"/>
    <w:rsid w:val="00B05BDB"/>
    <w:rsid w:val="00B05C5F"/>
    <w:rsid w:val="00B05EBC"/>
    <w:rsid w:val="00B05F49"/>
    <w:rsid w:val="00B06593"/>
    <w:rsid w:val="00B06B60"/>
    <w:rsid w:val="00B06DF7"/>
    <w:rsid w:val="00B07335"/>
    <w:rsid w:val="00B07B4E"/>
    <w:rsid w:val="00B10F6F"/>
    <w:rsid w:val="00B11EE0"/>
    <w:rsid w:val="00B134CD"/>
    <w:rsid w:val="00B145E9"/>
    <w:rsid w:val="00B15597"/>
    <w:rsid w:val="00B15F56"/>
    <w:rsid w:val="00B1697D"/>
    <w:rsid w:val="00B17314"/>
    <w:rsid w:val="00B2001D"/>
    <w:rsid w:val="00B225D0"/>
    <w:rsid w:val="00B22F76"/>
    <w:rsid w:val="00B233D6"/>
    <w:rsid w:val="00B24489"/>
    <w:rsid w:val="00B24F39"/>
    <w:rsid w:val="00B25D5F"/>
    <w:rsid w:val="00B26320"/>
    <w:rsid w:val="00B27002"/>
    <w:rsid w:val="00B27320"/>
    <w:rsid w:val="00B300A2"/>
    <w:rsid w:val="00B320B1"/>
    <w:rsid w:val="00B348B8"/>
    <w:rsid w:val="00B35205"/>
    <w:rsid w:val="00B357EA"/>
    <w:rsid w:val="00B402C0"/>
    <w:rsid w:val="00B4176C"/>
    <w:rsid w:val="00B42B39"/>
    <w:rsid w:val="00B42F78"/>
    <w:rsid w:val="00B432CA"/>
    <w:rsid w:val="00B4397C"/>
    <w:rsid w:val="00B439F2"/>
    <w:rsid w:val="00B477A3"/>
    <w:rsid w:val="00B47D49"/>
    <w:rsid w:val="00B50148"/>
    <w:rsid w:val="00B50E5C"/>
    <w:rsid w:val="00B51231"/>
    <w:rsid w:val="00B52027"/>
    <w:rsid w:val="00B520F6"/>
    <w:rsid w:val="00B5214B"/>
    <w:rsid w:val="00B53EC7"/>
    <w:rsid w:val="00B53F02"/>
    <w:rsid w:val="00B540C6"/>
    <w:rsid w:val="00B566BE"/>
    <w:rsid w:val="00B56ED0"/>
    <w:rsid w:val="00B57FD1"/>
    <w:rsid w:val="00B6157E"/>
    <w:rsid w:val="00B61C84"/>
    <w:rsid w:val="00B6345F"/>
    <w:rsid w:val="00B64EB7"/>
    <w:rsid w:val="00B651FE"/>
    <w:rsid w:val="00B653F7"/>
    <w:rsid w:val="00B656F3"/>
    <w:rsid w:val="00B65F83"/>
    <w:rsid w:val="00B71391"/>
    <w:rsid w:val="00B7291F"/>
    <w:rsid w:val="00B72B04"/>
    <w:rsid w:val="00B74706"/>
    <w:rsid w:val="00B7728B"/>
    <w:rsid w:val="00B8041F"/>
    <w:rsid w:val="00B8072E"/>
    <w:rsid w:val="00B81155"/>
    <w:rsid w:val="00B812D3"/>
    <w:rsid w:val="00B81CC1"/>
    <w:rsid w:val="00B82023"/>
    <w:rsid w:val="00B84AD2"/>
    <w:rsid w:val="00B85046"/>
    <w:rsid w:val="00B854B6"/>
    <w:rsid w:val="00B85D3B"/>
    <w:rsid w:val="00B8703C"/>
    <w:rsid w:val="00B87CE0"/>
    <w:rsid w:val="00B90E80"/>
    <w:rsid w:val="00B9142B"/>
    <w:rsid w:val="00B91D72"/>
    <w:rsid w:val="00B92917"/>
    <w:rsid w:val="00B943B1"/>
    <w:rsid w:val="00B94831"/>
    <w:rsid w:val="00B94EF3"/>
    <w:rsid w:val="00B9588A"/>
    <w:rsid w:val="00B96160"/>
    <w:rsid w:val="00B968E7"/>
    <w:rsid w:val="00B96D6E"/>
    <w:rsid w:val="00BA0EF5"/>
    <w:rsid w:val="00BA0F76"/>
    <w:rsid w:val="00BA2311"/>
    <w:rsid w:val="00BA4129"/>
    <w:rsid w:val="00BA582C"/>
    <w:rsid w:val="00BA61D6"/>
    <w:rsid w:val="00BA65AF"/>
    <w:rsid w:val="00BA6E26"/>
    <w:rsid w:val="00BA78D2"/>
    <w:rsid w:val="00BA79FA"/>
    <w:rsid w:val="00BA7A8C"/>
    <w:rsid w:val="00BB4A73"/>
    <w:rsid w:val="00BB5351"/>
    <w:rsid w:val="00BB54BA"/>
    <w:rsid w:val="00BC0794"/>
    <w:rsid w:val="00BC1B16"/>
    <w:rsid w:val="00BC213D"/>
    <w:rsid w:val="00BC3C28"/>
    <w:rsid w:val="00BC4082"/>
    <w:rsid w:val="00BC6DB5"/>
    <w:rsid w:val="00BC6E62"/>
    <w:rsid w:val="00BC7C97"/>
    <w:rsid w:val="00BC7D94"/>
    <w:rsid w:val="00BD01FF"/>
    <w:rsid w:val="00BD04BB"/>
    <w:rsid w:val="00BD2645"/>
    <w:rsid w:val="00BD2D13"/>
    <w:rsid w:val="00BD5F8E"/>
    <w:rsid w:val="00BD7C61"/>
    <w:rsid w:val="00BE01F6"/>
    <w:rsid w:val="00BE1D1A"/>
    <w:rsid w:val="00BE3EF1"/>
    <w:rsid w:val="00BE5EB4"/>
    <w:rsid w:val="00BF11E1"/>
    <w:rsid w:val="00BF160A"/>
    <w:rsid w:val="00BF3920"/>
    <w:rsid w:val="00BF3A99"/>
    <w:rsid w:val="00BF3B71"/>
    <w:rsid w:val="00BF3F45"/>
    <w:rsid w:val="00BF4D9A"/>
    <w:rsid w:val="00BF50B1"/>
    <w:rsid w:val="00BF5424"/>
    <w:rsid w:val="00BF6223"/>
    <w:rsid w:val="00BF7919"/>
    <w:rsid w:val="00BF7EC6"/>
    <w:rsid w:val="00C01AC5"/>
    <w:rsid w:val="00C01BAE"/>
    <w:rsid w:val="00C035B7"/>
    <w:rsid w:val="00C03900"/>
    <w:rsid w:val="00C06A5B"/>
    <w:rsid w:val="00C06B03"/>
    <w:rsid w:val="00C1000B"/>
    <w:rsid w:val="00C10953"/>
    <w:rsid w:val="00C1110E"/>
    <w:rsid w:val="00C11C69"/>
    <w:rsid w:val="00C12DFF"/>
    <w:rsid w:val="00C15B86"/>
    <w:rsid w:val="00C16833"/>
    <w:rsid w:val="00C17D8F"/>
    <w:rsid w:val="00C20722"/>
    <w:rsid w:val="00C20C15"/>
    <w:rsid w:val="00C22766"/>
    <w:rsid w:val="00C23A46"/>
    <w:rsid w:val="00C241D9"/>
    <w:rsid w:val="00C24DBF"/>
    <w:rsid w:val="00C25A34"/>
    <w:rsid w:val="00C25BEF"/>
    <w:rsid w:val="00C25C72"/>
    <w:rsid w:val="00C25EF4"/>
    <w:rsid w:val="00C26011"/>
    <w:rsid w:val="00C275F4"/>
    <w:rsid w:val="00C30F0A"/>
    <w:rsid w:val="00C31841"/>
    <w:rsid w:val="00C33F57"/>
    <w:rsid w:val="00C362FE"/>
    <w:rsid w:val="00C37E07"/>
    <w:rsid w:val="00C40B7D"/>
    <w:rsid w:val="00C40DC9"/>
    <w:rsid w:val="00C458D2"/>
    <w:rsid w:val="00C46587"/>
    <w:rsid w:val="00C465C8"/>
    <w:rsid w:val="00C468B6"/>
    <w:rsid w:val="00C47879"/>
    <w:rsid w:val="00C50BC4"/>
    <w:rsid w:val="00C52ABB"/>
    <w:rsid w:val="00C54EE7"/>
    <w:rsid w:val="00C54F41"/>
    <w:rsid w:val="00C55278"/>
    <w:rsid w:val="00C55313"/>
    <w:rsid w:val="00C558D2"/>
    <w:rsid w:val="00C60AAE"/>
    <w:rsid w:val="00C60F62"/>
    <w:rsid w:val="00C6165A"/>
    <w:rsid w:val="00C63979"/>
    <w:rsid w:val="00C639D2"/>
    <w:rsid w:val="00C64F77"/>
    <w:rsid w:val="00C65BA0"/>
    <w:rsid w:val="00C67FEF"/>
    <w:rsid w:val="00C7024B"/>
    <w:rsid w:val="00C72678"/>
    <w:rsid w:val="00C73653"/>
    <w:rsid w:val="00C77C4F"/>
    <w:rsid w:val="00C80FC7"/>
    <w:rsid w:val="00C8142B"/>
    <w:rsid w:val="00C8676F"/>
    <w:rsid w:val="00C86E18"/>
    <w:rsid w:val="00C87A0C"/>
    <w:rsid w:val="00C9015E"/>
    <w:rsid w:val="00C91997"/>
    <w:rsid w:val="00C9257C"/>
    <w:rsid w:val="00C92DED"/>
    <w:rsid w:val="00C9360F"/>
    <w:rsid w:val="00C93853"/>
    <w:rsid w:val="00C95D05"/>
    <w:rsid w:val="00C97208"/>
    <w:rsid w:val="00CA0D31"/>
    <w:rsid w:val="00CA128B"/>
    <w:rsid w:val="00CA202B"/>
    <w:rsid w:val="00CA5C9A"/>
    <w:rsid w:val="00CA6723"/>
    <w:rsid w:val="00CB1EF3"/>
    <w:rsid w:val="00CB3B70"/>
    <w:rsid w:val="00CB3F06"/>
    <w:rsid w:val="00CB4FD5"/>
    <w:rsid w:val="00CB5CDE"/>
    <w:rsid w:val="00CB604C"/>
    <w:rsid w:val="00CB671D"/>
    <w:rsid w:val="00CB6D73"/>
    <w:rsid w:val="00CB7F4E"/>
    <w:rsid w:val="00CC614D"/>
    <w:rsid w:val="00CD0418"/>
    <w:rsid w:val="00CD0482"/>
    <w:rsid w:val="00CD05B9"/>
    <w:rsid w:val="00CD07BB"/>
    <w:rsid w:val="00CD1BEC"/>
    <w:rsid w:val="00CD236E"/>
    <w:rsid w:val="00CD2DCE"/>
    <w:rsid w:val="00CD366D"/>
    <w:rsid w:val="00CD3EBB"/>
    <w:rsid w:val="00CD3FC0"/>
    <w:rsid w:val="00CD4545"/>
    <w:rsid w:val="00CD6649"/>
    <w:rsid w:val="00CD6804"/>
    <w:rsid w:val="00CD6DAE"/>
    <w:rsid w:val="00CE2F24"/>
    <w:rsid w:val="00CE46C8"/>
    <w:rsid w:val="00CE54BB"/>
    <w:rsid w:val="00CE57A4"/>
    <w:rsid w:val="00CE7D0D"/>
    <w:rsid w:val="00CF02FA"/>
    <w:rsid w:val="00CF0DB7"/>
    <w:rsid w:val="00CF1A43"/>
    <w:rsid w:val="00CF2BFF"/>
    <w:rsid w:val="00CF4CDE"/>
    <w:rsid w:val="00CF5160"/>
    <w:rsid w:val="00CF68F1"/>
    <w:rsid w:val="00CF71F9"/>
    <w:rsid w:val="00D00058"/>
    <w:rsid w:val="00D01B91"/>
    <w:rsid w:val="00D0218E"/>
    <w:rsid w:val="00D02F33"/>
    <w:rsid w:val="00D03119"/>
    <w:rsid w:val="00D0361F"/>
    <w:rsid w:val="00D05796"/>
    <w:rsid w:val="00D07BC7"/>
    <w:rsid w:val="00D07ED4"/>
    <w:rsid w:val="00D10344"/>
    <w:rsid w:val="00D109A3"/>
    <w:rsid w:val="00D123DE"/>
    <w:rsid w:val="00D124AA"/>
    <w:rsid w:val="00D12C67"/>
    <w:rsid w:val="00D13B70"/>
    <w:rsid w:val="00D14C87"/>
    <w:rsid w:val="00D151C3"/>
    <w:rsid w:val="00D1584C"/>
    <w:rsid w:val="00D17446"/>
    <w:rsid w:val="00D17C5F"/>
    <w:rsid w:val="00D2095C"/>
    <w:rsid w:val="00D20F53"/>
    <w:rsid w:val="00D2144D"/>
    <w:rsid w:val="00D21850"/>
    <w:rsid w:val="00D219DA"/>
    <w:rsid w:val="00D2238D"/>
    <w:rsid w:val="00D22651"/>
    <w:rsid w:val="00D2275C"/>
    <w:rsid w:val="00D2285D"/>
    <w:rsid w:val="00D2348A"/>
    <w:rsid w:val="00D235A3"/>
    <w:rsid w:val="00D24064"/>
    <w:rsid w:val="00D252F8"/>
    <w:rsid w:val="00D26170"/>
    <w:rsid w:val="00D2660F"/>
    <w:rsid w:val="00D27186"/>
    <w:rsid w:val="00D30B4F"/>
    <w:rsid w:val="00D30D27"/>
    <w:rsid w:val="00D31C0A"/>
    <w:rsid w:val="00D31C1C"/>
    <w:rsid w:val="00D32C32"/>
    <w:rsid w:val="00D33152"/>
    <w:rsid w:val="00D3375D"/>
    <w:rsid w:val="00D33BB1"/>
    <w:rsid w:val="00D36030"/>
    <w:rsid w:val="00D371B0"/>
    <w:rsid w:val="00D3721B"/>
    <w:rsid w:val="00D4002F"/>
    <w:rsid w:val="00D402AD"/>
    <w:rsid w:val="00D41D31"/>
    <w:rsid w:val="00D44B0A"/>
    <w:rsid w:val="00D44E89"/>
    <w:rsid w:val="00D468C5"/>
    <w:rsid w:val="00D46C4C"/>
    <w:rsid w:val="00D46C76"/>
    <w:rsid w:val="00D46E60"/>
    <w:rsid w:val="00D4790A"/>
    <w:rsid w:val="00D50A9A"/>
    <w:rsid w:val="00D514CA"/>
    <w:rsid w:val="00D5158E"/>
    <w:rsid w:val="00D56B49"/>
    <w:rsid w:val="00D57A58"/>
    <w:rsid w:val="00D60009"/>
    <w:rsid w:val="00D60146"/>
    <w:rsid w:val="00D612A8"/>
    <w:rsid w:val="00D6202D"/>
    <w:rsid w:val="00D6211C"/>
    <w:rsid w:val="00D66737"/>
    <w:rsid w:val="00D70CE9"/>
    <w:rsid w:val="00D71E4F"/>
    <w:rsid w:val="00D722D4"/>
    <w:rsid w:val="00D727C6"/>
    <w:rsid w:val="00D72CF8"/>
    <w:rsid w:val="00D7332E"/>
    <w:rsid w:val="00D73496"/>
    <w:rsid w:val="00D74AC0"/>
    <w:rsid w:val="00D761AC"/>
    <w:rsid w:val="00D774F3"/>
    <w:rsid w:val="00D77B4D"/>
    <w:rsid w:val="00D77C07"/>
    <w:rsid w:val="00D80362"/>
    <w:rsid w:val="00D8039E"/>
    <w:rsid w:val="00D81C36"/>
    <w:rsid w:val="00D83751"/>
    <w:rsid w:val="00D83D08"/>
    <w:rsid w:val="00D860C4"/>
    <w:rsid w:val="00D8698D"/>
    <w:rsid w:val="00D869B2"/>
    <w:rsid w:val="00D86CCC"/>
    <w:rsid w:val="00D87B1E"/>
    <w:rsid w:val="00D90596"/>
    <w:rsid w:val="00D91DEE"/>
    <w:rsid w:val="00D91F07"/>
    <w:rsid w:val="00D9246F"/>
    <w:rsid w:val="00D939AD"/>
    <w:rsid w:val="00D9461D"/>
    <w:rsid w:val="00D9463C"/>
    <w:rsid w:val="00D94D4F"/>
    <w:rsid w:val="00D95255"/>
    <w:rsid w:val="00D95562"/>
    <w:rsid w:val="00D955F7"/>
    <w:rsid w:val="00D97831"/>
    <w:rsid w:val="00D97A75"/>
    <w:rsid w:val="00D97C34"/>
    <w:rsid w:val="00DA34D5"/>
    <w:rsid w:val="00DA39FD"/>
    <w:rsid w:val="00DA41FB"/>
    <w:rsid w:val="00DA6390"/>
    <w:rsid w:val="00DA6833"/>
    <w:rsid w:val="00DA73FB"/>
    <w:rsid w:val="00DB0CB2"/>
    <w:rsid w:val="00DB43C0"/>
    <w:rsid w:val="00DB554A"/>
    <w:rsid w:val="00DB5B95"/>
    <w:rsid w:val="00DB6830"/>
    <w:rsid w:val="00DC1B59"/>
    <w:rsid w:val="00DC29C5"/>
    <w:rsid w:val="00DC453A"/>
    <w:rsid w:val="00DC6052"/>
    <w:rsid w:val="00DC6EE0"/>
    <w:rsid w:val="00DC7DA0"/>
    <w:rsid w:val="00DD078C"/>
    <w:rsid w:val="00DD0803"/>
    <w:rsid w:val="00DD0DD6"/>
    <w:rsid w:val="00DD0EA7"/>
    <w:rsid w:val="00DD1D4E"/>
    <w:rsid w:val="00DD1F07"/>
    <w:rsid w:val="00DD2E1C"/>
    <w:rsid w:val="00DD3AC1"/>
    <w:rsid w:val="00DD404A"/>
    <w:rsid w:val="00DD5135"/>
    <w:rsid w:val="00DD56F8"/>
    <w:rsid w:val="00DD5B76"/>
    <w:rsid w:val="00DD72E5"/>
    <w:rsid w:val="00DE0600"/>
    <w:rsid w:val="00DE0E1D"/>
    <w:rsid w:val="00DE0E57"/>
    <w:rsid w:val="00DE1267"/>
    <w:rsid w:val="00DE1607"/>
    <w:rsid w:val="00DE4675"/>
    <w:rsid w:val="00DE5183"/>
    <w:rsid w:val="00DE5EEC"/>
    <w:rsid w:val="00DE7C78"/>
    <w:rsid w:val="00DE7FF8"/>
    <w:rsid w:val="00DF14BC"/>
    <w:rsid w:val="00DF189C"/>
    <w:rsid w:val="00DF1D60"/>
    <w:rsid w:val="00DF254A"/>
    <w:rsid w:val="00DF286A"/>
    <w:rsid w:val="00DF356D"/>
    <w:rsid w:val="00DF4CA0"/>
    <w:rsid w:val="00DF5983"/>
    <w:rsid w:val="00DF63B4"/>
    <w:rsid w:val="00DF6899"/>
    <w:rsid w:val="00DF721B"/>
    <w:rsid w:val="00E0029C"/>
    <w:rsid w:val="00E007CE"/>
    <w:rsid w:val="00E02065"/>
    <w:rsid w:val="00E029E4"/>
    <w:rsid w:val="00E02CC8"/>
    <w:rsid w:val="00E02D99"/>
    <w:rsid w:val="00E02EB5"/>
    <w:rsid w:val="00E02EEA"/>
    <w:rsid w:val="00E03CEF"/>
    <w:rsid w:val="00E03CFF"/>
    <w:rsid w:val="00E049B1"/>
    <w:rsid w:val="00E05768"/>
    <w:rsid w:val="00E05A39"/>
    <w:rsid w:val="00E060B8"/>
    <w:rsid w:val="00E06548"/>
    <w:rsid w:val="00E108A5"/>
    <w:rsid w:val="00E11391"/>
    <w:rsid w:val="00E1301C"/>
    <w:rsid w:val="00E13721"/>
    <w:rsid w:val="00E13D19"/>
    <w:rsid w:val="00E1552D"/>
    <w:rsid w:val="00E22BEC"/>
    <w:rsid w:val="00E247D7"/>
    <w:rsid w:val="00E25FCF"/>
    <w:rsid w:val="00E26F36"/>
    <w:rsid w:val="00E27719"/>
    <w:rsid w:val="00E34960"/>
    <w:rsid w:val="00E351A5"/>
    <w:rsid w:val="00E35793"/>
    <w:rsid w:val="00E357F2"/>
    <w:rsid w:val="00E367B1"/>
    <w:rsid w:val="00E36E0B"/>
    <w:rsid w:val="00E3711B"/>
    <w:rsid w:val="00E40DBC"/>
    <w:rsid w:val="00E40E4E"/>
    <w:rsid w:val="00E41249"/>
    <w:rsid w:val="00E41985"/>
    <w:rsid w:val="00E42B93"/>
    <w:rsid w:val="00E42C16"/>
    <w:rsid w:val="00E43165"/>
    <w:rsid w:val="00E43281"/>
    <w:rsid w:val="00E4422E"/>
    <w:rsid w:val="00E444E0"/>
    <w:rsid w:val="00E4521A"/>
    <w:rsid w:val="00E45ACF"/>
    <w:rsid w:val="00E47F00"/>
    <w:rsid w:val="00E508BA"/>
    <w:rsid w:val="00E509B2"/>
    <w:rsid w:val="00E51054"/>
    <w:rsid w:val="00E51EEF"/>
    <w:rsid w:val="00E524AF"/>
    <w:rsid w:val="00E529C6"/>
    <w:rsid w:val="00E53A08"/>
    <w:rsid w:val="00E55727"/>
    <w:rsid w:val="00E56045"/>
    <w:rsid w:val="00E60452"/>
    <w:rsid w:val="00E61585"/>
    <w:rsid w:val="00E617D6"/>
    <w:rsid w:val="00E63B0F"/>
    <w:rsid w:val="00E644DD"/>
    <w:rsid w:val="00E6557D"/>
    <w:rsid w:val="00E65949"/>
    <w:rsid w:val="00E65F1E"/>
    <w:rsid w:val="00E66386"/>
    <w:rsid w:val="00E665E3"/>
    <w:rsid w:val="00E67AF1"/>
    <w:rsid w:val="00E70AA5"/>
    <w:rsid w:val="00E70B08"/>
    <w:rsid w:val="00E71037"/>
    <w:rsid w:val="00E72630"/>
    <w:rsid w:val="00E7274E"/>
    <w:rsid w:val="00E729CC"/>
    <w:rsid w:val="00E739C4"/>
    <w:rsid w:val="00E742E6"/>
    <w:rsid w:val="00E74914"/>
    <w:rsid w:val="00E75476"/>
    <w:rsid w:val="00E7666B"/>
    <w:rsid w:val="00E76FF0"/>
    <w:rsid w:val="00E774DE"/>
    <w:rsid w:val="00E77C83"/>
    <w:rsid w:val="00E77C91"/>
    <w:rsid w:val="00E814B1"/>
    <w:rsid w:val="00E82A10"/>
    <w:rsid w:val="00E83B9E"/>
    <w:rsid w:val="00E86340"/>
    <w:rsid w:val="00E86389"/>
    <w:rsid w:val="00E86834"/>
    <w:rsid w:val="00E9063F"/>
    <w:rsid w:val="00E90663"/>
    <w:rsid w:val="00E90E61"/>
    <w:rsid w:val="00E918FE"/>
    <w:rsid w:val="00E92372"/>
    <w:rsid w:val="00E937EA"/>
    <w:rsid w:val="00E93C01"/>
    <w:rsid w:val="00E955A6"/>
    <w:rsid w:val="00E95A77"/>
    <w:rsid w:val="00E96557"/>
    <w:rsid w:val="00E96EA9"/>
    <w:rsid w:val="00E97EEB"/>
    <w:rsid w:val="00EA0ADD"/>
    <w:rsid w:val="00EA1BBC"/>
    <w:rsid w:val="00EA272B"/>
    <w:rsid w:val="00EA3862"/>
    <w:rsid w:val="00EA404F"/>
    <w:rsid w:val="00EA41D0"/>
    <w:rsid w:val="00EA4364"/>
    <w:rsid w:val="00EA4444"/>
    <w:rsid w:val="00EA6D78"/>
    <w:rsid w:val="00EA7067"/>
    <w:rsid w:val="00EB01A0"/>
    <w:rsid w:val="00EB0DED"/>
    <w:rsid w:val="00EB13BB"/>
    <w:rsid w:val="00EB13E6"/>
    <w:rsid w:val="00EB1796"/>
    <w:rsid w:val="00EB3DC1"/>
    <w:rsid w:val="00EB57FA"/>
    <w:rsid w:val="00EB5BB3"/>
    <w:rsid w:val="00EB6B38"/>
    <w:rsid w:val="00EB6D72"/>
    <w:rsid w:val="00EC024E"/>
    <w:rsid w:val="00EC04E7"/>
    <w:rsid w:val="00EC106A"/>
    <w:rsid w:val="00EC18FC"/>
    <w:rsid w:val="00EC4177"/>
    <w:rsid w:val="00EC5DC6"/>
    <w:rsid w:val="00EC68AD"/>
    <w:rsid w:val="00ED019E"/>
    <w:rsid w:val="00ED03B3"/>
    <w:rsid w:val="00ED2377"/>
    <w:rsid w:val="00ED2C25"/>
    <w:rsid w:val="00ED35AF"/>
    <w:rsid w:val="00ED3DA1"/>
    <w:rsid w:val="00ED3F30"/>
    <w:rsid w:val="00ED51C1"/>
    <w:rsid w:val="00EE0058"/>
    <w:rsid w:val="00EE0FA5"/>
    <w:rsid w:val="00EE170D"/>
    <w:rsid w:val="00EE26D5"/>
    <w:rsid w:val="00EE28EC"/>
    <w:rsid w:val="00EE3D04"/>
    <w:rsid w:val="00EE500D"/>
    <w:rsid w:val="00EE6CD4"/>
    <w:rsid w:val="00EE7B9E"/>
    <w:rsid w:val="00EE7C3C"/>
    <w:rsid w:val="00EF0291"/>
    <w:rsid w:val="00EF11C0"/>
    <w:rsid w:val="00EF180E"/>
    <w:rsid w:val="00EF1D72"/>
    <w:rsid w:val="00EF34E5"/>
    <w:rsid w:val="00EF392E"/>
    <w:rsid w:val="00EF4393"/>
    <w:rsid w:val="00EF447E"/>
    <w:rsid w:val="00EF5364"/>
    <w:rsid w:val="00EF5C98"/>
    <w:rsid w:val="00EF75B6"/>
    <w:rsid w:val="00F00855"/>
    <w:rsid w:val="00F009D6"/>
    <w:rsid w:val="00F00FA9"/>
    <w:rsid w:val="00F01488"/>
    <w:rsid w:val="00F0195A"/>
    <w:rsid w:val="00F039E1"/>
    <w:rsid w:val="00F0454C"/>
    <w:rsid w:val="00F0489C"/>
    <w:rsid w:val="00F06E81"/>
    <w:rsid w:val="00F06F11"/>
    <w:rsid w:val="00F107E0"/>
    <w:rsid w:val="00F108E1"/>
    <w:rsid w:val="00F144E8"/>
    <w:rsid w:val="00F15309"/>
    <w:rsid w:val="00F153B0"/>
    <w:rsid w:val="00F1642D"/>
    <w:rsid w:val="00F173D5"/>
    <w:rsid w:val="00F17AFF"/>
    <w:rsid w:val="00F17FC0"/>
    <w:rsid w:val="00F2043F"/>
    <w:rsid w:val="00F209F1"/>
    <w:rsid w:val="00F25D73"/>
    <w:rsid w:val="00F260F7"/>
    <w:rsid w:val="00F26575"/>
    <w:rsid w:val="00F30196"/>
    <w:rsid w:val="00F31E3F"/>
    <w:rsid w:val="00F3299B"/>
    <w:rsid w:val="00F33F6B"/>
    <w:rsid w:val="00F3423F"/>
    <w:rsid w:val="00F3442D"/>
    <w:rsid w:val="00F34FFA"/>
    <w:rsid w:val="00F3717D"/>
    <w:rsid w:val="00F374F7"/>
    <w:rsid w:val="00F40BCB"/>
    <w:rsid w:val="00F40E25"/>
    <w:rsid w:val="00F41078"/>
    <w:rsid w:val="00F42841"/>
    <w:rsid w:val="00F440E4"/>
    <w:rsid w:val="00F46B92"/>
    <w:rsid w:val="00F47E42"/>
    <w:rsid w:val="00F47EB1"/>
    <w:rsid w:val="00F51842"/>
    <w:rsid w:val="00F5197B"/>
    <w:rsid w:val="00F519F8"/>
    <w:rsid w:val="00F5216E"/>
    <w:rsid w:val="00F52851"/>
    <w:rsid w:val="00F52F47"/>
    <w:rsid w:val="00F539F9"/>
    <w:rsid w:val="00F543F7"/>
    <w:rsid w:val="00F566A3"/>
    <w:rsid w:val="00F5753D"/>
    <w:rsid w:val="00F6065F"/>
    <w:rsid w:val="00F608EB"/>
    <w:rsid w:val="00F633F9"/>
    <w:rsid w:val="00F64084"/>
    <w:rsid w:val="00F676F8"/>
    <w:rsid w:val="00F67DBE"/>
    <w:rsid w:val="00F70468"/>
    <w:rsid w:val="00F70922"/>
    <w:rsid w:val="00F70DD8"/>
    <w:rsid w:val="00F715A9"/>
    <w:rsid w:val="00F717B5"/>
    <w:rsid w:val="00F72882"/>
    <w:rsid w:val="00F73353"/>
    <w:rsid w:val="00F741CA"/>
    <w:rsid w:val="00F74D2B"/>
    <w:rsid w:val="00F817E7"/>
    <w:rsid w:val="00F819A6"/>
    <w:rsid w:val="00F82376"/>
    <w:rsid w:val="00F83B96"/>
    <w:rsid w:val="00F83E8D"/>
    <w:rsid w:val="00F841DF"/>
    <w:rsid w:val="00F8544A"/>
    <w:rsid w:val="00F86C97"/>
    <w:rsid w:val="00F86E3D"/>
    <w:rsid w:val="00F87A3A"/>
    <w:rsid w:val="00F900A8"/>
    <w:rsid w:val="00F90AB2"/>
    <w:rsid w:val="00F90CA0"/>
    <w:rsid w:val="00F916BE"/>
    <w:rsid w:val="00F9302F"/>
    <w:rsid w:val="00F93D17"/>
    <w:rsid w:val="00F95395"/>
    <w:rsid w:val="00F96884"/>
    <w:rsid w:val="00F96958"/>
    <w:rsid w:val="00F97A0B"/>
    <w:rsid w:val="00FA001F"/>
    <w:rsid w:val="00FA1D0B"/>
    <w:rsid w:val="00FA42CF"/>
    <w:rsid w:val="00FA5D2B"/>
    <w:rsid w:val="00FA645B"/>
    <w:rsid w:val="00FA6715"/>
    <w:rsid w:val="00FA6EB9"/>
    <w:rsid w:val="00FB0C82"/>
    <w:rsid w:val="00FB0F26"/>
    <w:rsid w:val="00FB2F69"/>
    <w:rsid w:val="00FB3846"/>
    <w:rsid w:val="00FB538E"/>
    <w:rsid w:val="00FC3421"/>
    <w:rsid w:val="00FC4E06"/>
    <w:rsid w:val="00FC4E18"/>
    <w:rsid w:val="00FC739F"/>
    <w:rsid w:val="00FC7822"/>
    <w:rsid w:val="00FC7F72"/>
    <w:rsid w:val="00FD2325"/>
    <w:rsid w:val="00FD2EBA"/>
    <w:rsid w:val="00FD30D4"/>
    <w:rsid w:val="00FD385B"/>
    <w:rsid w:val="00FD45B0"/>
    <w:rsid w:val="00FD5368"/>
    <w:rsid w:val="00FD6019"/>
    <w:rsid w:val="00FD681D"/>
    <w:rsid w:val="00FE1943"/>
    <w:rsid w:val="00FE34BA"/>
    <w:rsid w:val="00FE3E3D"/>
    <w:rsid w:val="00FE6498"/>
    <w:rsid w:val="00FE68D4"/>
    <w:rsid w:val="00FE6931"/>
    <w:rsid w:val="00FF01DE"/>
    <w:rsid w:val="00FF047C"/>
    <w:rsid w:val="00FF1B3A"/>
    <w:rsid w:val="00FF1FBD"/>
    <w:rsid w:val="00FF26E4"/>
    <w:rsid w:val="00FF2E52"/>
    <w:rsid w:val="00FF3748"/>
    <w:rsid w:val="00FF3C3B"/>
    <w:rsid w:val="00FF4F5E"/>
    <w:rsid w:val="00FF4F8A"/>
    <w:rsid w:val="00FF5490"/>
    <w:rsid w:val="00FF5AE0"/>
    <w:rsid w:val="00FF6489"/>
    <w:rsid w:val="00FF6FEB"/>
    <w:rsid w:val="01331AA5"/>
    <w:rsid w:val="01521C8D"/>
    <w:rsid w:val="01B82438"/>
    <w:rsid w:val="01CF1530"/>
    <w:rsid w:val="0261662C"/>
    <w:rsid w:val="02AE0153"/>
    <w:rsid w:val="02B26296"/>
    <w:rsid w:val="02BD359F"/>
    <w:rsid w:val="02E358CF"/>
    <w:rsid w:val="034321D6"/>
    <w:rsid w:val="038B5D7C"/>
    <w:rsid w:val="03AE0B18"/>
    <w:rsid w:val="03D80B70"/>
    <w:rsid w:val="04276BC3"/>
    <w:rsid w:val="044B67CA"/>
    <w:rsid w:val="045370A8"/>
    <w:rsid w:val="060F7BD0"/>
    <w:rsid w:val="063F1FB7"/>
    <w:rsid w:val="06606501"/>
    <w:rsid w:val="06E55582"/>
    <w:rsid w:val="07CF503D"/>
    <w:rsid w:val="07D0470B"/>
    <w:rsid w:val="085B0463"/>
    <w:rsid w:val="091F4914"/>
    <w:rsid w:val="093A6448"/>
    <w:rsid w:val="097035F9"/>
    <w:rsid w:val="0A5C4C58"/>
    <w:rsid w:val="0ABD7B8F"/>
    <w:rsid w:val="0ACD4251"/>
    <w:rsid w:val="0AF72AE7"/>
    <w:rsid w:val="0B1B25CA"/>
    <w:rsid w:val="0B1D155E"/>
    <w:rsid w:val="0BA67156"/>
    <w:rsid w:val="0BF57DE5"/>
    <w:rsid w:val="0C0D6081"/>
    <w:rsid w:val="0C7146D1"/>
    <w:rsid w:val="0C8F3D96"/>
    <w:rsid w:val="0C9615C8"/>
    <w:rsid w:val="0C987060"/>
    <w:rsid w:val="0CAD420B"/>
    <w:rsid w:val="0D0E001F"/>
    <w:rsid w:val="0D3F7EF8"/>
    <w:rsid w:val="0D864237"/>
    <w:rsid w:val="0D9C6AD8"/>
    <w:rsid w:val="0DC53F82"/>
    <w:rsid w:val="0E4A2B09"/>
    <w:rsid w:val="0E9658AF"/>
    <w:rsid w:val="0ED04E79"/>
    <w:rsid w:val="0F2665B8"/>
    <w:rsid w:val="0F7923CE"/>
    <w:rsid w:val="0F952DD2"/>
    <w:rsid w:val="0F9D49A5"/>
    <w:rsid w:val="0FA939EF"/>
    <w:rsid w:val="0FD30D1C"/>
    <w:rsid w:val="0FE01451"/>
    <w:rsid w:val="10593038"/>
    <w:rsid w:val="10C24925"/>
    <w:rsid w:val="1105549F"/>
    <w:rsid w:val="11661028"/>
    <w:rsid w:val="12004390"/>
    <w:rsid w:val="12175C35"/>
    <w:rsid w:val="122B332B"/>
    <w:rsid w:val="125D68E5"/>
    <w:rsid w:val="139F4BA8"/>
    <w:rsid w:val="13CC3B21"/>
    <w:rsid w:val="14B62860"/>
    <w:rsid w:val="14CB68E5"/>
    <w:rsid w:val="15D42DA3"/>
    <w:rsid w:val="15E07FEE"/>
    <w:rsid w:val="164C7F51"/>
    <w:rsid w:val="16B1206A"/>
    <w:rsid w:val="17B25E03"/>
    <w:rsid w:val="182D7BF5"/>
    <w:rsid w:val="18AA69BF"/>
    <w:rsid w:val="192530B8"/>
    <w:rsid w:val="19A747DA"/>
    <w:rsid w:val="1A300DAD"/>
    <w:rsid w:val="1A4E34E2"/>
    <w:rsid w:val="1A8B7067"/>
    <w:rsid w:val="1AA72BF2"/>
    <w:rsid w:val="1AEB1948"/>
    <w:rsid w:val="1B0D6B3F"/>
    <w:rsid w:val="1B5C5B65"/>
    <w:rsid w:val="1BA710FC"/>
    <w:rsid w:val="1C1D6ECC"/>
    <w:rsid w:val="1C281B11"/>
    <w:rsid w:val="1C3226D3"/>
    <w:rsid w:val="1C445C91"/>
    <w:rsid w:val="1C874183"/>
    <w:rsid w:val="1D0B5AE9"/>
    <w:rsid w:val="1D390593"/>
    <w:rsid w:val="1D5C7B62"/>
    <w:rsid w:val="1D5D6492"/>
    <w:rsid w:val="1E3E2007"/>
    <w:rsid w:val="1E9F2F99"/>
    <w:rsid w:val="1F0B7BF4"/>
    <w:rsid w:val="1FEA7A83"/>
    <w:rsid w:val="1FF83687"/>
    <w:rsid w:val="204F1D62"/>
    <w:rsid w:val="20621A95"/>
    <w:rsid w:val="206A6B9C"/>
    <w:rsid w:val="20C610AA"/>
    <w:rsid w:val="213E58F1"/>
    <w:rsid w:val="21907773"/>
    <w:rsid w:val="21D13627"/>
    <w:rsid w:val="220B6F2C"/>
    <w:rsid w:val="22475CFB"/>
    <w:rsid w:val="2254593D"/>
    <w:rsid w:val="229138A6"/>
    <w:rsid w:val="22B7073D"/>
    <w:rsid w:val="22BA56A5"/>
    <w:rsid w:val="22F70675"/>
    <w:rsid w:val="23691839"/>
    <w:rsid w:val="24282908"/>
    <w:rsid w:val="252D7EDD"/>
    <w:rsid w:val="257C5B4B"/>
    <w:rsid w:val="25F623DD"/>
    <w:rsid w:val="262E0B04"/>
    <w:rsid w:val="279C010A"/>
    <w:rsid w:val="27B36FEF"/>
    <w:rsid w:val="2861730E"/>
    <w:rsid w:val="28CC190E"/>
    <w:rsid w:val="29543F45"/>
    <w:rsid w:val="29672F8A"/>
    <w:rsid w:val="29A749BD"/>
    <w:rsid w:val="29B33362"/>
    <w:rsid w:val="29E96D83"/>
    <w:rsid w:val="2AC944BF"/>
    <w:rsid w:val="2B08346C"/>
    <w:rsid w:val="2B741E2A"/>
    <w:rsid w:val="2B962EA5"/>
    <w:rsid w:val="2BA1515B"/>
    <w:rsid w:val="2BBE6E76"/>
    <w:rsid w:val="2BCF4F7D"/>
    <w:rsid w:val="2BE6660F"/>
    <w:rsid w:val="2C484235"/>
    <w:rsid w:val="2C6E0AB6"/>
    <w:rsid w:val="2C8B0C29"/>
    <w:rsid w:val="2CB77453"/>
    <w:rsid w:val="2CD06E35"/>
    <w:rsid w:val="2D036DDF"/>
    <w:rsid w:val="2D340315"/>
    <w:rsid w:val="2D482FE9"/>
    <w:rsid w:val="2D75227F"/>
    <w:rsid w:val="2D9A3DFD"/>
    <w:rsid w:val="2DDD275B"/>
    <w:rsid w:val="2EFE507F"/>
    <w:rsid w:val="2F4B1946"/>
    <w:rsid w:val="2F670766"/>
    <w:rsid w:val="2F8B01A1"/>
    <w:rsid w:val="2F927575"/>
    <w:rsid w:val="2FD406A1"/>
    <w:rsid w:val="2FF206EC"/>
    <w:rsid w:val="2FFF6E74"/>
    <w:rsid w:val="30360848"/>
    <w:rsid w:val="30635803"/>
    <w:rsid w:val="30874C00"/>
    <w:rsid w:val="30971339"/>
    <w:rsid w:val="311D0AA3"/>
    <w:rsid w:val="31252F48"/>
    <w:rsid w:val="31464ABB"/>
    <w:rsid w:val="31781C4E"/>
    <w:rsid w:val="31A35406"/>
    <w:rsid w:val="31CD298E"/>
    <w:rsid w:val="320460BF"/>
    <w:rsid w:val="322A1B90"/>
    <w:rsid w:val="32731C58"/>
    <w:rsid w:val="330A37F8"/>
    <w:rsid w:val="33244988"/>
    <w:rsid w:val="33346064"/>
    <w:rsid w:val="336B1457"/>
    <w:rsid w:val="33E735DA"/>
    <w:rsid w:val="34261D8B"/>
    <w:rsid w:val="34A62462"/>
    <w:rsid w:val="34EE16F2"/>
    <w:rsid w:val="357F67EE"/>
    <w:rsid w:val="359D6F80"/>
    <w:rsid w:val="35A8465D"/>
    <w:rsid w:val="36127662"/>
    <w:rsid w:val="363042B2"/>
    <w:rsid w:val="3642157C"/>
    <w:rsid w:val="36BF44C0"/>
    <w:rsid w:val="36E55675"/>
    <w:rsid w:val="372E1214"/>
    <w:rsid w:val="37451BA0"/>
    <w:rsid w:val="37533A8E"/>
    <w:rsid w:val="37607811"/>
    <w:rsid w:val="376670A8"/>
    <w:rsid w:val="37A57C5B"/>
    <w:rsid w:val="37FC36BF"/>
    <w:rsid w:val="38117B80"/>
    <w:rsid w:val="381D726C"/>
    <w:rsid w:val="384D0939"/>
    <w:rsid w:val="385B2B4A"/>
    <w:rsid w:val="387238C0"/>
    <w:rsid w:val="38CF35E8"/>
    <w:rsid w:val="396E78A8"/>
    <w:rsid w:val="39D16077"/>
    <w:rsid w:val="39E60BE9"/>
    <w:rsid w:val="39FF0C26"/>
    <w:rsid w:val="3A085004"/>
    <w:rsid w:val="3A7C4ECC"/>
    <w:rsid w:val="3AA42B43"/>
    <w:rsid w:val="3AB66709"/>
    <w:rsid w:val="3ABFF77C"/>
    <w:rsid w:val="3AC239F8"/>
    <w:rsid w:val="3AD73544"/>
    <w:rsid w:val="3B193DF8"/>
    <w:rsid w:val="3B730A8B"/>
    <w:rsid w:val="3BB450BD"/>
    <w:rsid w:val="3BEB698B"/>
    <w:rsid w:val="3CFF1385"/>
    <w:rsid w:val="3D9FD338"/>
    <w:rsid w:val="3E8B7547"/>
    <w:rsid w:val="3E9622D1"/>
    <w:rsid w:val="3EB23E3F"/>
    <w:rsid w:val="3F56741C"/>
    <w:rsid w:val="3F874B11"/>
    <w:rsid w:val="3FDD04DE"/>
    <w:rsid w:val="3FF571A9"/>
    <w:rsid w:val="3FFE4788"/>
    <w:rsid w:val="408936DC"/>
    <w:rsid w:val="40C477AB"/>
    <w:rsid w:val="40DA44F3"/>
    <w:rsid w:val="410A7B9D"/>
    <w:rsid w:val="41962EF5"/>
    <w:rsid w:val="41A5138A"/>
    <w:rsid w:val="41D601DF"/>
    <w:rsid w:val="42054515"/>
    <w:rsid w:val="4269088B"/>
    <w:rsid w:val="42834542"/>
    <w:rsid w:val="431D7295"/>
    <w:rsid w:val="436C70EF"/>
    <w:rsid w:val="43DD153F"/>
    <w:rsid w:val="43ED6B90"/>
    <w:rsid w:val="44202F4A"/>
    <w:rsid w:val="44AD472E"/>
    <w:rsid w:val="450B1E4C"/>
    <w:rsid w:val="45583E57"/>
    <w:rsid w:val="45F43DB8"/>
    <w:rsid w:val="46063934"/>
    <w:rsid w:val="4725530C"/>
    <w:rsid w:val="473B036F"/>
    <w:rsid w:val="47A40B37"/>
    <w:rsid w:val="47E158D3"/>
    <w:rsid w:val="483F42E6"/>
    <w:rsid w:val="484A1165"/>
    <w:rsid w:val="48717162"/>
    <w:rsid w:val="48872849"/>
    <w:rsid w:val="48D83DF3"/>
    <w:rsid w:val="48E40097"/>
    <w:rsid w:val="48E85B1A"/>
    <w:rsid w:val="49C36851"/>
    <w:rsid w:val="49D121A6"/>
    <w:rsid w:val="4A9461BC"/>
    <w:rsid w:val="4B4026F8"/>
    <w:rsid w:val="4B851076"/>
    <w:rsid w:val="4BC609D6"/>
    <w:rsid w:val="4BE56489"/>
    <w:rsid w:val="4C211F55"/>
    <w:rsid w:val="4CE777CF"/>
    <w:rsid w:val="4D0F1552"/>
    <w:rsid w:val="4DF6743A"/>
    <w:rsid w:val="4DF745EF"/>
    <w:rsid w:val="4E0452F6"/>
    <w:rsid w:val="4E113ACA"/>
    <w:rsid w:val="4E151645"/>
    <w:rsid w:val="4E6232FD"/>
    <w:rsid w:val="4EB661ED"/>
    <w:rsid w:val="4F884F26"/>
    <w:rsid w:val="4F9111A0"/>
    <w:rsid w:val="500A342C"/>
    <w:rsid w:val="50283723"/>
    <w:rsid w:val="5059420E"/>
    <w:rsid w:val="50A82C45"/>
    <w:rsid w:val="50AA312A"/>
    <w:rsid w:val="51477D68"/>
    <w:rsid w:val="517322E7"/>
    <w:rsid w:val="519C1524"/>
    <w:rsid w:val="520D7203"/>
    <w:rsid w:val="52101A77"/>
    <w:rsid w:val="5228116F"/>
    <w:rsid w:val="52546BE0"/>
    <w:rsid w:val="5257279E"/>
    <w:rsid w:val="527D6B60"/>
    <w:rsid w:val="52E17027"/>
    <w:rsid w:val="52FB47CD"/>
    <w:rsid w:val="53101EDA"/>
    <w:rsid w:val="532537E2"/>
    <w:rsid w:val="533B791F"/>
    <w:rsid w:val="53776433"/>
    <w:rsid w:val="539E1F8C"/>
    <w:rsid w:val="53E47AF0"/>
    <w:rsid w:val="543D2A49"/>
    <w:rsid w:val="54815C87"/>
    <w:rsid w:val="54A746CC"/>
    <w:rsid w:val="54BF6E10"/>
    <w:rsid w:val="550146D2"/>
    <w:rsid w:val="554C450F"/>
    <w:rsid w:val="555B40F6"/>
    <w:rsid w:val="55D5399F"/>
    <w:rsid w:val="55EA144F"/>
    <w:rsid w:val="56C35CCA"/>
    <w:rsid w:val="56D226C4"/>
    <w:rsid w:val="56E00BDE"/>
    <w:rsid w:val="57027799"/>
    <w:rsid w:val="57572501"/>
    <w:rsid w:val="57772819"/>
    <w:rsid w:val="57BD2F4C"/>
    <w:rsid w:val="57FB2BDC"/>
    <w:rsid w:val="581110D0"/>
    <w:rsid w:val="582D492C"/>
    <w:rsid w:val="583355C2"/>
    <w:rsid w:val="583A209A"/>
    <w:rsid w:val="58443253"/>
    <w:rsid w:val="58560FFA"/>
    <w:rsid w:val="58CE435E"/>
    <w:rsid w:val="59BB5797"/>
    <w:rsid w:val="59FD0D89"/>
    <w:rsid w:val="5A6B244F"/>
    <w:rsid w:val="5A8A73BD"/>
    <w:rsid w:val="5AE900E2"/>
    <w:rsid w:val="5B1A473F"/>
    <w:rsid w:val="5B1E5FDD"/>
    <w:rsid w:val="5B25079D"/>
    <w:rsid w:val="5B8B4F81"/>
    <w:rsid w:val="5BAA37CD"/>
    <w:rsid w:val="5C2E3AB9"/>
    <w:rsid w:val="5D6410B1"/>
    <w:rsid w:val="5DAC665A"/>
    <w:rsid w:val="5DC20458"/>
    <w:rsid w:val="5DCD5A99"/>
    <w:rsid w:val="5E4A70E9"/>
    <w:rsid w:val="5E710B1A"/>
    <w:rsid w:val="5EA12E72"/>
    <w:rsid w:val="5EEB267A"/>
    <w:rsid w:val="5F0166BE"/>
    <w:rsid w:val="5F0623B4"/>
    <w:rsid w:val="5F61266B"/>
    <w:rsid w:val="5F945056"/>
    <w:rsid w:val="60361A4B"/>
    <w:rsid w:val="60471B32"/>
    <w:rsid w:val="60A866D3"/>
    <w:rsid w:val="62137E26"/>
    <w:rsid w:val="62391B02"/>
    <w:rsid w:val="62FE3EF7"/>
    <w:rsid w:val="63234E2B"/>
    <w:rsid w:val="635F0910"/>
    <w:rsid w:val="637644DD"/>
    <w:rsid w:val="642E1BD5"/>
    <w:rsid w:val="65016C82"/>
    <w:rsid w:val="654C1999"/>
    <w:rsid w:val="65A4B635"/>
    <w:rsid w:val="65DE2082"/>
    <w:rsid w:val="669968D2"/>
    <w:rsid w:val="66E772B6"/>
    <w:rsid w:val="66EA76BB"/>
    <w:rsid w:val="672A6F03"/>
    <w:rsid w:val="67E76E88"/>
    <w:rsid w:val="67F325A0"/>
    <w:rsid w:val="68314553"/>
    <w:rsid w:val="688C15AF"/>
    <w:rsid w:val="69224A1D"/>
    <w:rsid w:val="69245F04"/>
    <w:rsid w:val="697274F4"/>
    <w:rsid w:val="6A2D7FEB"/>
    <w:rsid w:val="6A6264FE"/>
    <w:rsid w:val="6A702427"/>
    <w:rsid w:val="6AF50F1D"/>
    <w:rsid w:val="6AFC7869"/>
    <w:rsid w:val="6B80239C"/>
    <w:rsid w:val="6BEB1F0C"/>
    <w:rsid w:val="6CB11B23"/>
    <w:rsid w:val="6CB354EE"/>
    <w:rsid w:val="6D001B8A"/>
    <w:rsid w:val="6D5F2451"/>
    <w:rsid w:val="6D7B72BF"/>
    <w:rsid w:val="6DA13330"/>
    <w:rsid w:val="6E221067"/>
    <w:rsid w:val="6E540537"/>
    <w:rsid w:val="6EA0751D"/>
    <w:rsid w:val="6EBA68AF"/>
    <w:rsid w:val="6EC46886"/>
    <w:rsid w:val="6EFEC7B4"/>
    <w:rsid w:val="6F3A35FC"/>
    <w:rsid w:val="6F40431D"/>
    <w:rsid w:val="7069490C"/>
    <w:rsid w:val="70ED74B0"/>
    <w:rsid w:val="71543FF6"/>
    <w:rsid w:val="71A10AF3"/>
    <w:rsid w:val="71BF106B"/>
    <w:rsid w:val="71E11716"/>
    <w:rsid w:val="72112C2A"/>
    <w:rsid w:val="73561C1E"/>
    <w:rsid w:val="73E05D1E"/>
    <w:rsid w:val="73E840CC"/>
    <w:rsid w:val="7421799B"/>
    <w:rsid w:val="744A0C99"/>
    <w:rsid w:val="74640AAD"/>
    <w:rsid w:val="74E038D2"/>
    <w:rsid w:val="7537697A"/>
    <w:rsid w:val="75504B8E"/>
    <w:rsid w:val="7564464D"/>
    <w:rsid w:val="756900A8"/>
    <w:rsid w:val="757F479E"/>
    <w:rsid w:val="75C264C3"/>
    <w:rsid w:val="77560C82"/>
    <w:rsid w:val="77933457"/>
    <w:rsid w:val="77DE64F7"/>
    <w:rsid w:val="78276774"/>
    <w:rsid w:val="784D7AAA"/>
    <w:rsid w:val="789420E0"/>
    <w:rsid w:val="78D04CE5"/>
    <w:rsid w:val="7939601D"/>
    <w:rsid w:val="79433EB4"/>
    <w:rsid w:val="799D1612"/>
    <w:rsid w:val="79D91AF1"/>
    <w:rsid w:val="7A0A046E"/>
    <w:rsid w:val="7A320AA1"/>
    <w:rsid w:val="7A9E2788"/>
    <w:rsid w:val="7AA64929"/>
    <w:rsid w:val="7AB224EA"/>
    <w:rsid w:val="7B030CF3"/>
    <w:rsid w:val="7B0703E4"/>
    <w:rsid w:val="7B735DDB"/>
    <w:rsid w:val="7BB80E37"/>
    <w:rsid w:val="7BD3042E"/>
    <w:rsid w:val="7BD70DBA"/>
    <w:rsid w:val="7BF7214D"/>
    <w:rsid w:val="7C0171AF"/>
    <w:rsid w:val="7C576117"/>
    <w:rsid w:val="7C7A4BE6"/>
    <w:rsid w:val="7D2D5128"/>
    <w:rsid w:val="7D8F021D"/>
    <w:rsid w:val="7DB755F7"/>
    <w:rsid w:val="7DD65E8F"/>
    <w:rsid w:val="7E082162"/>
    <w:rsid w:val="7E5E7B03"/>
    <w:rsid w:val="7E6F4ECF"/>
    <w:rsid w:val="7F3D9D65"/>
    <w:rsid w:val="7F4D213E"/>
    <w:rsid w:val="7F514043"/>
    <w:rsid w:val="7F562B38"/>
    <w:rsid w:val="7F5B0CFF"/>
    <w:rsid w:val="7F9B10FB"/>
    <w:rsid w:val="7FBE0EE6"/>
    <w:rsid w:val="97F0FFB0"/>
    <w:rsid w:val="BEF79D91"/>
    <w:rsid w:val="C9D86CBB"/>
    <w:rsid w:val="D5D2CCCD"/>
    <w:rsid w:val="F7EF0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120" w:after="120"/>
      <w:ind w:left="100" w:leftChars="100" w:right="100" w:rightChars="100"/>
      <w:outlineLvl w:val="0"/>
    </w:pPr>
    <w:rPr>
      <w:b/>
      <w:bCs/>
      <w:kern w:val="44"/>
      <w:szCs w:val="44"/>
    </w:rPr>
  </w:style>
  <w:style w:type="paragraph" w:styleId="3">
    <w:name w:val="heading 2"/>
    <w:basedOn w:val="1"/>
    <w:next w:val="4"/>
    <w:link w:val="47"/>
    <w:qFormat/>
    <w:uiPriority w:val="0"/>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link w:val="45"/>
    <w:qFormat/>
    <w:uiPriority w:val="9"/>
    <w:pPr>
      <w:keepNext/>
      <w:keepLines/>
      <w:spacing w:before="260" w:after="260" w:line="416" w:lineRule="auto"/>
      <w:outlineLvl w:val="2"/>
    </w:pPr>
    <w:rPr>
      <w:b/>
      <w:bCs/>
      <w:sz w:val="32"/>
      <w:szCs w:val="32"/>
    </w:rPr>
  </w:style>
  <w:style w:type="paragraph" w:styleId="6">
    <w:name w:val="heading 4"/>
    <w:basedOn w:val="1"/>
    <w:next w:val="1"/>
    <w:link w:val="48"/>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6"/>
    <w:basedOn w:val="1"/>
    <w:next w:val="1"/>
    <w:link w:val="49"/>
    <w:qFormat/>
    <w:uiPriority w:val="0"/>
    <w:pPr>
      <w:keepNext/>
      <w:keepLines/>
      <w:spacing w:before="240" w:after="64" w:line="320" w:lineRule="auto"/>
      <w:outlineLvl w:val="5"/>
    </w:pPr>
    <w:rPr>
      <w:rFonts w:ascii="等线 Light" w:hAnsi="等线 Light" w:eastAsia="等线 Light"/>
      <w:b/>
      <w:bCs/>
      <w:sz w:val="24"/>
    </w:rPr>
  </w:style>
  <w:style w:type="paragraph" w:styleId="8">
    <w:name w:val="heading 8"/>
    <w:basedOn w:val="1"/>
    <w:next w:val="1"/>
    <w:link w:val="50"/>
    <w:qFormat/>
    <w:uiPriority w:val="0"/>
    <w:pPr>
      <w:keepNext/>
      <w:keepLines/>
      <w:spacing w:before="240" w:after="64" w:line="320" w:lineRule="auto"/>
      <w:outlineLvl w:val="7"/>
    </w:pPr>
    <w:rPr>
      <w:rFonts w:ascii="等线 Light" w:hAnsi="等线 Light" w:eastAsia="等线 Light"/>
      <w:sz w:val="24"/>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1"/>
    <w:qFormat/>
    <w:uiPriority w:val="99"/>
    <w:pPr>
      <w:ind w:firstLine="420"/>
    </w:pPr>
    <w:rPr>
      <w:szCs w:val="20"/>
    </w:rPr>
  </w:style>
  <w:style w:type="paragraph" w:styleId="9">
    <w:name w:val="List 3"/>
    <w:basedOn w:val="1"/>
    <w:qFormat/>
    <w:uiPriority w:val="0"/>
    <w:pPr>
      <w:widowControl/>
      <w:ind w:left="100" w:leftChars="400" w:hanging="200" w:hangingChars="200"/>
      <w:contextualSpacing/>
      <w:jc w:val="left"/>
    </w:pPr>
    <w:rPr>
      <w:kern w:val="0"/>
      <w:sz w:val="20"/>
      <w:szCs w:val="20"/>
    </w:rPr>
  </w:style>
  <w:style w:type="paragraph" w:styleId="10">
    <w:name w:val="toc 7"/>
    <w:basedOn w:val="1"/>
    <w:next w:val="1"/>
    <w:unhideWhenUsed/>
    <w:qFormat/>
    <w:uiPriority w:val="39"/>
    <w:pPr>
      <w:ind w:left="2520" w:leftChars="1200"/>
    </w:pPr>
    <w:rPr>
      <w:rFonts w:ascii="等线" w:hAnsi="等线" w:eastAsia="等线"/>
      <w:szCs w:val="22"/>
    </w:rPr>
  </w:style>
  <w:style w:type="paragraph" w:styleId="11">
    <w:name w:val="Document Map"/>
    <w:basedOn w:val="1"/>
    <w:link w:val="52"/>
    <w:qFormat/>
    <w:uiPriority w:val="0"/>
    <w:pPr>
      <w:shd w:val="clear" w:color="auto" w:fill="000080"/>
    </w:pPr>
  </w:style>
  <w:style w:type="paragraph" w:styleId="12">
    <w:name w:val="annotation text"/>
    <w:basedOn w:val="1"/>
    <w:link w:val="53"/>
    <w:qFormat/>
    <w:uiPriority w:val="99"/>
    <w:pPr>
      <w:jc w:val="left"/>
    </w:pPr>
  </w:style>
  <w:style w:type="paragraph" w:styleId="13">
    <w:name w:val="Body Text"/>
    <w:basedOn w:val="1"/>
    <w:next w:val="1"/>
    <w:link w:val="54"/>
    <w:qFormat/>
    <w:uiPriority w:val="1"/>
    <w:pPr>
      <w:spacing w:after="120"/>
    </w:pPr>
  </w:style>
  <w:style w:type="paragraph" w:styleId="14">
    <w:name w:val="Body Text Indent"/>
    <w:basedOn w:val="1"/>
    <w:next w:val="15"/>
    <w:qFormat/>
    <w:uiPriority w:val="0"/>
    <w:pPr>
      <w:spacing w:after="120"/>
      <w:ind w:left="420" w:leftChars="200"/>
    </w:pPr>
  </w:style>
  <w:style w:type="paragraph" w:styleId="15">
    <w:name w:val="envelope return"/>
    <w:basedOn w:val="1"/>
    <w:qFormat/>
    <w:uiPriority w:val="0"/>
    <w:rPr>
      <w:rFonts w:ascii="Arial" w:hAnsi="Arial" w:cs="宋体"/>
    </w:rPr>
  </w:style>
  <w:style w:type="paragraph" w:styleId="16">
    <w:name w:val="Block Text"/>
    <w:basedOn w:val="1"/>
    <w:qFormat/>
    <w:uiPriority w:val="0"/>
    <w:pPr>
      <w:spacing w:line="360" w:lineRule="auto"/>
      <w:ind w:left="630" w:right="-609" w:firstLine="420"/>
    </w:pPr>
    <w:rPr>
      <w:rFonts w:ascii="仿宋_GB2312" w:eastAsia="仿宋_GB2312"/>
    </w:rPr>
  </w:style>
  <w:style w:type="paragraph" w:styleId="17">
    <w:name w:val="index 4"/>
    <w:basedOn w:val="1"/>
    <w:next w:val="1"/>
    <w:unhideWhenUsed/>
    <w:qFormat/>
    <w:uiPriority w:val="99"/>
    <w:pPr>
      <w:ind w:left="600" w:leftChars="600"/>
    </w:pPr>
    <w:rPr>
      <w:rFonts w:ascii="宋体"/>
      <w:b/>
      <w:kern w:val="0"/>
      <w:position w:val="-10"/>
      <w:sz w:val="24"/>
      <w:szCs w:val="20"/>
    </w:rPr>
  </w:style>
  <w:style w:type="paragraph" w:styleId="18">
    <w:name w:val="toc 5"/>
    <w:basedOn w:val="1"/>
    <w:next w:val="1"/>
    <w:unhideWhenUsed/>
    <w:qFormat/>
    <w:uiPriority w:val="39"/>
    <w:pPr>
      <w:ind w:left="1680" w:leftChars="800"/>
    </w:pPr>
    <w:rPr>
      <w:rFonts w:ascii="等线" w:hAnsi="等线" w:eastAsia="等线"/>
      <w:szCs w:val="22"/>
    </w:rPr>
  </w:style>
  <w:style w:type="paragraph" w:styleId="19">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20">
    <w:name w:val="Plain Text"/>
    <w:basedOn w:val="1"/>
    <w:link w:val="55"/>
    <w:qFormat/>
    <w:uiPriority w:val="0"/>
    <w:rPr>
      <w:rFonts w:ascii="宋体" w:hAnsi="Courier New" w:cs="Courier New"/>
      <w:szCs w:val="21"/>
    </w:rPr>
  </w:style>
  <w:style w:type="paragraph" w:styleId="21">
    <w:name w:val="toc 8"/>
    <w:basedOn w:val="1"/>
    <w:next w:val="1"/>
    <w:unhideWhenUsed/>
    <w:qFormat/>
    <w:uiPriority w:val="39"/>
    <w:pPr>
      <w:ind w:left="2940" w:leftChars="1400"/>
    </w:pPr>
    <w:rPr>
      <w:rFonts w:ascii="等线" w:hAnsi="等线" w:eastAsia="等线"/>
      <w:szCs w:val="22"/>
    </w:rPr>
  </w:style>
  <w:style w:type="paragraph" w:styleId="22">
    <w:name w:val="Date"/>
    <w:basedOn w:val="1"/>
    <w:next w:val="1"/>
    <w:link w:val="56"/>
    <w:qFormat/>
    <w:uiPriority w:val="0"/>
    <w:rPr>
      <w:sz w:val="24"/>
      <w:szCs w:val="20"/>
    </w:rPr>
  </w:style>
  <w:style w:type="paragraph" w:styleId="23">
    <w:name w:val="Body Text Indent 2"/>
    <w:basedOn w:val="1"/>
    <w:link w:val="57"/>
    <w:qFormat/>
    <w:uiPriority w:val="99"/>
    <w:pPr>
      <w:spacing w:line="420" w:lineRule="exact"/>
      <w:ind w:firstLine="525"/>
    </w:pPr>
    <w:rPr>
      <w:rFonts w:ascii="宋体"/>
      <w:kern w:val="0"/>
      <w:sz w:val="20"/>
      <w:szCs w:val="20"/>
    </w:rPr>
  </w:style>
  <w:style w:type="paragraph" w:styleId="24">
    <w:name w:val="Balloon Text"/>
    <w:basedOn w:val="1"/>
    <w:link w:val="58"/>
    <w:qFormat/>
    <w:uiPriority w:val="0"/>
    <w:rPr>
      <w:sz w:val="18"/>
      <w:szCs w:val="18"/>
    </w:rPr>
  </w:style>
  <w:style w:type="paragraph" w:styleId="25">
    <w:name w:val="footer"/>
    <w:basedOn w:val="1"/>
    <w:link w:val="59"/>
    <w:qFormat/>
    <w:uiPriority w:val="0"/>
    <w:pPr>
      <w:tabs>
        <w:tab w:val="center" w:pos="4153"/>
        <w:tab w:val="right" w:pos="8306"/>
      </w:tabs>
      <w:snapToGrid w:val="0"/>
      <w:jc w:val="left"/>
    </w:pPr>
    <w:rPr>
      <w:sz w:val="18"/>
      <w:szCs w:val="18"/>
    </w:rPr>
  </w:style>
  <w:style w:type="paragraph" w:styleId="26">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rPr>
      <w:rFonts w:ascii="仿宋_GB2312" w:eastAsia="仿宋_GB2312"/>
      <w:sz w:val="24"/>
    </w:rPr>
  </w:style>
  <w:style w:type="paragraph" w:styleId="28">
    <w:name w:val="toc 4"/>
    <w:basedOn w:val="1"/>
    <w:next w:val="1"/>
    <w:unhideWhenUsed/>
    <w:qFormat/>
    <w:uiPriority w:val="39"/>
    <w:pPr>
      <w:ind w:left="1260" w:leftChars="600"/>
    </w:pPr>
    <w:rPr>
      <w:rFonts w:ascii="等线" w:hAnsi="等线" w:eastAsia="等线"/>
      <w:szCs w:val="22"/>
    </w:rPr>
  </w:style>
  <w:style w:type="paragraph" w:styleId="29">
    <w:name w:val="toc 6"/>
    <w:basedOn w:val="1"/>
    <w:next w:val="1"/>
    <w:unhideWhenUsed/>
    <w:qFormat/>
    <w:uiPriority w:val="39"/>
    <w:pPr>
      <w:ind w:left="2100" w:leftChars="1000"/>
    </w:pPr>
    <w:rPr>
      <w:rFonts w:ascii="等线" w:hAnsi="等线" w:eastAsia="等线"/>
      <w:szCs w:val="22"/>
    </w:rPr>
  </w:style>
  <w:style w:type="paragraph" w:styleId="30">
    <w:name w:val="toc 2"/>
    <w:basedOn w:val="1"/>
    <w:next w:val="1"/>
    <w:unhideWhenUsed/>
    <w:qFormat/>
    <w:uiPriority w:val="39"/>
    <w:pPr>
      <w:widowControl/>
      <w:spacing w:after="100" w:line="259" w:lineRule="auto"/>
      <w:ind w:left="220"/>
      <w:jc w:val="left"/>
    </w:pPr>
    <w:rPr>
      <w:rFonts w:ascii="等线" w:hAnsi="等线" w:eastAsia="等线"/>
      <w:kern w:val="0"/>
      <w:sz w:val="22"/>
      <w:szCs w:val="22"/>
    </w:rPr>
  </w:style>
  <w:style w:type="paragraph" w:styleId="31">
    <w:name w:val="toc 9"/>
    <w:basedOn w:val="1"/>
    <w:next w:val="1"/>
    <w:unhideWhenUsed/>
    <w:qFormat/>
    <w:uiPriority w:val="39"/>
    <w:pPr>
      <w:ind w:left="3360" w:leftChars="1600"/>
    </w:pPr>
    <w:rPr>
      <w:rFonts w:ascii="等线" w:hAnsi="等线" w:eastAsia="等线"/>
      <w:szCs w:val="22"/>
    </w:rPr>
  </w:style>
  <w:style w:type="paragraph" w:styleId="32">
    <w:name w:val="Body Text 2"/>
    <w:basedOn w:val="1"/>
    <w:link w:val="61"/>
    <w:qFormat/>
    <w:uiPriority w:val="0"/>
    <w:pPr>
      <w:spacing w:after="120" w:line="480" w:lineRule="auto"/>
    </w:pPr>
    <w:rPr>
      <w:rFonts w:ascii="Calibri" w:hAnsi="Calibri"/>
    </w:rPr>
  </w:style>
  <w:style w:type="paragraph" w:styleId="33">
    <w:name w:val="Normal (Web)"/>
    <w:basedOn w:val="1"/>
    <w:qFormat/>
    <w:uiPriority w:val="99"/>
    <w:pPr>
      <w:widowControl/>
      <w:spacing w:before="100" w:beforeAutospacing="1" w:after="100" w:afterAutospacing="1"/>
      <w:jc w:val="left"/>
    </w:pPr>
    <w:rPr>
      <w:kern w:val="0"/>
      <w:sz w:val="24"/>
    </w:rPr>
  </w:style>
  <w:style w:type="paragraph" w:styleId="34">
    <w:name w:val="Title"/>
    <w:basedOn w:val="1"/>
    <w:next w:val="1"/>
    <w:link w:val="62"/>
    <w:qFormat/>
    <w:uiPriority w:val="0"/>
    <w:pPr>
      <w:spacing w:before="240" w:after="60"/>
      <w:jc w:val="center"/>
      <w:outlineLvl w:val="0"/>
    </w:pPr>
    <w:rPr>
      <w:rFonts w:ascii="等线 Light" w:hAnsi="等线 Light"/>
      <w:b/>
      <w:bCs/>
      <w:sz w:val="32"/>
      <w:szCs w:val="32"/>
    </w:rPr>
  </w:style>
  <w:style w:type="paragraph" w:styleId="35">
    <w:name w:val="annotation subject"/>
    <w:basedOn w:val="12"/>
    <w:next w:val="12"/>
    <w:link w:val="63"/>
    <w:qFormat/>
    <w:uiPriority w:val="0"/>
    <w:rPr>
      <w:b/>
      <w:bCs/>
    </w:rPr>
  </w:style>
  <w:style w:type="paragraph" w:styleId="36">
    <w:name w:val="Body Text First Indent 2"/>
    <w:basedOn w:val="14"/>
    <w:next w:val="1"/>
    <w:qFormat/>
    <w:uiPriority w:val="0"/>
    <w:pPr>
      <w:spacing w:after="0" w:line="360" w:lineRule="auto"/>
      <w:ind w:left="0" w:firstLine="420"/>
    </w:pPr>
    <w:rPr>
      <w:rFonts w:ascii="宋体" w:hAnsi="宋体"/>
      <w:szCs w:val="20"/>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qFormat/>
    <w:uiPriority w:val="0"/>
  </w:style>
  <w:style w:type="character" w:styleId="42">
    <w:name w:val="Emphasis"/>
    <w:qFormat/>
    <w:uiPriority w:val="0"/>
    <w:rPr>
      <w:i/>
      <w:iCs/>
    </w:rPr>
  </w:style>
  <w:style w:type="character" w:styleId="43">
    <w:name w:val="Hyperlink"/>
    <w:qFormat/>
    <w:uiPriority w:val="99"/>
    <w:rPr>
      <w:color w:val="auto"/>
      <w:u w:val="none"/>
    </w:rPr>
  </w:style>
  <w:style w:type="character" w:styleId="44">
    <w:name w:val="annotation reference"/>
    <w:qFormat/>
    <w:uiPriority w:val="0"/>
    <w:rPr>
      <w:sz w:val="21"/>
      <w:szCs w:val="21"/>
    </w:rPr>
  </w:style>
  <w:style w:type="character" w:customStyle="1" w:styleId="45">
    <w:name w:val="标题 3 字符"/>
    <w:link w:val="5"/>
    <w:qFormat/>
    <w:uiPriority w:val="9"/>
    <w:rPr>
      <w:rFonts w:eastAsia="宋体"/>
      <w:b/>
      <w:bCs/>
      <w:kern w:val="2"/>
      <w:sz w:val="32"/>
      <w:szCs w:val="32"/>
      <w:lang w:val="en-US" w:eastAsia="zh-CN" w:bidi="ar-SA"/>
    </w:rPr>
  </w:style>
  <w:style w:type="character" w:customStyle="1" w:styleId="46">
    <w:name w:val="标题 1 字符"/>
    <w:link w:val="2"/>
    <w:qFormat/>
    <w:uiPriority w:val="0"/>
    <w:rPr>
      <w:b/>
      <w:bCs/>
      <w:kern w:val="44"/>
      <w:sz w:val="21"/>
      <w:szCs w:val="44"/>
    </w:rPr>
  </w:style>
  <w:style w:type="character" w:customStyle="1" w:styleId="47">
    <w:name w:val="标题 2 字符"/>
    <w:link w:val="3"/>
    <w:semiHidden/>
    <w:qFormat/>
    <w:uiPriority w:val="0"/>
    <w:rPr>
      <w:rFonts w:ascii="等线 Light" w:hAnsi="等线 Light" w:eastAsia="等线 Light" w:cs="Times New Roman"/>
      <w:b/>
      <w:bCs/>
      <w:kern w:val="2"/>
      <w:sz w:val="32"/>
      <w:szCs w:val="32"/>
    </w:rPr>
  </w:style>
  <w:style w:type="character" w:customStyle="1" w:styleId="48">
    <w:name w:val="标题 4 字符"/>
    <w:link w:val="6"/>
    <w:semiHidden/>
    <w:qFormat/>
    <w:uiPriority w:val="0"/>
    <w:rPr>
      <w:rFonts w:ascii="等线 Light" w:hAnsi="等线 Light" w:eastAsia="等线 Light" w:cs="Times New Roman"/>
      <w:b/>
      <w:bCs/>
      <w:kern w:val="2"/>
      <w:sz w:val="28"/>
      <w:szCs w:val="28"/>
    </w:rPr>
  </w:style>
  <w:style w:type="character" w:customStyle="1" w:styleId="49">
    <w:name w:val="标题 6 字符"/>
    <w:link w:val="7"/>
    <w:qFormat/>
    <w:uiPriority w:val="0"/>
    <w:rPr>
      <w:rFonts w:ascii="等线 Light" w:hAnsi="等线 Light" w:eastAsia="等线 Light" w:cs="Times New Roman"/>
      <w:b/>
      <w:bCs/>
      <w:kern w:val="2"/>
      <w:sz w:val="24"/>
      <w:szCs w:val="24"/>
    </w:rPr>
  </w:style>
  <w:style w:type="character" w:customStyle="1" w:styleId="50">
    <w:name w:val="标题 8 字符"/>
    <w:link w:val="8"/>
    <w:semiHidden/>
    <w:qFormat/>
    <w:uiPriority w:val="0"/>
    <w:rPr>
      <w:rFonts w:ascii="等线 Light" w:hAnsi="等线 Light" w:eastAsia="等线 Light" w:cs="Times New Roman"/>
      <w:kern w:val="2"/>
      <w:sz w:val="24"/>
      <w:szCs w:val="24"/>
    </w:rPr>
  </w:style>
  <w:style w:type="character" w:customStyle="1" w:styleId="51">
    <w:name w:val="正文缩进 字符"/>
    <w:link w:val="4"/>
    <w:qFormat/>
    <w:uiPriority w:val="0"/>
    <w:rPr>
      <w:kern w:val="2"/>
      <w:sz w:val="21"/>
    </w:rPr>
  </w:style>
  <w:style w:type="character" w:customStyle="1" w:styleId="52">
    <w:name w:val="文档结构图 字符"/>
    <w:link w:val="11"/>
    <w:qFormat/>
    <w:uiPriority w:val="0"/>
    <w:rPr>
      <w:kern w:val="2"/>
      <w:sz w:val="21"/>
      <w:szCs w:val="24"/>
      <w:shd w:val="clear" w:color="auto" w:fill="000080"/>
    </w:rPr>
  </w:style>
  <w:style w:type="character" w:customStyle="1" w:styleId="53">
    <w:name w:val="批注文字 字符"/>
    <w:link w:val="12"/>
    <w:qFormat/>
    <w:uiPriority w:val="99"/>
    <w:rPr>
      <w:kern w:val="2"/>
      <w:sz w:val="21"/>
      <w:szCs w:val="24"/>
    </w:rPr>
  </w:style>
  <w:style w:type="character" w:customStyle="1" w:styleId="54">
    <w:name w:val="正文文本 字符"/>
    <w:link w:val="13"/>
    <w:qFormat/>
    <w:uiPriority w:val="1"/>
    <w:rPr>
      <w:kern w:val="2"/>
      <w:sz w:val="21"/>
      <w:szCs w:val="24"/>
    </w:rPr>
  </w:style>
  <w:style w:type="character" w:customStyle="1" w:styleId="55">
    <w:name w:val="纯文本 字符"/>
    <w:link w:val="20"/>
    <w:qFormat/>
    <w:uiPriority w:val="0"/>
    <w:rPr>
      <w:rFonts w:ascii="宋体" w:hAnsi="Courier New" w:cs="Courier New"/>
      <w:kern w:val="2"/>
      <w:sz w:val="21"/>
      <w:szCs w:val="21"/>
    </w:rPr>
  </w:style>
  <w:style w:type="character" w:customStyle="1" w:styleId="56">
    <w:name w:val="日期 字符"/>
    <w:link w:val="22"/>
    <w:qFormat/>
    <w:uiPriority w:val="0"/>
    <w:rPr>
      <w:kern w:val="2"/>
      <w:sz w:val="24"/>
    </w:rPr>
  </w:style>
  <w:style w:type="character" w:customStyle="1" w:styleId="57">
    <w:name w:val="正文文本缩进 2 字符"/>
    <w:link w:val="23"/>
    <w:qFormat/>
    <w:uiPriority w:val="99"/>
    <w:rPr>
      <w:rFonts w:ascii="宋体"/>
    </w:rPr>
  </w:style>
  <w:style w:type="character" w:customStyle="1" w:styleId="58">
    <w:name w:val="批注框文本 字符"/>
    <w:link w:val="24"/>
    <w:qFormat/>
    <w:uiPriority w:val="0"/>
    <w:rPr>
      <w:kern w:val="2"/>
      <w:sz w:val="18"/>
      <w:szCs w:val="18"/>
    </w:rPr>
  </w:style>
  <w:style w:type="character" w:customStyle="1" w:styleId="59">
    <w:name w:val="页脚 字符"/>
    <w:link w:val="25"/>
    <w:qFormat/>
    <w:uiPriority w:val="99"/>
    <w:rPr>
      <w:kern w:val="2"/>
      <w:sz w:val="18"/>
      <w:szCs w:val="18"/>
    </w:rPr>
  </w:style>
  <w:style w:type="character" w:customStyle="1" w:styleId="60">
    <w:name w:val="页眉 字符"/>
    <w:link w:val="26"/>
    <w:qFormat/>
    <w:uiPriority w:val="99"/>
    <w:rPr>
      <w:kern w:val="2"/>
      <w:sz w:val="18"/>
      <w:szCs w:val="18"/>
    </w:rPr>
  </w:style>
  <w:style w:type="character" w:customStyle="1" w:styleId="61">
    <w:name w:val="正文文本 2 字符"/>
    <w:link w:val="32"/>
    <w:qFormat/>
    <w:uiPriority w:val="0"/>
    <w:rPr>
      <w:rFonts w:ascii="Calibri" w:hAnsi="Calibri"/>
      <w:kern w:val="2"/>
      <w:sz w:val="21"/>
      <w:szCs w:val="24"/>
    </w:rPr>
  </w:style>
  <w:style w:type="character" w:customStyle="1" w:styleId="62">
    <w:name w:val="标题 字符"/>
    <w:link w:val="34"/>
    <w:qFormat/>
    <w:uiPriority w:val="0"/>
    <w:rPr>
      <w:rFonts w:ascii="等线 Light" w:hAnsi="等线 Light" w:cs="Times New Roman"/>
      <w:b/>
      <w:bCs/>
      <w:kern w:val="2"/>
      <w:sz w:val="32"/>
      <w:szCs w:val="32"/>
    </w:rPr>
  </w:style>
  <w:style w:type="character" w:customStyle="1" w:styleId="63">
    <w:name w:val="批注主题 字符"/>
    <w:link w:val="35"/>
    <w:qFormat/>
    <w:uiPriority w:val="0"/>
    <w:rPr>
      <w:b/>
      <w:bCs/>
      <w:kern w:val="2"/>
      <w:sz w:val="21"/>
      <w:szCs w:val="24"/>
    </w:rPr>
  </w:style>
  <w:style w:type="character" w:customStyle="1" w:styleId="64">
    <w:name w:val="样式1 字符"/>
    <w:link w:val="65"/>
    <w:qFormat/>
    <w:uiPriority w:val="0"/>
  </w:style>
  <w:style w:type="paragraph" w:customStyle="1" w:styleId="65">
    <w:name w:val="样式1"/>
    <w:basedOn w:val="2"/>
    <w:link w:val="64"/>
    <w:qFormat/>
    <w:uiPriority w:val="0"/>
    <w:pPr>
      <w:ind w:left="210" w:right="210"/>
    </w:pPr>
  </w:style>
  <w:style w:type="character" w:customStyle="1" w:styleId="66">
    <w:name w:val="ask-title2"/>
    <w:qFormat/>
    <w:uiPriority w:val="0"/>
  </w:style>
  <w:style w:type="character" w:customStyle="1" w:styleId="67">
    <w:name w:val="p0 Char"/>
    <w:link w:val="68"/>
    <w:qFormat/>
    <w:uiPriority w:val="0"/>
    <w:rPr>
      <w:rFonts w:eastAsia="宋体"/>
      <w:sz w:val="21"/>
      <w:szCs w:val="21"/>
      <w:lang w:val="en-US" w:eastAsia="zh-CN" w:bidi="ar-SA"/>
    </w:rPr>
  </w:style>
  <w:style w:type="paragraph" w:customStyle="1" w:styleId="68">
    <w:name w:val="p0"/>
    <w:basedOn w:val="1"/>
    <w:link w:val="67"/>
    <w:qFormat/>
    <w:uiPriority w:val="0"/>
    <w:pPr>
      <w:widowControl/>
    </w:pPr>
    <w:rPr>
      <w:kern w:val="0"/>
      <w:szCs w:val="21"/>
    </w:rPr>
  </w:style>
  <w:style w:type="character" w:customStyle="1" w:styleId="69">
    <w:name w:val="标题 2 Char Char Char"/>
    <w:qFormat/>
    <w:uiPriority w:val="0"/>
    <w:rPr>
      <w:rFonts w:ascii="Arial" w:hAnsi="Arial" w:eastAsia="黑体"/>
      <w:b/>
      <w:bCs/>
      <w:kern w:val="2"/>
      <w:sz w:val="32"/>
      <w:szCs w:val="32"/>
      <w:lang w:val="en-US" w:eastAsia="zh-CN" w:bidi="ar-SA"/>
    </w:rPr>
  </w:style>
  <w:style w:type="character" w:customStyle="1" w:styleId="70">
    <w:name w:val="NormalCharacter"/>
    <w:semiHidden/>
    <w:qFormat/>
    <w:uiPriority w:val="0"/>
  </w:style>
  <w:style w:type="character" w:customStyle="1" w:styleId="71">
    <w:name w:val="纯文本 Char2"/>
    <w:qFormat/>
    <w:uiPriority w:val="0"/>
    <w:rPr>
      <w:rFonts w:ascii="宋体" w:hAnsi="Courier New"/>
      <w:sz w:val="21"/>
    </w:rPr>
  </w:style>
  <w:style w:type="character" w:customStyle="1" w:styleId="72">
    <w:name w:val="纯文本 Char"/>
    <w:link w:val="73"/>
    <w:qFormat/>
    <w:uiPriority w:val="0"/>
    <w:rPr>
      <w:rFonts w:ascii="宋体" w:hAnsi="Courier New"/>
    </w:rPr>
  </w:style>
  <w:style w:type="paragraph" w:customStyle="1" w:styleId="73">
    <w:name w:val="纯文本1"/>
    <w:basedOn w:val="1"/>
    <w:link w:val="72"/>
    <w:qFormat/>
    <w:uiPriority w:val="0"/>
    <w:pPr>
      <w:spacing w:line="360" w:lineRule="auto"/>
      <w:ind w:firstLine="200" w:firstLineChars="200"/>
    </w:pPr>
    <w:rPr>
      <w:rFonts w:ascii="宋体" w:hAnsi="Courier New"/>
      <w:kern w:val="0"/>
      <w:sz w:val="20"/>
      <w:szCs w:val="20"/>
    </w:rPr>
  </w:style>
  <w:style w:type="character" w:customStyle="1" w:styleId="74">
    <w:name w:val="页脚 Char"/>
    <w:qFormat/>
    <w:uiPriority w:val="0"/>
    <w:rPr>
      <w:sz w:val="18"/>
      <w:szCs w:val="18"/>
    </w:rPr>
  </w:style>
  <w:style w:type="character" w:customStyle="1" w:styleId="75">
    <w:name w:val="font11"/>
    <w:qFormat/>
    <w:uiPriority w:val="0"/>
    <w:rPr>
      <w:rFonts w:hint="eastAsia" w:ascii="宋体" w:hAnsi="宋体" w:eastAsia="宋体" w:cs="宋体"/>
      <w:color w:val="000000"/>
      <w:sz w:val="22"/>
      <w:szCs w:val="22"/>
      <w:u w:val="none"/>
    </w:rPr>
  </w:style>
  <w:style w:type="paragraph" w:styleId="7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Normal_5_0"/>
    <w:qFormat/>
    <w:uiPriority w:val="0"/>
    <w:rPr>
      <w:rFonts w:ascii="Times New Roman" w:hAnsi="Times New Roman" w:eastAsia="Times New Roman" w:cs="Times New Roman"/>
      <w:sz w:val="24"/>
      <w:szCs w:val="24"/>
      <w:lang w:val="en-US" w:eastAsia="zh-CN" w:bidi="ar-SA"/>
    </w:rPr>
  </w:style>
  <w:style w:type="paragraph" w:customStyle="1" w:styleId="78">
    <w:name w:val="列出段落2"/>
    <w:basedOn w:val="1"/>
    <w:unhideWhenUsed/>
    <w:qFormat/>
    <w:uiPriority w:val="99"/>
    <w:pPr>
      <w:autoSpaceDE w:val="0"/>
      <w:autoSpaceDN w:val="0"/>
      <w:adjustRightInd w:val="0"/>
      <w:ind w:firstLine="420" w:firstLineChars="200"/>
      <w:jc w:val="left"/>
    </w:pPr>
    <w:rPr>
      <w:rFonts w:ascii="宋体"/>
      <w:kern w:val="0"/>
      <w:sz w:val="20"/>
      <w:szCs w:val="20"/>
    </w:rPr>
  </w:style>
  <w:style w:type="paragraph" w:customStyle="1" w:styleId="79">
    <w:name w:val="列出段落1"/>
    <w:basedOn w:val="1"/>
    <w:qFormat/>
    <w:uiPriority w:val="0"/>
    <w:pPr>
      <w:spacing w:line="0" w:lineRule="atLeast"/>
      <w:ind w:firstLine="420" w:firstLineChars="200"/>
    </w:pPr>
    <w:rPr>
      <w:rFonts w:eastAsia="微软雅黑"/>
      <w:sz w:val="20"/>
      <w:szCs w:val="20"/>
    </w:rPr>
  </w:style>
  <w:style w:type="paragraph" w:customStyle="1" w:styleId="80">
    <w:name w:val="纯文本11"/>
    <w:basedOn w:val="1"/>
    <w:qFormat/>
    <w:uiPriority w:val="0"/>
    <w:rPr>
      <w:rFonts w:ascii="宋体" w:hAnsi="Courier New"/>
      <w:kern w:val="0"/>
      <w:sz w:val="20"/>
      <w:szCs w:val="21"/>
    </w:rPr>
  </w:style>
  <w:style w:type="paragraph" w:customStyle="1" w:styleId="81">
    <w:name w:val="_Style 80"/>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82">
    <w:name w:val="Heading2"/>
    <w:basedOn w:val="1"/>
    <w:next w:val="1"/>
    <w:qFormat/>
    <w:uiPriority w:val="0"/>
    <w:pPr>
      <w:keepNext/>
      <w:widowControl/>
      <w:jc w:val="center"/>
      <w:textAlignment w:val="baseline"/>
    </w:pPr>
    <w:rPr>
      <w:rFonts w:ascii="楷体_GB2312" w:eastAsia="楷体_GB2312"/>
      <w:sz w:val="18"/>
      <w:szCs w:val="20"/>
    </w:rPr>
  </w:style>
  <w:style w:type="paragraph" w:customStyle="1" w:styleId="83">
    <w:name w:val="Table Text"/>
    <w:basedOn w:val="1"/>
    <w:semiHidden/>
    <w:qFormat/>
    <w:uiPriority w:val="0"/>
    <w:rPr>
      <w:rFonts w:ascii="宋体" w:hAnsi="宋体" w:cs="宋体"/>
      <w:sz w:val="23"/>
      <w:szCs w:val="23"/>
      <w:lang w:eastAsia="en-US"/>
    </w:rPr>
  </w:style>
  <w:style w:type="paragraph" w:customStyle="1" w:styleId="84">
    <w:name w:val="_Style 83"/>
    <w:basedOn w:val="1"/>
    <w:next w:val="85"/>
    <w:qFormat/>
    <w:uiPriority w:val="99"/>
    <w:pPr>
      <w:ind w:firstLine="420" w:firstLineChars="200"/>
    </w:pPr>
  </w:style>
  <w:style w:type="paragraph" w:styleId="85">
    <w:name w:val="List Paragraph"/>
    <w:basedOn w:val="1"/>
    <w:qFormat/>
    <w:uiPriority w:val="1"/>
    <w:pPr>
      <w:autoSpaceDE w:val="0"/>
      <w:autoSpaceDN w:val="0"/>
      <w:ind w:left="400" w:firstLine="420"/>
      <w:jc w:val="left"/>
    </w:pPr>
    <w:rPr>
      <w:rFonts w:ascii="宋体" w:hAnsi="宋体" w:cs="宋体"/>
      <w:kern w:val="0"/>
      <w:sz w:val="22"/>
      <w:szCs w:val="22"/>
      <w:lang w:val="zh-CN" w:bidi="zh-CN"/>
    </w:rPr>
  </w:style>
  <w:style w:type="paragraph" w:customStyle="1" w:styleId="86">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87">
    <w:name w:val="标题 21"/>
    <w:basedOn w:val="1"/>
    <w:qFormat/>
    <w:uiPriority w:val="1"/>
    <w:pPr>
      <w:autoSpaceDE w:val="0"/>
      <w:autoSpaceDN w:val="0"/>
      <w:ind w:left="801" w:hanging="401"/>
      <w:jc w:val="left"/>
      <w:outlineLvl w:val="2"/>
    </w:pPr>
    <w:rPr>
      <w:rFonts w:ascii="Microsoft JhengHei" w:hAnsi="Microsoft JhengHei" w:eastAsia="Microsoft JhengHei" w:cs="Microsoft JhengHei"/>
      <w:b/>
      <w:bCs/>
      <w:kern w:val="0"/>
      <w:sz w:val="32"/>
      <w:szCs w:val="32"/>
      <w:lang w:val="zh-CN" w:bidi="zh-CN"/>
    </w:rPr>
  </w:style>
  <w:style w:type="table" w:customStyle="1" w:styleId="88">
    <w:name w:val="Table Normal"/>
    <w:unhideWhenUsed/>
    <w:qFormat/>
    <w:uiPriority w:val="0"/>
    <w:tblPr>
      <w:tblCellMar>
        <w:top w:w="0" w:type="dxa"/>
        <w:left w:w="0" w:type="dxa"/>
        <w:bottom w:w="0" w:type="dxa"/>
        <w:right w:w="0" w:type="dxa"/>
      </w:tblCellMar>
    </w:tblPr>
  </w:style>
  <w:style w:type="paragraph" w:customStyle="1" w:styleId="89">
    <w:name w:val="表格文本"/>
    <w:basedOn w:val="1"/>
    <w:qFormat/>
    <w:uiPriority w:val="0"/>
    <w:pPr>
      <w:widowControl/>
      <w:jc w:val="center"/>
    </w:pPr>
    <w:rPr>
      <w:rFonts w:ascii="宋体" w:hAnsi="宋体" w:cs="宋体"/>
      <w:color w:val="000000"/>
    </w:rPr>
  </w:style>
  <w:style w:type="paragraph" w:customStyle="1" w:styleId="9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91">
    <w:name w:val="正文（深信服科技）"/>
    <w:qFormat/>
    <w:uiPriority w:val="0"/>
    <w:pPr>
      <w:adjustRightInd w:val="0"/>
      <w:snapToGrid w:val="0"/>
      <w:spacing w:line="360" w:lineRule="auto"/>
      <w:ind w:firstLine="480" w:firstLineChars="200"/>
      <w:jc w:val="both"/>
    </w:pPr>
    <w:rPr>
      <w:rFonts w:ascii="Times New Roman" w:hAnsi="Times New Roman" w:eastAsia="宋体" w:cs="Times New Roman"/>
      <w:sz w:val="24"/>
      <w:szCs w:val="21"/>
      <w:lang w:val="en-US" w:eastAsia="zh-CN" w:bidi="ar-SA"/>
    </w:rPr>
  </w:style>
  <w:style w:type="paragraph" w:customStyle="1" w:styleId="92">
    <w:name w:val="表格文字"/>
    <w:basedOn w:val="1"/>
    <w:next w:val="13"/>
    <w:qFormat/>
    <w:uiPriority w:val="0"/>
    <w:pPr>
      <w:adjustRightInd w:val="0"/>
      <w:spacing w:line="420" w:lineRule="atLeast"/>
      <w:jc w:val="left"/>
      <w:textAlignment w:val="baseline"/>
    </w:pPr>
    <w:rPr>
      <w:kern w:val="0"/>
    </w:rPr>
  </w:style>
  <w:style w:type="table" w:customStyle="1" w:styleId="93">
    <w:name w:val="网格型1"/>
    <w:basedOn w:val="37"/>
    <w:qFormat/>
    <w:uiPriority w:val="39"/>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普通表格1"/>
    <w:unhideWhenUsed/>
    <w:qFormat/>
    <w:uiPriority w:val="99"/>
    <w:tblPr>
      <w:tblCellMar>
        <w:top w:w="0" w:type="dxa"/>
        <w:left w:w="0" w:type="dxa"/>
        <w:bottom w:w="0" w:type="dxa"/>
        <w:right w:w="0" w:type="dxa"/>
      </w:tblCellMar>
    </w:tblPr>
  </w:style>
  <w:style w:type="paragraph" w:customStyle="1" w:styleId="95">
    <w:name w:val="纯文本2"/>
    <w:basedOn w:val="1"/>
    <w:autoRedefine/>
    <w:qFormat/>
    <w:uiPriority w:val="0"/>
    <w:pPr>
      <w:spacing w:line="360" w:lineRule="auto"/>
      <w:ind w:firstLine="200" w:firstLineChars="200"/>
    </w:pPr>
    <w:rPr>
      <w:rFonts w:ascii="宋体" w:hAnsi="Courier New"/>
      <w:kern w:val="0"/>
      <w:sz w:val="20"/>
      <w:szCs w:val="20"/>
    </w:rPr>
  </w:style>
  <w:style w:type="paragraph" w:customStyle="1" w:styleId="96">
    <w:name w:val="p1"/>
    <w:basedOn w:val="1"/>
    <w:qFormat/>
    <w:uiPriority w:val="0"/>
    <w:pPr>
      <w:spacing w:before="0" w:beforeAutospacing="0" w:after="0" w:afterAutospacing="0"/>
      <w:ind w:left="0" w:right="0"/>
      <w:jc w:val="center"/>
    </w:pPr>
    <w:rPr>
      <w:rFonts w:ascii=".pingfang sc" w:hAnsi=".pingfang sc" w:eastAsia=".pingfang sc" w:cs=".pingfang sc"/>
      <w:kern w:val="0"/>
      <w:sz w:val="26"/>
      <w:szCs w:val="26"/>
      <w:lang w:val="en-US" w:eastAsia="zh-CN" w:bidi="ar"/>
    </w:rPr>
  </w:style>
  <w:style w:type="character" w:customStyle="1" w:styleId="97">
    <w:name w:val="s1"/>
    <w:basedOn w:val="39"/>
    <w:qFormat/>
    <w:uiPriority w:val="0"/>
    <w:rPr>
      <w:rFonts w:ascii="Helvetica Neue" w:hAnsi="Helvetica Neue" w:eastAsia="Helvetica Neue" w:cs="Helvetica Neue"/>
      <w:sz w:val="26"/>
      <w:szCs w:val="26"/>
    </w:rPr>
  </w:style>
  <w:style w:type="paragraph" w:customStyle="1" w:styleId="98">
    <w:name w:val="p2"/>
    <w:basedOn w:val="1"/>
    <w:qFormat/>
    <w:uiPriority w:val="0"/>
    <w:pPr>
      <w:spacing w:before="0" w:beforeAutospacing="0" w:after="0" w:afterAutospacing="0"/>
      <w:ind w:left="0" w:right="0"/>
      <w:jc w:val="both"/>
    </w:pPr>
    <w:rPr>
      <w:rFonts w:ascii="Helvetica" w:hAnsi="Helvetica" w:eastAsia="Helvetica" w:cs="Helvetica"/>
      <w:kern w:val="0"/>
      <w:sz w:val="26"/>
      <w:szCs w:val="26"/>
      <w:lang w:val="en-US" w:eastAsia="zh-CN" w:bidi="ar"/>
    </w:rPr>
  </w:style>
  <w:style w:type="character" w:customStyle="1" w:styleId="99">
    <w:name w:val="s2"/>
    <w:basedOn w:val="39"/>
    <w:qFormat/>
    <w:uiPriority w:val="0"/>
    <w:rPr>
      <w:rFonts w:ascii="pingfang sc" w:hAnsi="pingfang sc" w:eastAsia="pingfang sc" w:cs="pingfang sc"/>
      <w:sz w:val="26"/>
      <w:szCs w:val="26"/>
    </w:rPr>
  </w:style>
  <w:style w:type="paragraph" w:customStyle="1" w:styleId="100">
    <w:name w:val="p5"/>
    <w:basedOn w:val="1"/>
    <w:qFormat/>
    <w:uiPriority w:val="0"/>
    <w:pPr>
      <w:spacing w:before="0" w:beforeAutospacing="0" w:after="0" w:afterAutospacing="0"/>
      <w:ind w:left="0" w:right="0"/>
      <w:jc w:val="center"/>
    </w:pPr>
    <w:rPr>
      <w:rFonts w:hint="default" w:ascii=".applesystemuifont" w:hAnsi=".applesystemuifont" w:eastAsia=".applesystemuifont" w:cs=".applesystemuifont"/>
      <w:kern w:val="0"/>
      <w:sz w:val="26"/>
      <w:szCs w:val="26"/>
      <w:lang w:val="en-US" w:eastAsia="zh-CN" w:bidi="ar"/>
    </w:rPr>
  </w:style>
  <w:style w:type="character" w:customStyle="1" w:styleId="101">
    <w:name w:val="s3"/>
    <w:basedOn w:val="39"/>
    <w:qFormat/>
    <w:uiPriority w:val="0"/>
    <w:rPr>
      <w:rFonts w:hint="default" w:ascii=".pingfang sc" w:hAnsi=".pingfang sc" w:eastAsia=".pingfang sc" w:cs=".pingfang sc"/>
      <w:sz w:val="26"/>
      <w:szCs w:val="26"/>
    </w:rPr>
  </w:style>
  <w:style w:type="paragraph" w:customStyle="1" w:styleId="102">
    <w:name w:val="p3"/>
    <w:basedOn w:val="1"/>
    <w:qFormat/>
    <w:uiPriority w:val="0"/>
    <w:pPr>
      <w:spacing w:before="0" w:beforeAutospacing="0" w:after="0" w:afterAutospacing="0"/>
      <w:ind w:left="0" w:right="0"/>
      <w:jc w:val="both"/>
    </w:pPr>
    <w:rPr>
      <w:rFonts w:hint="default" w:ascii=".applesimplifiedchinesefont" w:hAnsi=".applesimplifiedchinesefont" w:eastAsia=".applesimplifiedchinesefont" w:cs=".applesimplifiedchinesefont"/>
      <w:kern w:val="0"/>
      <w:sz w:val="26"/>
      <w:szCs w:val="26"/>
      <w:lang w:val="en-US" w:eastAsia="zh-CN" w:bidi="ar"/>
    </w:rPr>
  </w:style>
  <w:style w:type="paragraph" w:customStyle="1" w:styleId="103">
    <w:name w:val="p4"/>
    <w:basedOn w:val="1"/>
    <w:qFormat/>
    <w:uiPriority w:val="0"/>
    <w:pPr>
      <w:spacing w:before="0" w:beforeAutospacing="0" w:after="0" w:afterAutospacing="0"/>
      <w:ind w:left="0" w:right="0"/>
      <w:jc w:val="both"/>
    </w:pPr>
    <w:rPr>
      <w:rFonts w:hint="default" w:ascii=".pingfang sc" w:hAnsi=".pingfang sc" w:eastAsia=".pingfang sc" w:cs=".pingfang sc"/>
      <w:kern w:val="0"/>
      <w:sz w:val="26"/>
      <w:szCs w:val="26"/>
      <w:lang w:val="en-US" w:eastAsia="zh-CN" w:bidi="ar"/>
    </w:rPr>
  </w:style>
  <w:style w:type="paragraph" w:customStyle="1" w:styleId="104">
    <w:name w:val="_Style 10"/>
    <w:basedOn w:val="1"/>
    <w:next w:val="85"/>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816519e-30be-42f5-8822-ca7105756f3c}"/>
        <w:style w:val=""/>
        <w:category>
          <w:name w:val="常规"/>
          <w:gallery w:val="placeholder"/>
        </w:category>
        <w:types>
          <w:type w:val="bbPlcHdr"/>
        </w:types>
        <w:behaviors>
          <w:behavior w:val="content"/>
        </w:behaviors>
        <w:description w:val=""/>
        <w:guid w:val="{9816519E-30BE-42F5-8822-CA7105756F3C}"/>
      </w:docPartPr>
      <w:docPartBody>
        <w:p w14:paraId="308024D3">
          <w:pPr>
            <w:rPr>
              <w:rFonts w:hint="eastAsia"/>
            </w:rPr>
          </w:pPr>
          <w:r>
            <w:rPr>
              <w:rStyle w:val="4"/>
              <w:rFonts w:hint="eastAsia"/>
            </w:rPr>
            <w:t>单击或点击此处输入文字。</w:t>
          </w:r>
        </w:p>
      </w:docPartBody>
    </w:docPart>
    <w:docPart>
      <w:docPartPr>
        <w:name w:val="{f522962d-1971-45cf-8d94-286207fb1251}"/>
        <w:style w:val=""/>
        <w:category>
          <w:name w:val="常规"/>
          <w:gallery w:val="placeholder"/>
        </w:category>
        <w:types>
          <w:type w:val="bbPlcHdr"/>
        </w:types>
        <w:behaviors>
          <w:behavior w:val="content"/>
        </w:behaviors>
        <w:description w:val=""/>
        <w:guid w:val="{f522962d-1971-45cf-8d94-286207fb1251}"/>
      </w:docPartPr>
      <w:docPartBody>
        <w:p w14:paraId="33ECA8A4">
          <w:pPr>
            <w:pStyle w:val="8"/>
          </w:pPr>
          <w:r>
            <w:rPr>
              <w:rStyle w:val="4"/>
              <w:rFonts w:hint="eastAsia"/>
            </w:rPr>
            <w:t>单击或点击此处输入文字。</w:t>
          </w:r>
        </w:p>
      </w:docPartBody>
    </w:docPart>
    <w:docPart>
      <w:docPartPr>
        <w:name w:val="{8a29084f-8244-4cb5-b9da-5b3ea3e99aac}"/>
        <w:style w:val=""/>
        <w:category>
          <w:name w:val="常规"/>
          <w:gallery w:val="placeholder"/>
        </w:category>
        <w:types>
          <w:type w:val="bbPlcHdr"/>
        </w:types>
        <w:behaviors>
          <w:behavior w:val="content"/>
        </w:behaviors>
        <w:description w:val=""/>
        <w:guid w:val="{8a29084f-8244-4cb5-b9da-5b3ea3e99aac}"/>
      </w:docPartPr>
      <w:docPartBody>
        <w:p w14:paraId="5E0DD181">
          <w:pPr>
            <w:pStyle w:val="8"/>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5"/>
  </w:compat>
  <w:rsids>
    <w:rsidRoot w:val="00DE5245"/>
    <w:rsid w:val="00283F6A"/>
    <w:rsid w:val="00445013"/>
    <w:rsid w:val="00DE5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iPriority="99" w:semiHidden="0"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unhideWhenUsed/>
    <w:qFormat/>
    <w:uiPriority w:val="99"/>
    <w:rPr>
      <w:color w:val="808080"/>
    </w:rPr>
  </w:style>
  <w:style w:type="paragraph" w:customStyle="1" w:styleId="5">
    <w:name w:val="B4F4AE2318D04AF3B31938FED6327D2A"/>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296247FCE8449A7B7E4D837AE62646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E1E6551D3834CEFBBA75646B9D97D5B"/>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customStyle="1" w:styleId="8">
    <w:name w:val="F98F01682B89406396A9BDA226A00FB2"/>
    <w:qFormat/>
    <w:uiPriority w:val="0"/>
    <w:pPr>
      <w:widowControl w:val="0"/>
      <w:jc w:val="both"/>
    </w:pPr>
    <w:rPr>
      <w:rFonts w:hint="default" w:asciiTheme="minorHAnsi" w:hAnsiTheme="minorHAnsi" w:eastAsiaTheme="minorEastAsia" w:cstheme="minorBidi"/>
      <w:sz w:val="21"/>
      <w:szCs w:val="22"/>
      <w:lang w:val="en-US" w:eastAsia="zh-CN" w:bidi="ar-SA"/>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75</Pages>
  <Words>30396</Words>
  <Characters>32634</Characters>
  <Lines>1</Lines>
  <Paragraphs>1</Paragraphs>
  <TotalTime>36</TotalTime>
  <ScaleCrop>false</ScaleCrop>
  <LinksUpToDate>false</LinksUpToDate>
  <CharactersWithSpaces>35169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2026-05-18T16:57:00Z</dcterms:created>
  <dc:creator>island</dc:creator>
  <cp:lastModifiedBy>Wonder</cp:lastModifiedBy>
  <cp:lastPrinted>2026-07-01T08:51:00Z</cp:lastPrinted>
  <dcterms:modified xsi:type="dcterms:W3CDTF">2026-08-18T06:29:21Z</dcterms:modified>
  <dc:title>第五章 单一来源操作规程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4A5C0F0599034449A17C6B2625048A57_13</vt:lpwstr>
  </property>
  <property fmtid="{D5CDD505-2E9C-101B-9397-08002B2CF9AE}" pid="4" name="KSOTemplateDocerSaveRecord">
    <vt:lpwstr>eyJoZGlkIjoiMWYxYmUwODIzYzk0M2QzOTM3M2I1MzA0NjYxZWNjMTciLCJ1c2VySWQiOiI3MDY5OTM5NjQifQ==</vt:lpwstr>
  </property>
</Properties>
</file>