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16F264">
      <w:pPr>
        <w:pStyle w:val="3"/>
        <w:bidi w:val="0"/>
        <w:rPr>
          <w:rFonts w:hint="eastAsia"/>
          <w:color w:val="auto"/>
          <w:highlight w:val="none"/>
        </w:rPr>
      </w:pPr>
      <w:bookmarkStart w:id="0" w:name="EBaddf5a20ddec4a45badb628643bc3e2d"/>
      <w:r>
        <w:rPr>
          <w:rFonts w:hint="eastAsia" w:eastAsia="宋体"/>
          <w:color w:val="auto"/>
          <w:sz w:val="20"/>
          <w:highlight w:val="none"/>
          <w:lang w:val="en-US" w:eastAsia="zh-CN"/>
        </w:rPr>
        <w:t xml:space="preserve"> </w:t>
      </w:r>
      <w:r>
        <w:rPr>
          <w:rFonts w:hint="eastAsia"/>
          <w:color w:val="auto"/>
          <w:sz w:val="20"/>
          <w:highlight w:val="none"/>
        </w:rPr>
        <w:t xml:space="preserve"> </w:t>
      </w:r>
      <w:bookmarkEnd w:id="0"/>
      <w:bookmarkStart w:id="1" w:name="EBc1c964fd06f847058d3fdc2c2ed70bc5"/>
      <w:r>
        <w:rPr>
          <w:rFonts w:hint="eastAsia"/>
          <w:color w:val="auto"/>
          <w:sz w:val="20"/>
          <w:highlight w:val="none"/>
        </w:rPr>
        <w:t xml:space="preserve"> </w:t>
      </w:r>
      <w:bookmarkEnd w:id="1"/>
    </w:p>
    <w:p w14:paraId="3E1FD5B7">
      <w:pPr>
        <w:rPr>
          <w:rFonts w:hint="eastAsia"/>
          <w:color w:val="auto"/>
          <w:highlight w:val="none"/>
        </w:rPr>
      </w:pPr>
      <w:bookmarkStart w:id="2" w:name="EB8a959db76ce743f891661327323463ab"/>
      <w:r>
        <w:rPr>
          <w:rFonts w:hint="eastAsia"/>
          <w:color w:val="auto"/>
          <w:sz w:val="20"/>
          <w:highlight w:val="none"/>
        </w:rPr>
        <w:t xml:space="preserve"> </w:t>
      </w:r>
      <w:bookmarkEnd w:id="2"/>
    </w:p>
    <w:p w14:paraId="68D6AE6C">
      <w:pPr>
        <w:jc w:val="right"/>
        <w:rPr>
          <w:rFonts w:hint="eastAsia" w:ascii="华文琥珀" w:eastAsia="华文琥珀"/>
          <w:color w:val="auto"/>
          <w:sz w:val="44"/>
          <w:szCs w:val="44"/>
          <w:highlight w:val="none"/>
        </w:rPr>
      </w:pPr>
    </w:p>
    <w:p w14:paraId="35408646">
      <w:pPr>
        <w:jc w:val="right"/>
        <w:rPr>
          <w:rFonts w:hint="eastAsia" w:ascii="华文琥珀" w:eastAsia="华文琥珀"/>
          <w:color w:val="auto"/>
          <w:sz w:val="44"/>
          <w:szCs w:val="44"/>
          <w:highlight w:val="none"/>
        </w:rPr>
      </w:pPr>
    </w:p>
    <w:p w14:paraId="15FBE5EF">
      <w:pPr>
        <w:rPr>
          <w:rFonts w:hint="eastAsia" w:ascii="宋体"/>
          <w:color w:val="auto"/>
          <w:sz w:val="36"/>
          <w:szCs w:val="36"/>
          <w:highlight w:val="none"/>
        </w:rPr>
      </w:pPr>
    </w:p>
    <w:p w14:paraId="15A97123">
      <w:pPr>
        <w:rPr>
          <w:rFonts w:hint="eastAsia" w:ascii="华文琥珀" w:eastAsia="华文琥珀"/>
          <w:color w:val="auto"/>
          <w:sz w:val="36"/>
          <w:szCs w:val="36"/>
          <w:highlight w:val="none"/>
        </w:rPr>
      </w:pPr>
    </w:p>
    <w:p w14:paraId="287E2EFF">
      <w:pPr>
        <w:rPr>
          <w:rFonts w:hint="eastAsia" w:ascii="方正大标宋简体" w:eastAsia="方正大标宋简体"/>
          <w:b/>
          <w:color w:val="auto"/>
          <w:sz w:val="18"/>
          <w:szCs w:val="18"/>
          <w:highlight w:val="none"/>
        </w:rPr>
      </w:pPr>
    </w:p>
    <w:p w14:paraId="0ACE46A2">
      <w:pPr>
        <w:ind w:right="120" w:rightChars="50"/>
        <w:jc w:val="center"/>
        <w:rPr>
          <w:rFonts w:hint="eastAsia" w:ascii="黑体" w:hAnsi="宋体" w:eastAsia="黑体"/>
          <w:color w:val="auto"/>
          <w:sz w:val="82"/>
          <w:szCs w:val="82"/>
          <w:highlight w:val="none"/>
        </w:rPr>
      </w:pPr>
      <w:r>
        <w:rPr>
          <w:rFonts w:hint="eastAsia" w:ascii="黑体" w:hAnsi="宋体" w:eastAsia="黑体"/>
          <w:color w:val="auto"/>
          <w:sz w:val="82"/>
          <w:szCs w:val="82"/>
          <w:highlight w:val="none"/>
          <w:lang w:eastAsia="zh-CN"/>
        </w:rPr>
        <w:t>竞争性磋商</w:t>
      </w:r>
      <w:r>
        <w:rPr>
          <w:rFonts w:hint="eastAsia" w:ascii="黑体" w:hAnsi="宋体" w:eastAsia="黑体"/>
          <w:color w:val="auto"/>
          <w:sz w:val="82"/>
          <w:szCs w:val="82"/>
          <w:highlight w:val="none"/>
        </w:rPr>
        <w:t>文件</w:t>
      </w:r>
    </w:p>
    <w:p w14:paraId="6E26C4FA">
      <w:pPr>
        <w:autoSpaceDE w:val="0"/>
        <w:autoSpaceDN w:val="0"/>
        <w:adjustRightInd w:val="0"/>
        <w:spacing w:line="500" w:lineRule="exact"/>
        <w:ind w:firstLine="1980" w:firstLineChars="550"/>
        <w:jc w:val="left"/>
        <w:rPr>
          <w:rFonts w:hint="eastAsia" w:ascii="华文楷体" w:eastAsia="华文楷体"/>
          <w:color w:val="auto"/>
          <w:sz w:val="36"/>
          <w:szCs w:val="36"/>
          <w:highlight w:val="none"/>
        </w:rPr>
      </w:pPr>
    </w:p>
    <w:p w14:paraId="39DD3B83">
      <w:pPr>
        <w:autoSpaceDE w:val="0"/>
        <w:autoSpaceDN w:val="0"/>
        <w:adjustRightInd w:val="0"/>
        <w:spacing w:line="500" w:lineRule="exact"/>
        <w:ind w:firstLine="1980" w:firstLineChars="550"/>
        <w:jc w:val="left"/>
        <w:rPr>
          <w:rFonts w:hint="eastAsia" w:ascii="华文楷体" w:eastAsia="华文楷体"/>
          <w:color w:val="auto"/>
          <w:sz w:val="36"/>
          <w:szCs w:val="36"/>
          <w:highlight w:val="none"/>
        </w:rPr>
      </w:pPr>
    </w:p>
    <w:tbl>
      <w:tblPr>
        <w:tblStyle w:val="63"/>
        <w:tblW w:w="9806" w:type="dxa"/>
        <w:jc w:val="center"/>
        <w:tblLayout w:type="fixed"/>
        <w:tblCellMar>
          <w:top w:w="0" w:type="dxa"/>
          <w:left w:w="108" w:type="dxa"/>
          <w:bottom w:w="0" w:type="dxa"/>
          <w:right w:w="108" w:type="dxa"/>
        </w:tblCellMar>
      </w:tblPr>
      <w:tblGrid>
        <w:gridCol w:w="1921"/>
        <w:gridCol w:w="7885"/>
      </w:tblGrid>
      <w:tr w14:paraId="4B37D4C8">
        <w:tblPrEx>
          <w:tblCellMar>
            <w:top w:w="0" w:type="dxa"/>
            <w:left w:w="108" w:type="dxa"/>
            <w:bottom w:w="0" w:type="dxa"/>
            <w:right w:w="108" w:type="dxa"/>
          </w:tblCellMar>
        </w:tblPrEx>
        <w:trPr>
          <w:trHeight w:val="665" w:hRule="atLeast"/>
          <w:jc w:val="center"/>
        </w:trPr>
        <w:tc>
          <w:tcPr>
            <w:tcW w:w="1921" w:type="dxa"/>
            <w:vAlign w:val="center"/>
          </w:tcPr>
          <w:p w14:paraId="076BD118">
            <w:pPr>
              <w:autoSpaceDE w:val="0"/>
              <w:autoSpaceDN w:val="0"/>
              <w:adjustRightInd w:val="0"/>
              <w:spacing w:after="156" w:afterLines="50"/>
              <w:rPr>
                <w:rFonts w:hint="eastAsia" w:ascii="宋体"/>
                <w:color w:val="auto"/>
                <w:sz w:val="36"/>
                <w:szCs w:val="36"/>
                <w:highlight w:val="none"/>
              </w:rPr>
            </w:pPr>
            <w:r>
              <w:rPr>
                <w:rFonts w:hint="eastAsia" w:ascii="宋体" w:cs="楷体_GB2312"/>
                <w:color w:val="auto"/>
                <w:sz w:val="36"/>
                <w:szCs w:val="36"/>
                <w:highlight w:val="none"/>
              </w:rPr>
              <w:t>项目名称：</w:t>
            </w:r>
          </w:p>
        </w:tc>
        <w:tc>
          <w:tcPr>
            <w:tcW w:w="7885" w:type="dxa"/>
            <w:vAlign w:val="center"/>
          </w:tcPr>
          <w:p w14:paraId="08B607D9">
            <w:pPr>
              <w:widowControl/>
              <w:shd w:val="clear" w:color="auto" w:fill="FFFFFF"/>
              <w:spacing w:line="360" w:lineRule="auto"/>
              <w:rPr>
                <w:rFonts w:hint="eastAsia" w:ascii="宋体" w:eastAsia="黑体" w:cs="楷体_GB2312"/>
                <w:color w:val="auto"/>
                <w:sz w:val="36"/>
                <w:szCs w:val="36"/>
                <w:highlight w:val="none"/>
                <w:lang w:val="en-US" w:eastAsia="zh-CN"/>
              </w:rPr>
            </w:pPr>
            <w:r>
              <w:rPr>
                <w:rFonts w:hint="eastAsia" w:ascii="宋体" w:eastAsia="宋体" w:cs="楷体_GB2312"/>
                <w:color w:val="auto"/>
                <w:sz w:val="36"/>
                <w:szCs w:val="36"/>
                <w:highlight w:val="none"/>
                <w:lang w:val="en-US" w:eastAsia="zh-CN"/>
              </w:rPr>
              <w:t>中国医学科学院皮肤病医院全国性病麻风病防治管理信息系统升级项目</w:t>
            </w:r>
          </w:p>
        </w:tc>
      </w:tr>
      <w:tr w14:paraId="658893BD">
        <w:tblPrEx>
          <w:tblCellMar>
            <w:top w:w="0" w:type="dxa"/>
            <w:left w:w="108" w:type="dxa"/>
            <w:bottom w:w="0" w:type="dxa"/>
            <w:right w:w="108" w:type="dxa"/>
          </w:tblCellMar>
        </w:tblPrEx>
        <w:trPr>
          <w:trHeight w:val="684" w:hRule="atLeast"/>
          <w:jc w:val="center"/>
        </w:trPr>
        <w:tc>
          <w:tcPr>
            <w:tcW w:w="1921" w:type="dxa"/>
            <w:vAlign w:val="center"/>
          </w:tcPr>
          <w:p w14:paraId="62A37CD6">
            <w:pPr>
              <w:autoSpaceDE w:val="0"/>
              <w:autoSpaceDN w:val="0"/>
              <w:adjustRightInd w:val="0"/>
              <w:spacing w:after="156" w:afterLines="50"/>
              <w:rPr>
                <w:rFonts w:hint="eastAsia" w:ascii="宋体" w:cs="楷体_GB2312"/>
                <w:color w:val="auto"/>
                <w:sz w:val="36"/>
                <w:szCs w:val="36"/>
                <w:highlight w:val="none"/>
              </w:rPr>
            </w:pPr>
            <w:r>
              <w:rPr>
                <w:rFonts w:hint="eastAsia" w:ascii="宋体" w:cs="楷体_GB2312"/>
                <w:color w:val="auto"/>
                <w:sz w:val="36"/>
                <w:szCs w:val="36"/>
                <w:highlight w:val="none"/>
              </w:rPr>
              <w:t>项目编号：</w:t>
            </w:r>
          </w:p>
        </w:tc>
        <w:tc>
          <w:tcPr>
            <w:tcW w:w="7885" w:type="dxa"/>
            <w:vAlign w:val="center"/>
          </w:tcPr>
          <w:p w14:paraId="1FE73256">
            <w:pPr>
              <w:autoSpaceDE w:val="0"/>
              <w:autoSpaceDN w:val="0"/>
              <w:adjustRightInd w:val="0"/>
              <w:spacing w:after="156" w:afterLines="50"/>
              <w:rPr>
                <w:rFonts w:hint="default" w:ascii="宋体" w:eastAsia="宋体" w:cs="楷体_GB2312"/>
                <w:color w:val="auto"/>
                <w:sz w:val="36"/>
                <w:szCs w:val="36"/>
                <w:highlight w:val="none"/>
                <w:lang w:val="en-US" w:eastAsia="zh-CN"/>
              </w:rPr>
            </w:pPr>
            <w:r>
              <w:rPr>
                <w:rFonts w:hint="eastAsia" w:ascii="宋体" w:eastAsia="宋体" w:cs="楷体_GB2312"/>
                <w:color w:val="auto"/>
                <w:sz w:val="36"/>
                <w:szCs w:val="36"/>
                <w:highlight w:val="none"/>
                <w:lang w:eastAsia="zh-CN"/>
              </w:rPr>
              <w:t>1009-2</w:t>
            </w:r>
            <w:r>
              <w:rPr>
                <w:rFonts w:hint="eastAsia" w:ascii="宋体" w:eastAsia="宋体" w:cs="楷体_GB2312"/>
                <w:color w:val="auto"/>
                <w:sz w:val="36"/>
                <w:szCs w:val="36"/>
                <w:highlight w:val="none"/>
                <w:lang w:val="en-US" w:eastAsia="zh-CN"/>
              </w:rPr>
              <w:t>6</w:t>
            </w:r>
            <w:r>
              <w:rPr>
                <w:rFonts w:hint="eastAsia" w:ascii="宋体" w:eastAsia="宋体" w:cs="楷体_GB2312"/>
                <w:color w:val="auto"/>
                <w:sz w:val="36"/>
                <w:szCs w:val="36"/>
                <w:highlight w:val="none"/>
                <w:lang w:eastAsia="zh-CN"/>
              </w:rPr>
              <w:t>41HOLLY</w:t>
            </w:r>
            <w:r>
              <w:rPr>
                <w:rFonts w:hint="eastAsia" w:ascii="宋体" w:eastAsia="宋体" w:cs="楷体_GB2312"/>
                <w:color w:val="auto"/>
                <w:sz w:val="36"/>
                <w:szCs w:val="36"/>
                <w:highlight w:val="none"/>
                <w:lang w:val="en-US" w:eastAsia="zh-CN"/>
              </w:rPr>
              <w:t>89F</w:t>
            </w:r>
          </w:p>
        </w:tc>
      </w:tr>
    </w:tbl>
    <w:p w14:paraId="59563571">
      <w:pPr>
        <w:autoSpaceDE w:val="0"/>
        <w:autoSpaceDN w:val="0"/>
        <w:adjustRightInd w:val="0"/>
        <w:spacing w:line="500" w:lineRule="exact"/>
        <w:ind w:firstLine="1980" w:firstLineChars="550"/>
        <w:jc w:val="left"/>
        <w:rPr>
          <w:rFonts w:hint="eastAsia" w:ascii="华文楷体" w:eastAsia="华文楷体"/>
          <w:color w:val="auto"/>
          <w:sz w:val="36"/>
          <w:szCs w:val="36"/>
          <w:highlight w:val="none"/>
        </w:rPr>
      </w:pPr>
    </w:p>
    <w:p w14:paraId="0C89150E">
      <w:pPr>
        <w:autoSpaceDE w:val="0"/>
        <w:autoSpaceDN w:val="0"/>
        <w:adjustRightInd w:val="0"/>
        <w:rPr>
          <w:rFonts w:hint="eastAsia" w:ascii="华文楷体" w:eastAsia="华文楷体"/>
          <w:color w:val="auto"/>
          <w:sz w:val="36"/>
          <w:szCs w:val="36"/>
          <w:highlight w:val="none"/>
        </w:rPr>
      </w:pPr>
    </w:p>
    <w:p w14:paraId="609868AE">
      <w:pPr>
        <w:autoSpaceDE w:val="0"/>
        <w:autoSpaceDN w:val="0"/>
        <w:adjustRightInd w:val="0"/>
        <w:rPr>
          <w:rFonts w:hint="eastAsia" w:ascii="华文楷体" w:eastAsia="华文楷体"/>
          <w:color w:val="auto"/>
          <w:sz w:val="36"/>
          <w:szCs w:val="36"/>
          <w:highlight w:val="none"/>
        </w:rPr>
      </w:pPr>
    </w:p>
    <w:p w14:paraId="36302784">
      <w:pPr>
        <w:autoSpaceDE w:val="0"/>
        <w:autoSpaceDN w:val="0"/>
        <w:adjustRightInd w:val="0"/>
        <w:rPr>
          <w:rFonts w:hint="eastAsia" w:ascii="华文楷体" w:eastAsia="华文楷体"/>
          <w:color w:val="auto"/>
          <w:sz w:val="36"/>
          <w:szCs w:val="36"/>
          <w:highlight w:val="none"/>
        </w:rPr>
      </w:pPr>
    </w:p>
    <w:tbl>
      <w:tblPr>
        <w:tblStyle w:val="63"/>
        <w:tblW w:w="9764" w:type="dxa"/>
        <w:jc w:val="center"/>
        <w:tblLayout w:type="fixed"/>
        <w:tblCellMar>
          <w:top w:w="0" w:type="dxa"/>
          <w:left w:w="108" w:type="dxa"/>
          <w:bottom w:w="0" w:type="dxa"/>
          <w:right w:w="108" w:type="dxa"/>
        </w:tblCellMar>
      </w:tblPr>
      <w:tblGrid>
        <w:gridCol w:w="2577"/>
        <w:gridCol w:w="7187"/>
      </w:tblGrid>
      <w:tr w14:paraId="78354F4B">
        <w:tblPrEx>
          <w:tblCellMar>
            <w:top w:w="0" w:type="dxa"/>
            <w:left w:w="108" w:type="dxa"/>
            <w:bottom w:w="0" w:type="dxa"/>
            <w:right w:w="108" w:type="dxa"/>
          </w:tblCellMar>
        </w:tblPrEx>
        <w:trPr>
          <w:jc w:val="center"/>
        </w:trPr>
        <w:tc>
          <w:tcPr>
            <w:tcW w:w="2577" w:type="dxa"/>
            <w:vAlign w:val="center"/>
          </w:tcPr>
          <w:p w14:paraId="68B44FB1">
            <w:pPr>
              <w:autoSpaceDE w:val="0"/>
              <w:autoSpaceDN w:val="0"/>
              <w:adjustRightInd w:val="0"/>
              <w:spacing w:after="156" w:afterLines="50"/>
              <w:rPr>
                <w:rFonts w:hint="eastAsia" w:ascii="宋体" w:cs="楷体_GB2312"/>
                <w:color w:val="auto"/>
                <w:sz w:val="36"/>
                <w:szCs w:val="36"/>
                <w:highlight w:val="none"/>
              </w:rPr>
            </w:pPr>
            <w:r>
              <w:rPr>
                <w:rFonts w:hint="eastAsia" w:ascii="宋体" w:cs="楷体_GB2312"/>
                <w:color w:val="auto"/>
                <w:sz w:val="36"/>
                <w:szCs w:val="36"/>
                <w:highlight w:val="none"/>
              </w:rPr>
              <w:t>采购人：</w:t>
            </w:r>
          </w:p>
        </w:tc>
        <w:tc>
          <w:tcPr>
            <w:tcW w:w="7187" w:type="dxa"/>
            <w:vAlign w:val="center"/>
          </w:tcPr>
          <w:p w14:paraId="0A717466">
            <w:pPr>
              <w:autoSpaceDE w:val="0"/>
              <w:autoSpaceDN w:val="0"/>
              <w:adjustRightInd w:val="0"/>
              <w:spacing w:after="156" w:afterLines="50"/>
              <w:rPr>
                <w:rFonts w:hint="eastAsia" w:ascii="宋体" w:cs="楷体_GB2312"/>
                <w:color w:val="auto"/>
                <w:sz w:val="36"/>
                <w:szCs w:val="36"/>
                <w:highlight w:val="none"/>
              </w:rPr>
            </w:pPr>
            <w:r>
              <w:rPr>
                <w:rFonts w:hint="eastAsia" w:ascii="宋体" w:eastAsia="宋体" w:cs="楷体_GB2312"/>
                <w:color w:val="auto"/>
                <w:sz w:val="36"/>
                <w:szCs w:val="36"/>
                <w:highlight w:val="none"/>
                <w:lang w:val="en-US" w:eastAsia="zh-CN"/>
              </w:rPr>
              <w:t>中国医学科学院皮肤病医院（中国医学科学院皮肤病研究所）</w:t>
            </w:r>
          </w:p>
        </w:tc>
      </w:tr>
      <w:tr w14:paraId="6A8A1DB4">
        <w:tblPrEx>
          <w:tblCellMar>
            <w:top w:w="0" w:type="dxa"/>
            <w:left w:w="108" w:type="dxa"/>
            <w:bottom w:w="0" w:type="dxa"/>
            <w:right w:w="108" w:type="dxa"/>
          </w:tblCellMar>
        </w:tblPrEx>
        <w:trPr>
          <w:jc w:val="center"/>
        </w:trPr>
        <w:tc>
          <w:tcPr>
            <w:tcW w:w="2577" w:type="dxa"/>
            <w:vAlign w:val="center"/>
          </w:tcPr>
          <w:p w14:paraId="66FABA45">
            <w:pPr>
              <w:autoSpaceDE w:val="0"/>
              <w:autoSpaceDN w:val="0"/>
              <w:adjustRightInd w:val="0"/>
              <w:spacing w:after="156" w:afterLines="50"/>
              <w:rPr>
                <w:rFonts w:hint="eastAsia" w:ascii="宋体" w:cs="楷体_GB2312"/>
                <w:color w:val="auto"/>
                <w:sz w:val="36"/>
                <w:szCs w:val="36"/>
                <w:highlight w:val="none"/>
              </w:rPr>
            </w:pPr>
            <w:r>
              <w:rPr>
                <w:rFonts w:hint="eastAsia" w:ascii="宋体" w:cs="楷体_GB2312"/>
                <w:color w:val="auto"/>
                <w:sz w:val="36"/>
                <w:szCs w:val="36"/>
                <w:highlight w:val="none"/>
              </w:rPr>
              <w:t xml:space="preserve">采购代理机构： </w:t>
            </w:r>
          </w:p>
        </w:tc>
        <w:tc>
          <w:tcPr>
            <w:tcW w:w="7187" w:type="dxa"/>
            <w:vAlign w:val="center"/>
          </w:tcPr>
          <w:p w14:paraId="40441005">
            <w:pPr>
              <w:autoSpaceDE w:val="0"/>
              <w:autoSpaceDN w:val="0"/>
              <w:adjustRightInd w:val="0"/>
              <w:spacing w:after="156" w:afterLines="50"/>
              <w:rPr>
                <w:rFonts w:hint="eastAsia" w:ascii="宋体" w:cs="楷体_GB2312"/>
                <w:color w:val="auto"/>
                <w:sz w:val="36"/>
                <w:szCs w:val="36"/>
                <w:highlight w:val="none"/>
              </w:rPr>
            </w:pPr>
            <w:bookmarkStart w:id="3" w:name="EB994c80f0496e46c7a5848e70229c6611"/>
            <w:r>
              <w:rPr>
                <w:rFonts w:hint="eastAsia" w:ascii="宋体" w:cs="楷体_GB2312"/>
                <w:color w:val="auto"/>
                <w:sz w:val="36"/>
                <w:szCs w:val="36"/>
                <w:highlight w:val="none"/>
              </w:rPr>
              <w:t>江苏弘业国际技术工程有限公司</w:t>
            </w:r>
            <w:bookmarkEnd w:id="3"/>
          </w:p>
        </w:tc>
      </w:tr>
      <w:tr w14:paraId="5503BB39">
        <w:tblPrEx>
          <w:tblCellMar>
            <w:top w:w="0" w:type="dxa"/>
            <w:left w:w="108" w:type="dxa"/>
            <w:bottom w:w="0" w:type="dxa"/>
            <w:right w:w="108" w:type="dxa"/>
          </w:tblCellMar>
        </w:tblPrEx>
        <w:trPr>
          <w:jc w:val="center"/>
        </w:trPr>
        <w:tc>
          <w:tcPr>
            <w:tcW w:w="2577" w:type="dxa"/>
            <w:vAlign w:val="center"/>
          </w:tcPr>
          <w:p w14:paraId="7FB85373">
            <w:pPr>
              <w:autoSpaceDE w:val="0"/>
              <w:autoSpaceDN w:val="0"/>
              <w:adjustRightInd w:val="0"/>
              <w:spacing w:after="156" w:afterLines="50"/>
              <w:rPr>
                <w:rFonts w:hint="eastAsia" w:ascii="宋体" w:cs="楷体_GB2312"/>
                <w:color w:val="auto"/>
                <w:sz w:val="36"/>
                <w:szCs w:val="36"/>
                <w:highlight w:val="none"/>
              </w:rPr>
            </w:pPr>
            <w:r>
              <w:rPr>
                <w:rFonts w:hint="eastAsia" w:ascii="宋体" w:cs="楷体_GB2312"/>
                <w:color w:val="auto"/>
                <w:sz w:val="36"/>
                <w:szCs w:val="36"/>
                <w:highlight w:val="none"/>
              </w:rPr>
              <w:t>日  期：</w:t>
            </w:r>
          </w:p>
        </w:tc>
        <w:tc>
          <w:tcPr>
            <w:tcW w:w="7187" w:type="dxa"/>
            <w:vAlign w:val="center"/>
          </w:tcPr>
          <w:p w14:paraId="661863C2">
            <w:pPr>
              <w:autoSpaceDE w:val="0"/>
              <w:autoSpaceDN w:val="0"/>
              <w:adjustRightInd w:val="0"/>
              <w:spacing w:after="156" w:afterLines="50"/>
              <w:rPr>
                <w:rFonts w:hint="eastAsia" w:ascii="宋体" w:cs="楷体_GB2312"/>
                <w:color w:val="auto"/>
                <w:sz w:val="36"/>
                <w:szCs w:val="36"/>
                <w:highlight w:val="none"/>
              </w:rPr>
            </w:pPr>
            <w:bookmarkStart w:id="4" w:name="EB19ac746bdc40483fb38331d24be336f4"/>
            <w:r>
              <w:rPr>
                <w:rFonts w:hint="eastAsia" w:ascii="宋体" w:cs="楷体_GB2312"/>
                <w:color w:val="auto"/>
                <w:sz w:val="36"/>
                <w:szCs w:val="36"/>
                <w:highlight w:val="none"/>
              </w:rPr>
              <w:t>202</w:t>
            </w:r>
            <w:r>
              <w:rPr>
                <w:rFonts w:hint="eastAsia" w:ascii="宋体" w:eastAsia="宋体" w:cs="楷体_GB2312"/>
                <w:color w:val="auto"/>
                <w:sz w:val="36"/>
                <w:szCs w:val="36"/>
                <w:highlight w:val="none"/>
                <w:lang w:val="en-US" w:eastAsia="zh-CN"/>
              </w:rPr>
              <w:t>6</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9</w:t>
            </w:r>
            <w:r>
              <w:rPr>
                <w:rFonts w:hint="eastAsia" w:ascii="宋体" w:hAnsi="宋体" w:eastAsia="宋体" w:cs="宋体"/>
                <w:color w:val="auto"/>
                <w:sz w:val="36"/>
                <w:szCs w:val="36"/>
                <w:highlight w:val="none"/>
              </w:rPr>
              <w:t>月</w:t>
            </w:r>
            <w:bookmarkEnd w:id="4"/>
          </w:p>
        </w:tc>
      </w:tr>
    </w:tbl>
    <w:p w14:paraId="4B39C69B">
      <w:pPr>
        <w:spacing w:before="312" w:beforeLines="100" w:after="312" w:afterLines="100"/>
        <w:jc w:val="center"/>
        <w:outlineLvl w:val="0"/>
        <w:rPr>
          <w:rFonts w:hint="eastAsia" w:ascii="宋体" w:hAnsi="宋体" w:eastAsia="宋体" w:cs="宋体"/>
          <w:b/>
          <w:color w:val="auto"/>
          <w:sz w:val="36"/>
          <w:szCs w:val="36"/>
          <w:highlight w:val="none"/>
        </w:rPr>
      </w:pPr>
      <w:bookmarkStart w:id="5" w:name="_Toc20802"/>
    </w:p>
    <w:p w14:paraId="5E776148">
      <w:pPr>
        <w:spacing w:before="312" w:beforeLines="100" w:after="312" w:afterLines="100"/>
        <w:jc w:val="center"/>
        <w:outlineLvl w:val="0"/>
        <w:rPr>
          <w:rFonts w:ascii="宋体" w:hAnsi="Times New Roman" w:eastAsia="Times New Roman" w:cs="Times New Roman"/>
          <w:b/>
          <w:color w:val="auto"/>
          <w:sz w:val="52"/>
          <w:szCs w:val="24"/>
          <w:highlight w:val="none"/>
          <w:lang w:bidi="ar-SA"/>
        </w:rPr>
      </w:pPr>
      <w:bookmarkStart w:id="6" w:name="_Toc11796"/>
      <w:r>
        <w:rPr>
          <w:rFonts w:hint="eastAsia" w:ascii="宋体" w:hAnsi="宋体" w:eastAsia="宋体" w:cs="宋体"/>
          <w:b/>
          <w:color w:val="auto"/>
          <w:sz w:val="36"/>
          <w:szCs w:val="36"/>
          <w:highlight w:val="none"/>
        </w:rPr>
        <w:t>目    录</w:t>
      </w:r>
      <w:bookmarkEnd w:id="5"/>
      <w:bookmarkEnd w:id="6"/>
      <w:r>
        <w:rPr>
          <w:rFonts w:ascii="宋体" w:hAnsi="宋体"/>
          <w:b/>
          <w:color w:val="auto"/>
          <w:sz w:val="32"/>
          <w:szCs w:val="32"/>
          <w:highlight w:val="none"/>
        </w:rPr>
        <w:fldChar w:fldCharType="begin"/>
      </w:r>
      <w:r>
        <w:rPr>
          <w:rFonts w:ascii="宋体" w:hAnsi="宋体"/>
          <w:b/>
          <w:color w:val="auto"/>
          <w:sz w:val="32"/>
          <w:szCs w:val="32"/>
          <w:highlight w:val="none"/>
        </w:rPr>
        <w:instrText xml:space="preserve"> </w:instrText>
      </w:r>
      <w:r>
        <w:rPr>
          <w:rFonts w:hint="eastAsia" w:ascii="宋体" w:hAnsi="宋体"/>
          <w:b/>
          <w:color w:val="auto"/>
          <w:sz w:val="32"/>
          <w:szCs w:val="32"/>
          <w:highlight w:val="none"/>
        </w:rPr>
        <w:instrText xml:space="preserve">TOC \o "1-3" \h \z \u</w:instrText>
      </w:r>
      <w:r>
        <w:rPr>
          <w:rFonts w:ascii="宋体" w:hAnsi="宋体"/>
          <w:b/>
          <w:color w:val="auto"/>
          <w:sz w:val="32"/>
          <w:szCs w:val="32"/>
          <w:highlight w:val="none"/>
        </w:rPr>
        <w:instrText xml:space="preserve"> </w:instrText>
      </w:r>
      <w:r>
        <w:rPr>
          <w:rFonts w:ascii="宋体" w:hAnsi="宋体"/>
          <w:b/>
          <w:color w:val="auto"/>
          <w:sz w:val="32"/>
          <w:szCs w:val="32"/>
          <w:highlight w:val="none"/>
        </w:rPr>
        <w:fldChar w:fldCharType="separate"/>
      </w:r>
    </w:p>
    <w:p w14:paraId="081BFA8C">
      <w:pPr>
        <w:pStyle w:val="42"/>
        <w:tabs>
          <w:tab w:val="right" w:leader="dot" w:pos="8844"/>
        </w:tabs>
        <w:rPr>
          <w:color w:val="auto"/>
          <w:sz w:val="24"/>
          <w:szCs w:val="24"/>
          <w:highlight w:val="none"/>
        </w:rPr>
      </w:pPr>
      <w:r>
        <w:rPr>
          <w:rFonts w:ascii="宋体"/>
          <w:color w:val="auto"/>
          <w:sz w:val="24"/>
          <w:szCs w:val="24"/>
          <w:highlight w:val="none"/>
        </w:rPr>
        <w:fldChar w:fldCharType="begin"/>
      </w:r>
      <w:r>
        <w:rPr>
          <w:rFonts w:ascii="宋体"/>
          <w:color w:val="auto"/>
          <w:sz w:val="24"/>
          <w:szCs w:val="24"/>
          <w:highlight w:val="none"/>
        </w:rPr>
        <w:instrText xml:space="preserve"> HYPERLINK \l _Toc357 </w:instrText>
      </w:r>
      <w:r>
        <w:rPr>
          <w:rFonts w:ascii="宋体"/>
          <w:color w:val="auto"/>
          <w:sz w:val="24"/>
          <w:szCs w:val="24"/>
          <w:highlight w:val="none"/>
        </w:rPr>
        <w:fldChar w:fldCharType="separate"/>
      </w:r>
      <w:r>
        <w:rPr>
          <w:rFonts w:hint="eastAsia"/>
          <w:color w:val="auto"/>
          <w:sz w:val="24"/>
          <w:szCs w:val="24"/>
          <w:highlight w:val="none"/>
        </w:rPr>
        <w:t xml:space="preserve">第一部分  </w:t>
      </w:r>
      <w:r>
        <w:rPr>
          <w:rFonts w:hint="eastAsia"/>
          <w:color w:val="auto"/>
          <w:sz w:val="24"/>
          <w:szCs w:val="24"/>
          <w:highlight w:val="none"/>
          <w:lang w:eastAsia="zh-CN"/>
        </w:rPr>
        <w:t>竞争性磋商</w:t>
      </w:r>
      <w:r>
        <w:rPr>
          <w:rFonts w:hint="eastAsia" w:eastAsia="宋体"/>
          <w:color w:val="auto"/>
          <w:sz w:val="24"/>
          <w:szCs w:val="24"/>
          <w:highlight w:val="none"/>
          <w:lang w:eastAsia="zh-CN"/>
        </w:rPr>
        <w:t>采购</w:t>
      </w:r>
      <w:r>
        <w:rPr>
          <w:rFonts w:hint="eastAsia"/>
          <w:color w:val="auto"/>
          <w:sz w:val="24"/>
          <w:szCs w:val="24"/>
          <w:highlight w:val="none"/>
          <w:lang w:val="en-US" w:eastAsia="zh-CN"/>
        </w:rPr>
        <w:t>公告</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_Toc357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ascii="宋体"/>
          <w:color w:val="auto"/>
          <w:sz w:val="24"/>
          <w:szCs w:val="24"/>
          <w:highlight w:val="none"/>
        </w:rPr>
        <w:fldChar w:fldCharType="end"/>
      </w:r>
    </w:p>
    <w:p w14:paraId="4D488244">
      <w:pPr>
        <w:pStyle w:val="42"/>
        <w:tabs>
          <w:tab w:val="right" w:leader="dot" w:pos="8844"/>
        </w:tabs>
        <w:rPr>
          <w:color w:val="auto"/>
          <w:sz w:val="24"/>
          <w:szCs w:val="24"/>
          <w:highlight w:val="none"/>
        </w:rPr>
      </w:pPr>
      <w:r>
        <w:rPr>
          <w:rFonts w:ascii="宋体"/>
          <w:color w:val="auto"/>
          <w:sz w:val="24"/>
          <w:szCs w:val="24"/>
          <w:highlight w:val="none"/>
        </w:rPr>
        <w:fldChar w:fldCharType="begin"/>
      </w:r>
      <w:r>
        <w:rPr>
          <w:rFonts w:ascii="宋体"/>
          <w:color w:val="auto"/>
          <w:sz w:val="24"/>
          <w:szCs w:val="24"/>
          <w:highlight w:val="none"/>
        </w:rPr>
        <w:instrText xml:space="preserve"> HYPERLINK \l _Toc16948 </w:instrText>
      </w:r>
      <w:r>
        <w:rPr>
          <w:rFonts w:ascii="宋体"/>
          <w:color w:val="auto"/>
          <w:sz w:val="24"/>
          <w:szCs w:val="24"/>
          <w:highlight w:val="none"/>
        </w:rPr>
        <w:fldChar w:fldCharType="separate"/>
      </w:r>
      <w:r>
        <w:rPr>
          <w:rFonts w:hint="eastAsia"/>
          <w:color w:val="auto"/>
          <w:sz w:val="24"/>
          <w:szCs w:val="24"/>
          <w:highlight w:val="none"/>
        </w:rPr>
        <w:t>第二部分  供应商须知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_Toc16948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rFonts w:ascii="宋体"/>
          <w:color w:val="auto"/>
          <w:sz w:val="24"/>
          <w:szCs w:val="24"/>
          <w:highlight w:val="none"/>
        </w:rPr>
        <w:fldChar w:fldCharType="end"/>
      </w:r>
    </w:p>
    <w:p w14:paraId="7F95CD8E">
      <w:pPr>
        <w:pStyle w:val="42"/>
        <w:tabs>
          <w:tab w:val="right" w:leader="dot" w:pos="8844"/>
        </w:tabs>
        <w:rPr>
          <w:rFonts w:hint="eastAsia" w:eastAsia="宋体"/>
          <w:color w:val="auto"/>
          <w:sz w:val="24"/>
          <w:szCs w:val="24"/>
          <w:highlight w:val="none"/>
          <w:lang w:val="en-US" w:eastAsia="zh-CN"/>
        </w:rPr>
      </w:pPr>
      <w:r>
        <w:rPr>
          <w:rFonts w:ascii="宋体"/>
          <w:color w:val="auto"/>
          <w:sz w:val="24"/>
          <w:szCs w:val="24"/>
          <w:highlight w:val="none"/>
        </w:rPr>
        <w:fldChar w:fldCharType="begin"/>
      </w:r>
      <w:r>
        <w:rPr>
          <w:rFonts w:ascii="宋体"/>
          <w:color w:val="auto"/>
          <w:sz w:val="24"/>
          <w:szCs w:val="24"/>
          <w:highlight w:val="none"/>
        </w:rPr>
        <w:instrText xml:space="preserve"> HYPERLINK \l _Toc11265 </w:instrText>
      </w:r>
      <w:r>
        <w:rPr>
          <w:rFonts w:ascii="宋体"/>
          <w:color w:val="auto"/>
          <w:sz w:val="24"/>
          <w:szCs w:val="24"/>
          <w:highlight w:val="none"/>
        </w:rPr>
        <w:fldChar w:fldCharType="separate"/>
      </w:r>
      <w:r>
        <w:rPr>
          <w:rFonts w:hint="eastAsia"/>
          <w:color w:val="auto"/>
          <w:sz w:val="24"/>
          <w:szCs w:val="24"/>
          <w:highlight w:val="none"/>
        </w:rPr>
        <w:t xml:space="preserve">第三部分 </w:t>
      </w:r>
      <w:r>
        <w:rPr>
          <w:rFonts w:hint="eastAsia"/>
          <w:color w:val="auto"/>
          <w:sz w:val="24"/>
          <w:szCs w:val="24"/>
          <w:highlight w:val="none"/>
          <w:lang w:eastAsia="zh-CN"/>
        </w:rPr>
        <w:t>评审办法</w:t>
      </w:r>
      <w:r>
        <w:rPr>
          <w:color w:val="auto"/>
          <w:sz w:val="24"/>
          <w:szCs w:val="24"/>
          <w:highlight w:val="none"/>
        </w:rPr>
        <w:tab/>
      </w:r>
      <w:r>
        <w:rPr>
          <w:rFonts w:hint="eastAsia" w:eastAsia="宋体"/>
          <w:color w:val="auto"/>
          <w:sz w:val="24"/>
          <w:szCs w:val="24"/>
          <w:highlight w:val="none"/>
          <w:lang w:val="en-US" w:eastAsia="zh-CN"/>
        </w:rPr>
        <w:t>1</w:t>
      </w:r>
      <w:r>
        <w:rPr>
          <w:rFonts w:ascii="宋体"/>
          <w:color w:val="auto"/>
          <w:sz w:val="24"/>
          <w:szCs w:val="24"/>
          <w:highlight w:val="none"/>
        </w:rPr>
        <w:fldChar w:fldCharType="end"/>
      </w:r>
      <w:r>
        <w:rPr>
          <w:rFonts w:hint="eastAsia" w:ascii="宋体" w:eastAsia="宋体"/>
          <w:color w:val="auto"/>
          <w:sz w:val="24"/>
          <w:szCs w:val="24"/>
          <w:highlight w:val="none"/>
          <w:lang w:val="en-US" w:eastAsia="zh-CN"/>
        </w:rPr>
        <w:t>8</w:t>
      </w:r>
    </w:p>
    <w:p w14:paraId="0849E2BB">
      <w:pPr>
        <w:pStyle w:val="42"/>
        <w:tabs>
          <w:tab w:val="right" w:leader="dot" w:pos="8844"/>
        </w:tabs>
        <w:rPr>
          <w:color w:val="auto"/>
          <w:sz w:val="24"/>
          <w:szCs w:val="24"/>
          <w:highlight w:val="none"/>
        </w:rPr>
      </w:pPr>
      <w:r>
        <w:rPr>
          <w:rFonts w:ascii="宋体"/>
          <w:color w:val="auto"/>
          <w:sz w:val="24"/>
          <w:szCs w:val="24"/>
          <w:highlight w:val="none"/>
        </w:rPr>
        <w:fldChar w:fldCharType="begin"/>
      </w:r>
      <w:r>
        <w:rPr>
          <w:rFonts w:ascii="宋体"/>
          <w:color w:val="auto"/>
          <w:sz w:val="24"/>
          <w:szCs w:val="24"/>
          <w:highlight w:val="none"/>
        </w:rPr>
        <w:instrText xml:space="preserve"> HYPERLINK \l _Toc640 </w:instrText>
      </w:r>
      <w:r>
        <w:rPr>
          <w:rFonts w:ascii="宋体"/>
          <w:color w:val="auto"/>
          <w:sz w:val="24"/>
          <w:szCs w:val="24"/>
          <w:highlight w:val="none"/>
        </w:rPr>
        <w:fldChar w:fldCharType="separate"/>
      </w:r>
      <w:r>
        <w:rPr>
          <w:rFonts w:hint="eastAsia"/>
          <w:color w:val="auto"/>
          <w:sz w:val="24"/>
          <w:szCs w:val="24"/>
          <w:highlight w:val="none"/>
          <w:lang w:val="zh-CN"/>
        </w:rPr>
        <w:t>第</w:t>
      </w:r>
      <w:r>
        <w:rPr>
          <w:rFonts w:hint="eastAsia"/>
          <w:color w:val="auto"/>
          <w:sz w:val="24"/>
          <w:szCs w:val="24"/>
          <w:highlight w:val="none"/>
          <w:lang w:val="en-US" w:eastAsia="zh-CN"/>
        </w:rPr>
        <w:t>四部分</w:t>
      </w:r>
      <w:r>
        <w:rPr>
          <w:rFonts w:hint="eastAsia"/>
          <w:color w:val="auto"/>
          <w:sz w:val="24"/>
          <w:szCs w:val="24"/>
          <w:highlight w:val="none"/>
          <w:lang w:val="zh-CN"/>
        </w:rPr>
        <w:t xml:space="preserve"> </w:t>
      </w:r>
      <w:r>
        <w:rPr>
          <w:rFonts w:hint="eastAsia"/>
          <w:color w:val="auto"/>
          <w:sz w:val="24"/>
          <w:szCs w:val="24"/>
          <w:highlight w:val="none"/>
          <w:lang w:val="en-US" w:eastAsia="zh-CN"/>
        </w:rPr>
        <w:t>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_Toc640 \h </w:instrText>
      </w:r>
      <w:r>
        <w:rPr>
          <w:color w:val="auto"/>
          <w:sz w:val="24"/>
          <w:szCs w:val="24"/>
          <w:highlight w:val="none"/>
        </w:rPr>
        <w:fldChar w:fldCharType="separate"/>
      </w:r>
      <w:r>
        <w:rPr>
          <w:color w:val="auto"/>
          <w:sz w:val="24"/>
          <w:szCs w:val="24"/>
          <w:highlight w:val="none"/>
        </w:rPr>
        <w:t>22</w:t>
      </w:r>
      <w:r>
        <w:rPr>
          <w:color w:val="auto"/>
          <w:sz w:val="24"/>
          <w:szCs w:val="24"/>
          <w:highlight w:val="none"/>
        </w:rPr>
        <w:fldChar w:fldCharType="end"/>
      </w:r>
      <w:r>
        <w:rPr>
          <w:rFonts w:ascii="宋体"/>
          <w:color w:val="auto"/>
          <w:sz w:val="24"/>
          <w:szCs w:val="24"/>
          <w:highlight w:val="none"/>
        </w:rPr>
        <w:fldChar w:fldCharType="end"/>
      </w:r>
    </w:p>
    <w:p w14:paraId="62C781FC">
      <w:pPr>
        <w:pStyle w:val="42"/>
        <w:tabs>
          <w:tab w:val="right" w:leader="dot" w:pos="8844"/>
        </w:tabs>
        <w:rPr>
          <w:rFonts w:hint="eastAsia" w:eastAsia="宋体"/>
          <w:color w:val="auto"/>
          <w:sz w:val="24"/>
          <w:szCs w:val="24"/>
          <w:highlight w:val="none"/>
          <w:lang w:val="en-US" w:eastAsia="zh-CN"/>
        </w:rPr>
      </w:pPr>
      <w:r>
        <w:rPr>
          <w:rFonts w:ascii="宋体"/>
          <w:color w:val="auto"/>
          <w:sz w:val="24"/>
          <w:szCs w:val="24"/>
          <w:highlight w:val="none"/>
        </w:rPr>
        <w:fldChar w:fldCharType="begin"/>
      </w:r>
      <w:r>
        <w:rPr>
          <w:rFonts w:ascii="宋体"/>
          <w:color w:val="auto"/>
          <w:sz w:val="24"/>
          <w:szCs w:val="24"/>
          <w:highlight w:val="none"/>
        </w:rPr>
        <w:instrText xml:space="preserve"> HYPERLINK \l _Toc20896 </w:instrText>
      </w:r>
      <w:r>
        <w:rPr>
          <w:rFonts w:ascii="宋体"/>
          <w:color w:val="auto"/>
          <w:sz w:val="24"/>
          <w:szCs w:val="24"/>
          <w:highlight w:val="none"/>
        </w:rPr>
        <w:fldChar w:fldCharType="separate"/>
      </w:r>
      <w:r>
        <w:rPr>
          <w:rFonts w:hint="eastAsia"/>
          <w:color w:val="auto"/>
          <w:sz w:val="24"/>
          <w:szCs w:val="24"/>
          <w:highlight w:val="none"/>
          <w:lang w:val="zh-CN"/>
        </w:rPr>
        <w:t>第五部分</w:t>
      </w:r>
      <w:r>
        <w:rPr>
          <w:rFonts w:hint="eastAsia"/>
          <w:color w:val="auto"/>
          <w:sz w:val="24"/>
          <w:szCs w:val="24"/>
          <w:highlight w:val="none"/>
          <w:lang w:val="en-US" w:eastAsia="zh-CN"/>
        </w:rPr>
        <w:t xml:space="preserve"> </w:t>
      </w:r>
      <w:r>
        <w:rPr>
          <w:rFonts w:hint="eastAsia"/>
          <w:color w:val="auto"/>
          <w:sz w:val="24"/>
          <w:szCs w:val="24"/>
          <w:highlight w:val="none"/>
          <w:lang w:val="zh-CN"/>
        </w:rPr>
        <w:t>合同条款及格式</w:t>
      </w:r>
      <w:r>
        <w:rPr>
          <w:color w:val="auto"/>
          <w:sz w:val="24"/>
          <w:szCs w:val="24"/>
          <w:highlight w:val="none"/>
        </w:rPr>
        <w:tab/>
      </w:r>
      <w:r>
        <w:rPr>
          <w:rFonts w:hint="eastAsia" w:eastAsia="宋体"/>
          <w:color w:val="auto"/>
          <w:sz w:val="24"/>
          <w:szCs w:val="24"/>
          <w:highlight w:val="none"/>
          <w:lang w:val="en-US" w:eastAsia="zh-CN"/>
        </w:rPr>
        <w:t>4</w:t>
      </w:r>
      <w:r>
        <w:rPr>
          <w:rFonts w:ascii="宋体"/>
          <w:color w:val="auto"/>
          <w:sz w:val="24"/>
          <w:szCs w:val="24"/>
          <w:highlight w:val="none"/>
        </w:rPr>
        <w:fldChar w:fldCharType="end"/>
      </w:r>
      <w:r>
        <w:rPr>
          <w:rFonts w:hint="eastAsia"/>
          <w:color w:val="auto"/>
          <w:sz w:val="24"/>
          <w:szCs w:val="24"/>
          <w:highlight w:val="none"/>
          <w:lang w:val="en-US" w:eastAsia="zh-CN"/>
        </w:rPr>
        <w:t>6</w:t>
      </w:r>
    </w:p>
    <w:p w14:paraId="44A4DB81">
      <w:pPr>
        <w:pStyle w:val="42"/>
        <w:tabs>
          <w:tab w:val="right" w:leader="dot" w:pos="8844"/>
        </w:tabs>
        <w:rPr>
          <w:rFonts w:hint="default" w:eastAsia="宋体"/>
          <w:color w:val="auto"/>
          <w:sz w:val="24"/>
          <w:szCs w:val="24"/>
          <w:highlight w:val="none"/>
          <w:lang w:val="en-US" w:eastAsia="zh-CN"/>
        </w:rPr>
      </w:pPr>
      <w:r>
        <w:rPr>
          <w:rFonts w:ascii="宋体"/>
          <w:color w:val="auto"/>
          <w:sz w:val="24"/>
          <w:szCs w:val="24"/>
          <w:highlight w:val="none"/>
        </w:rPr>
        <w:fldChar w:fldCharType="begin"/>
      </w:r>
      <w:r>
        <w:rPr>
          <w:rFonts w:ascii="宋体"/>
          <w:color w:val="auto"/>
          <w:sz w:val="24"/>
          <w:szCs w:val="24"/>
          <w:highlight w:val="none"/>
        </w:rPr>
        <w:instrText xml:space="preserve"> HYPERLINK \l _Toc11785 </w:instrText>
      </w:r>
      <w:r>
        <w:rPr>
          <w:rFonts w:ascii="宋体"/>
          <w:color w:val="auto"/>
          <w:sz w:val="24"/>
          <w:szCs w:val="24"/>
          <w:highlight w:val="none"/>
        </w:rPr>
        <w:fldChar w:fldCharType="separate"/>
      </w:r>
      <w:r>
        <w:rPr>
          <w:rFonts w:hint="eastAsia" w:ascii="宋体" w:hAnsi="宋体"/>
          <w:color w:val="auto"/>
          <w:sz w:val="24"/>
          <w:szCs w:val="24"/>
          <w:highlight w:val="none"/>
          <w:lang w:val="zh-CN"/>
        </w:rPr>
        <w:t>第</w:t>
      </w:r>
      <w:r>
        <w:rPr>
          <w:rFonts w:hint="eastAsia" w:ascii="宋体" w:hAnsi="宋体"/>
          <w:color w:val="auto"/>
          <w:sz w:val="24"/>
          <w:szCs w:val="24"/>
          <w:highlight w:val="none"/>
          <w:lang w:val="en-US" w:eastAsia="zh-CN"/>
        </w:rPr>
        <w:t>六</w:t>
      </w:r>
      <w:r>
        <w:rPr>
          <w:rFonts w:hint="eastAsia" w:ascii="宋体" w:hAnsi="宋体"/>
          <w:color w:val="auto"/>
          <w:sz w:val="24"/>
          <w:szCs w:val="24"/>
          <w:highlight w:val="none"/>
          <w:lang w:val="zh-CN"/>
        </w:rPr>
        <w:t>部分</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lang w:val="zh-CN"/>
        </w:rPr>
        <w:t>响应文件格式</w:t>
      </w:r>
      <w:r>
        <w:rPr>
          <w:color w:val="auto"/>
          <w:sz w:val="24"/>
          <w:szCs w:val="24"/>
          <w:highlight w:val="none"/>
        </w:rPr>
        <w:tab/>
      </w:r>
      <w:r>
        <w:rPr>
          <w:rFonts w:hint="eastAsia"/>
          <w:color w:val="auto"/>
          <w:sz w:val="24"/>
          <w:szCs w:val="24"/>
          <w:highlight w:val="none"/>
          <w:lang w:val="en-US" w:eastAsia="zh-CN"/>
        </w:rPr>
        <w:t>5</w:t>
      </w:r>
      <w:r>
        <w:rPr>
          <w:rFonts w:ascii="宋体"/>
          <w:color w:val="auto"/>
          <w:sz w:val="24"/>
          <w:szCs w:val="24"/>
          <w:highlight w:val="none"/>
        </w:rPr>
        <w:fldChar w:fldCharType="end"/>
      </w:r>
      <w:r>
        <w:rPr>
          <w:rFonts w:hint="eastAsia"/>
          <w:color w:val="auto"/>
          <w:sz w:val="24"/>
          <w:szCs w:val="24"/>
          <w:highlight w:val="none"/>
          <w:lang w:val="en-US" w:eastAsia="zh-CN"/>
        </w:rPr>
        <w:t>8</w:t>
      </w:r>
    </w:p>
    <w:p w14:paraId="253DDC0E">
      <w:pPr>
        <w:spacing w:before="312" w:beforeLines="100" w:after="312" w:afterLines="100"/>
        <w:jc w:val="center"/>
        <w:outlineLvl w:val="0"/>
        <w:rPr>
          <w:rFonts w:hint="eastAsia" w:ascii="方正大标宋简体" w:eastAsia="方正大标宋简体"/>
          <w:bCs/>
          <w:color w:val="auto"/>
          <w:sz w:val="36"/>
          <w:szCs w:val="36"/>
          <w:highlight w:val="none"/>
        </w:rPr>
        <w:sectPr>
          <w:headerReference r:id="rId3" w:type="default"/>
          <w:footerReference r:id="rId4" w:type="default"/>
          <w:footerReference r:id="rId5" w:type="even"/>
          <w:pgSz w:w="11906" w:h="16838"/>
          <w:pgMar w:top="1440" w:right="1474" w:bottom="1440" w:left="1588" w:header="851" w:footer="992" w:gutter="0"/>
          <w:cols w:space="720" w:num="1"/>
          <w:docGrid w:type="lines" w:linePitch="312" w:charSpace="0"/>
        </w:sectPr>
      </w:pPr>
      <w:r>
        <w:rPr>
          <w:rFonts w:ascii="宋体"/>
          <w:b/>
          <w:color w:val="auto"/>
          <w:sz w:val="52"/>
          <w:highlight w:val="none"/>
        </w:rPr>
        <w:fldChar w:fldCharType="end"/>
      </w:r>
    </w:p>
    <w:p w14:paraId="199A7A35">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highlight w:val="none"/>
          <w:lang w:eastAsia="zh-CN"/>
        </w:rPr>
      </w:pPr>
      <w:bookmarkStart w:id="7" w:name="_Toc357"/>
      <w:r>
        <w:rPr>
          <w:rFonts w:hint="eastAsia"/>
          <w:color w:val="auto"/>
          <w:highlight w:val="none"/>
        </w:rPr>
        <w:t xml:space="preserve">第一部分  </w:t>
      </w:r>
      <w:r>
        <w:rPr>
          <w:rFonts w:hint="eastAsia"/>
          <w:color w:val="auto"/>
          <w:highlight w:val="none"/>
          <w:lang w:eastAsia="zh-CN"/>
        </w:rPr>
        <w:t>竞争性磋商采购</w:t>
      </w:r>
      <w:r>
        <w:rPr>
          <w:rFonts w:hint="eastAsia"/>
          <w:color w:val="auto"/>
          <w:highlight w:val="none"/>
          <w:lang w:val="en-US" w:eastAsia="zh-CN"/>
        </w:rPr>
        <w:t>公告</w:t>
      </w:r>
      <w:bookmarkEnd w:id="7"/>
    </w:p>
    <w:p w14:paraId="14100FAA">
      <w:pPr>
        <w:pStyle w:val="166"/>
        <w:tabs>
          <w:tab w:val="left" w:pos="1134"/>
        </w:tabs>
        <w:spacing w:line="312" w:lineRule="auto"/>
        <w:ind w:firstLine="480" w:firstLineChars="200"/>
        <w:rPr>
          <w:rFonts w:hint="eastAsia" w:ascii="宋体" w:hAnsi="宋体" w:eastAsia="宋体" w:cs="宋体"/>
          <w:color w:val="auto"/>
          <w:highlight w:val="none"/>
          <w:u w:val="single"/>
          <w:lang w:val="en-US" w:eastAsia="zh-CN"/>
        </w:rPr>
      </w:pPr>
      <w:r>
        <w:rPr>
          <w:rFonts w:hint="eastAsia" w:ascii="宋体" w:hAnsi="宋体" w:eastAsia="宋体" w:cs="宋体"/>
          <w:color w:val="auto"/>
          <w:highlight w:val="none"/>
          <w:u w:val="single"/>
          <w:lang w:val="en-US" w:eastAsia="zh-CN"/>
        </w:rPr>
        <w:t>中国医学科学院皮肤病医院全国性病麻风病防治管理信息系统升级项目的潜在供应商应在</w:t>
      </w:r>
      <w:r>
        <w:rPr>
          <w:rFonts w:hint="eastAsia" w:ascii="宋体" w:hAnsi="宋体" w:eastAsia="宋体" w:cs="宋体"/>
          <w:color w:val="auto"/>
          <w:sz w:val="24"/>
          <w:szCs w:val="24"/>
          <w:highlight w:val="none"/>
          <w:u w:val="single"/>
        </w:rPr>
        <w:t>江苏弘业国际技术工程有限公司获取</w:t>
      </w:r>
      <w:r>
        <w:rPr>
          <w:rFonts w:hint="eastAsia" w:ascii="宋体" w:hAnsi="宋体" w:eastAsia="宋体" w:cs="宋体"/>
          <w:color w:val="auto"/>
          <w:sz w:val="24"/>
          <w:szCs w:val="24"/>
          <w:highlight w:val="none"/>
          <w:u w:val="single"/>
          <w:lang w:val="en-US" w:eastAsia="zh-CN"/>
        </w:rPr>
        <w:t>磋商</w:t>
      </w:r>
      <w:r>
        <w:rPr>
          <w:rFonts w:hint="eastAsia" w:ascii="宋体" w:hAnsi="宋体" w:eastAsia="宋体" w:cs="宋体"/>
          <w:color w:val="auto"/>
          <w:sz w:val="24"/>
          <w:szCs w:val="24"/>
          <w:highlight w:val="none"/>
          <w:u w:val="single"/>
        </w:rPr>
        <w:t>文件</w:t>
      </w:r>
      <w:r>
        <w:rPr>
          <w:rFonts w:hint="eastAsia" w:ascii="宋体" w:hAnsi="宋体" w:eastAsia="宋体" w:cs="宋体"/>
          <w:color w:val="auto"/>
          <w:highlight w:val="none"/>
          <w:u w:val="single"/>
          <w:lang w:val="en-US" w:eastAsia="zh-CN"/>
        </w:rPr>
        <w:t>，并于2026年9月14日9点30分（北京时间）前递交响应文件。</w:t>
      </w:r>
    </w:p>
    <w:p w14:paraId="65495570">
      <w:pPr>
        <w:pStyle w:val="166"/>
        <w:tabs>
          <w:tab w:val="left" w:pos="1134"/>
        </w:tabs>
        <w:spacing w:line="312" w:lineRule="auto"/>
        <w:ind w:firstLine="240" w:firstLineChars="100"/>
        <w:rPr>
          <w:rFonts w:hint="eastAsia" w:ascii="宋体" w:hAnsi="宋体" w:eastAsia="宋体" w:cs="宋体"/>
          <w:color w:val="auto"/>
          <w:highlight w:val="none"/>
          <w:lang w:val="en-US" w:eastAsia="zh-CN"/>
        </w:rPr>
      </w:pPr>
    </w:p>
    <w:p w14:paraId="29BE1C12">
      <w:pPr>
        <w:pStyle w:val="166"/>
        <w:tabs>
          <w:tab w:val="left" w:pos="1134"/>
        </w:tabs>
        <w:spacing w:line="312" w:lineRule="auto"/>
        <w:ind w:firstLine="240" w:firstLineChars="100"/>
        <w:rPr>
          <w:color w:val="auto"/>
          <w:highlight w:val="none"/>
        </w:rPr>
      </w:pPr>
      <w:r>
        <w:rPr>
          <w:rFonts w:hint="eastAsia" w:hAnsi="宋体"/>
          <w:color w:val="auto"/>
          <w:highlight w:val="none"/>
          <w:lang w:val="en-US" w:eastAsia="zh-CN"/>
        </w:rPr>
        <w:t>一、项目基本情况</w:t>
      </w:r>
    </w:p>
    <w:p w14:paraId="257F0C41">
      <w:pPr>
        <w:pStyle w:val="166"/>
        <w:keepNext w:val="0"/>
        <w:keepLines w:val="0"/>
        <w:pageBreakBefore w:val="0"/>
        <w:widowControl w:val="0"/>
        <w:tabs>
          <w:tab w:val="left" w:pos="1134"/>
        </w:tabs>
        <w:kinsoku/>
        <w:wordWrap/>
        <w:overflowPunct/>
        <w:topLinePunct w:val="0"/>
        <w:autoSpaceDE/>
        <w:autoSpaceDN/>
        <w:bidi w:val="0"/>
        <w:adjustRightInd/>
        <w:snapToGrid/>
        <w:spacing w:line="360" w:lineRule="auto"/>
        <w:ind w:left="720" w:leftChars="300" w:firstLine="0" w:firstLineChars="0"/>
        <w:textAlignment w:val="auto"/>
        <w:rPr>
          <w:rFonts w:hint="default" w:hAnsi="宋体"/>
          <w:color w:val="auto"/>
          <w:highlight w:val="none"/>
          <w:lang w:val="en-US"/>
        </w:rPr>
      </w:pPr>
      <w:r>
        <w:rPr>
          <w:rFonts w:hint="eastAsia" w:hAnsi="宋体"/>
          <w:color w:val="auto"/>
          <w:highlight w:val="none"/>
          <w:lang w:val="en-US" w:eastAsia="zh-CN"/>
        </w:rPr>
        <w:t>项目编号</w:t>
      </w:r>
      <w:r>
        <w:rPr>
          <w:rFonts w:hint="eastAsia" w:ascii="宋体" w:hAnsi="宋体" w:eastAsia="宋体" w:cs="宋体"/>
          <w:color w:val="auto"/>
          <w:szCs w:val="24"/>
          <w:highlight w:val="none"/>
          <w:lang w:val="en-US" w:eastAsia="zh-CN"/>
        </w:rPr>
        <w:t>：1009-2641HOLLY89F</w:t>
      </w:r>
    </w:p>
    <w:p w14:paraId="35E9F530">
      <w:pPr>
        <w:pStyle w:val="24"/>
        <w:spacing w:line="360" w:lineRule="auto"/>
        <w:ind w:left="720" w:leftChars="300" w:firstLine="0" w:firstLineChars="0"/>
        <w:jc w:val="left"/>
        <w:rPr>
          <w:rFonts w:hint="default" w:ascii="宋体" w:hAnsi="宋体" w:cs="宋体"/>
          <w:color w:val="auto"/>
          <w:sz w:val="24"/>
          <w:highlight w:val="none"/>
          <w:lang w:val="en-US" w:eastAsia="zh-CN"/>
        </w:rPr>
      </w:pPr>
      <w:r>
        <w:rPr>
          <w:rFonts w:hint="eastAsia" w:ascii="宋体" w:hAnsi="宋体" w:eastAsia="宋体" w:cs="宋体"/>
          <w:color w:val="auto"/>
          <w:sz w:val="24"/>
          <w:highlight w:val="none"/>
          <w:lang w:val="en-US" w:eastAsia="zh-CN"/>
        </w:rPr>
        <w:t>项目名称</w:t>
      </w:r>
      <w:r>
        <w:rPr>
          <w:rFonts w:hAnsi="宋体"/>
          <w:color w:val="auto"/>
          <w:sz w:val="24"/>
          <w:highlight w:val="none"/>
        </w:rPr>
        <w:t>：</w:t>
      </w:r>
      <w:r>
        <w:rPr>
          <w:rFonts w:hint="eastAsia" w:ascii="宋体" w:hAnsi="宋体" w:eastAsia="宋体" w:cs="宋体"/>
          <w:color w:val="auto"/>
          <w:sz w:val="24"/>
          <w:highlight w:val="none"/>
          <w:lang w:eastAsia="zh-CN"/>
        </w:rPr>
        <w:t>中国医学科学院皮肤病医院全国性病麻风病防治管理信息系统升级项目</w:t>
      </w:r>
    </w:p>
    <w:p w14:paraId="4A9C4BB1">
      <w:pPr>
        <w:pStyle w:val="24"/>
        <w:spacing w:line="360" w:lineRule="auto"/>
        <w:ind w:left="720" w:leftChars="3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项目预算：</w:t>
      </w:r>
      <w:r>
        <w:rPr>
          <w:rFonts w:hint="eastAsia" w:ascii="宋体" w:hAnsi="宋体" w:eastAsia="宋体" w:cs="宋体"/>
          <w:b w:val="0"/>
          <w:bCs w:val="0"/>
          <w:i w:val="0"/>
          <w:caps w:val="0"/>
          <w:color w:val="auto"/>
          <w:spacing w:val="0"/>
          <w:kern w:val="0"/>
          <w:sz w:val="24"/>
          <w:szCs w:val="24"/>
          <w:highlight w:val="none"/>
          <w:shd w:val="clear"/>
          <w:lang w:val="en-US" w:eastAsia="zh-CN"/>
        </w:rPr>
        <w:t>85万元</w:t>
      </w:r>
    </w:p>
    <w:p w14:paraId="01B9862E">
      <w:pPr>
        <w:pStyle w:val="24"/>
        <w:spacing w:line="360" w:lineRule="auto"/>
        <w:ind w:left="720" w:leftChars="300" w:firstLine="0" w:firstLineChars="0"/>
        <w:jc w:val="left"/>
        <w:rPr>
          <w:rFonts w:hint="eastAsia" w:ascii="宋体" w:hAnsi="宋体" w:eastAsia="宋体" w:cs="宋体"/>
          <w:b w:val="0"/>
          <w:bCs w:val="0"/>
          <w:i w:val="0"/>
          <w:caps w:val="0"/>
          <w:color w:val="auto"/>
          <w:spacing w:val="0"/>
          <w:kern w:val="0"/>
          <w:sz w:val="24"/>
          <w:szCs w:val="24"/>
          <w:highlight w:val="none"/>
          <w:shd w:val="clear"/>
          <w:lang w:val="en-US" w:eastAsia="zh-CN"/>
        </w:rPr>
      </w:pPr>
      <w:r>
        <w:rPr>
          <w:rFonts w:hint="eastAsia" w:ascii="宋体" w:hAnsi="宋体" w:eastAsia="宋体" w:cs="宋体"/>
          <w:color w:val="auto"/>
          <w:sz w:val="24"/>
          <w:highlight w:val="none"/>
          <w:lang w:val="en-US" w:eastAsia="zh-CN"/>
        </w:rPr>
        <w:t>最高限价：85</w:t>
      </w:r>
      <w:r>
        <w:rPr>
          <w:rFonts w:hint="eastAsia" w:ascii="宋体" w:hAnsi="宋体" w:eastAsia="宋体" w:cs="宋体"/>
          <w:b w:val="0"/>
          <w:bCs w:val="0"/>
          <w:i w:val="0"/>
          <w:caps w:val="0"/>
          <w:color w:val="auto"/>
          <w:spacing w:val="0"/>
          <w:kern w:val="0"/>
          <w:sz w:val="24"/>
          <w:szCs w:val="24"/>
          <w:highlight w:val="none"/>
          <w:shd w:val="clear"/>
          <w:lang w:val="en-US" w:eastAsia="zh-CN"/>
        </w:rPr>
        <w:t>万元</w:t>
      </w:r>
    </w:p>
    <w:p w14:paraId="061359FF">
      <w:pPr>
        <w:pStyle w:val="166"/>
        <w:keepNext w:val="0"/>
        <w:keepLines w:val="0"/>
        <w:pageBreakBefore w:val="0"/>
        <w:widowControl w:val="0"/>
        <w:tabs>
          <w:tab w:val="left" w:pos="1134"/>
        </w:tabs>
        <w:kinsoku/>
        <w:wordWrap/>
        <w:overflowPunct/>
        <w:topLinePunct w:val="0"/>
        <w:autoSpaceDE/>
        <w:autoSpaceDN/>
        <w:bidi w:val="0"/>
        <w:adjustRightInd/>
        <w:snapToGrid/>
        <w:spacing w:line="360" w:lineRule="auto"/>
        <w:ind w:left="720" w:leftChars="300" w:firstLine="0" w:firstLineChars="0"/>
        <w:textAlignment w:val="auto"/>
        <w:rPr>
          <w:rFonts w:hint="eastAsia" w:hAnsi="宋体"/>
          <w:color w:val="auto"/>
          <w:highlight w:val="none"/>
          <w:lang w:val="en-US" w:eastAsia="zh-CN"/>
        </w:rPr>
      </w:pPr>
      <w:r>
        <w:rPr>
          <w:rFonts w:hint="eastAsia" w:hAnsi="宋体"/>
          <w:color w:val="auto"/>
          <w:highlight w:val="none"/>
          <w:lang w:val="en-US" w:eastAsia="zh-CN"/>
        </w:rPr>
        <w:t>采购方式：竞争性磋商</w:t>
      </w:r>
    </w:p>
    <w:p w14:paraId="2DFA9A88">
      <w:pPr>
        <w:pStyle w:val="166"/>
        <w:keepNext w:val="0"/>
        <w:keepLines w:val="0"/>
        <w:pageBreakBefore w:val="0"/>
        <w:widowControl w:val="0"/>
        <w:tabs>
          <w:tab w:val="left" w:pos="1134"/>
        </w:tabs>
        <w:kinsoku/>
        <w:wordWrap/>
        <w:overflowPunct/>
        <w:topLinePunct w:val="0"/>
        <w:autoSpaceDE/>
        <w:autoSpaceDN/>
        <w:bidi w:val="0"/>
        <w:adjustRightInd/>
        <w:snapToGrid/>
        <w:spacing w:line="360" w:lineRule="auto"/>
        <w:ind w:left="720" w:leftChars="300" w:firstLine="0" w:firstLineChars="0"/>
        <w:textAlignment w:val="auto"/>
        <w:rPr>
          <w:rFonts w:hint="eastAsia"/>
          <w:color w:val="auto"/>
          <w:sz w:val="24"/>
          <w:highlight w:val="none"/>
        </w:rPr>
      </w:pPr>
      <w:r>
        <w:rPr>
          <w:rFonts w:hint="eastAsia" w:ascii="宋体" w:hAnsi="宋体" w:eastAsia="宋体" w:cs="宋体"/>
          <w:color w:val="auto"/>
          <w:kern w:val="0"/>
          <w:sz w:val="24"/>
          <w:szCs w:val="24"/>
          <w:highlight w:val="none"/>
          <w:lang w:val="en-US" w:eastAsia="zh-CN"/>
        </w:rPr>
        <w:t>服务期限：合同签署后90天内完成所有工作。服务维保期限为2年</w:t>
      </w:r>
    </w:p>
    <w:p w14:paraId="560172D6">
      <w:pPr>
        <w:pStyle w:val="166"/>
        <w:keepNext w:val="0"/>
        <w:keepLines w:val="0"/>
        <w:pageBreakBefore w:val="0"/>
        <w:widowControl w:val="0"/>
        <w:tabs>
          <w:tab w:val="left" w:pos="1134"/>
        </w:tabs>
        <w:kinsoku/>
        <w:wordWrap/>
        <w:overflowPunct/>
        <w:topLinePunct w:val="0"/>
        <w:autoSpaceDE/>
        <w:autoSpaceDN/>
        <w:bidi w:val="0"/>
        <w:adjustRightInd/>
        <w:snapToGrid/>
        <w:spacing w:line="360" w:lineRule="auto"/>
        <w:ind w:left="720" w:leftChars="300" w:firstLine="0" w:firstLineChars="0"/>
        <w:textAlignment w:val="auto"/>
        <w:rPr>
          <w:rFonts w:hint="eastAsia" w:hAnsi="宋体" w:eastAsia="宋体"/>
          <w:color w:val="auto"/>
          <w:highlight w:val="none"/>
          <w:lang w:val="en-US" w:eastAsia="zh-CN"/>
        </w:rPr>
      </w:pPr>
      <w:r>
        <w:rPr>
          <w:rFonts w:hint="eastAsia" w:hAnsi="宋体"/>
          <w:color w:val="auto"/>
          <w:highlight w:val="none"/>
          <w:lang w:val="en-US" w:eastAsia="zh-CN"/>
        </w:rPr>
        <w:t>采购需求：中国医学科学院皮肤病医院全国性病麻风病防治管理信息系统升级项目，其中含软件开发、部署运营及2年售后维保服务等，</w:t>
      </w:r>
      <w:r>
        <w:rPr>
          <w:rFonts w:hint="eastAsia" w:hAnsi="宋体" w:eastAsia="宋体"/>
          <w:color w:val="auto"/>
          <w:highlight w:val="none"/>
          <w:lang w:val="en-US" w:eastAsia="zh-CN"/>
        </w:rPr>
        <w:t>详见磋商文件。</w:t>
      </w:r>
    </w:p>
    <w:p w14:paraId="65B97A83">
      <w:pPr>
        <w:keepNext w:val="0"/>
        <w:keepLines w:val="0"/>
        <w:pageBreakBefore w:val="0"/>
        <w:widowControl w:val="0"/>
        <w:kinsoku/>
        <w:wordWrap/>
        <w:overflowPunct/>
        <w:topLinePunct w:val="0"/>
        <w:autoSpaceDE/>
        <w:autoSpaceDN/>
        <w:bidi w:val="0"/>
        <w:adjustRightInd/>
        <w:snapToGrid/>
        <w:spacing w:line="360" w:lineRule="auto"/>
        <w:ind w:left="720" w:leftChars="300" w:firstLine="0" w:firstLineChars="0"/>
        <w:textAlignment w:val="auto"/>
        <w:rPr>
          <w:rFonts w:hAnsi="宋体"/>
          <w:color w:val="auto"/>
          <w:highlight w:val="none"/>
        </w:rPr>
      </w:pPr>
      <w:r>
        <w:rPr>
          <w:rFonts w:hAnsi="宋体"/>
          <w:color w:val="auto"/>
          <w:highlight w:val="none"/>
        </w:rPr>
        <w:t>本项目</w:t>
      </w:r>
      <w:r>
        <w:rPr>
          <w:rFonts w:hint="eastAsia" w:hAnsi="宋体" w:eastAsia="宋体"/>
          <w:color w:val="auto"/>
          <w:highlight w:val="none"/>
          <w:lang w:val="en-US" w:eastAsia="zh-CN"/>
        </w:rPr>
        <w:t>不</w:t>
      </w:r>
      <w:r>
        <w:rPr>
          <w:rFonts w:hAnsi="宋体"/>
          <w:color w:val="auto"/>
          <w:highlight w:val="none"/>
        </w:rPr>
        <w:t>接受联合体投标。</w:t>
      </w:r>
    </w:p>
    <w:p w14:paraId="4F8523C1">
      <w:pPr>
        <w:pStyle w:val="166"/>
        <w:tabs>
          <w:tab w:val="left" w:pos="1134"/>
        </w:tabs>
        <w:spacing w:line="312" w:lineRule="auto"/>
        <w:ind w:firstLine="240" w:firstLineChars="100"/>
        <w:rPr>
          <w:rFonts w:hAnsi="宋体"/>
          <w:color w:val="auto"/>
          <w:highlight w:val="none"/>
        </w:rPr>
      </w:pPr>
      <w:r>
        <w:rPr>
          <w:rFonts w:hint="eastAsia" w:hAnsi="宋体"/>
          <w:color w:val="auto"/>
          <w:highlight w:val="none"/>
          <w:lang w:val="en-US" w:eastAsia="zh-CN"/>
        </w:rPr>
        <w:t>二、申请人的</w:t>
      </w:r>
      <w:r>
        <w:rPr>
          <w:rFonts w:hAnsi="宋体"/>
          <w:color w:val="auto"/>
          <w:highlight w:val="none"/>
        </w:rPr>
        <w:t>资格要求：</w:t>
      </w:r>
    </w:p>
    <w:p w14:paraId="1A97E1E4">
      <w:pPr>
        <w:pStyle w:val="77"/>
        <w:spacing w:line="329" w:lineRule="auto"/>
        <w:ind w:left="709" w:firstLine="0" w:firstLineChars="0"/>
        <w:rPr>
          <w:rFonts w:hint="eastAsia" w:hAnsi="宋体" w:eastAsia="宋体"/>
          <w:color w:val="auto"/>
          <w:highlight w:val="none"/>
          <w:lang w:val="en-US" w:eastAsia="zh-CN"/>
        </w:rPr>
      </w:pPr>
      <w:r>
        <w:rPr>
          <w:rFonts w:hint="eastAsia" w:hAnsi="宋体"/>
          <w:color w:val="auto"/>
          <w:highlight w:val="none"/>
          <w:lang w:val="en-US" w:eastAsia="zh-CN"/>
        </w:rPr>
        <w:t>1.满足《中华人民共和国政府采购法》第二十二条规定；</w:t>
      </w:r>
    </w:p>
    <w:p w14:paraId="75F336EA">
      <w:pPr>
        <w:spacing w:line="360" w:lineRule="auto"/>
        <w:ind w:firstLine="600" w:firstLineChars="250"/>
        <w:rPr>
          <w:rFonts w:hint="eastAsia" w:hAnsi="宋体"/>
          <w:b/>
          <w:bCs/>
          <w:color w:val="auto"/>
          <w:highlight w:val="none"/>
        </w:rPr>
      </w:pPr>
      <w:r>
        <w:rPr>
          <w:rFonts w:hint="eastAsia" w:hAnsi="宋体"/>
          <w:color w:val="auto"/>
          <w:highlight w:val="none"/>
        </w:rPr>
        <w:t>（1）具有独立承担民事责任的能力</w:t>
      </w:r>
      <w:r>
        <w:rPr>
          <w:rFonts w:hint="eastAsia" w:hAnsi="宋体"/>
          <w:b/>
          <w:bCs/>
          <w:color w:val="auto"/>
          <w:highlight w:val="none"/>
        </w:rPr>
        <w:t>（提供法人或者其他组织的营业执照，自然人的身份证明）；</w:t>
      </w:r>
    </w:p>
    <w:p w14:paraId="7D9C1AC3">
      <w:pPr>
        <w:spacing w:line="360" w:lineRule="auto"/>
        <w:ind w:firstLine="480" w:firstLineChars="200"/>
        <w:rPr>
          <w:rFonts w:hint="eastAsia" w:hAnsi="宋体"/>
          <w:b/>
          <w:bCs/>
          <w:color w:val="auto"/>
          <w:highlight w:val="none"/>
        </w:rPr>
      </w:pPr>
      <w:r>
        <w:rPr>
          <w:rFonts w:hint="eastAsia" w:hAnsi="宋体"/>
          <w:color w:val="auto"/>
          <w:highlight w:val="none"/>
        </w:rPr>
        <w:t>（2）具有良好的商业信誉和健全的财务会计制度，并提供财务状况报告</w:t>
      </w:r>
      <w:r>
        <w:rPr>
          <w:rFonts w:hint="eastAsia" w:hAnsi="宋体"/>
          <w:b/>
          <w:bCs/>
          <w:color w:val="auto"/>
          <w:highlight w:val="none"/>
        </w:rPr>
        <w:t>（</w:t>
      </w:r>
      <w:r>
        <w:rPr>
          <w:rFonts w:hint="eastAsia" w:ascii="宋体" w:hAnsi="宋体"/>
          <w:b/>
          <w:bCs/>
          <w:color w:val="auto"/>
          <w:sz w:val="24"/>
          <w:szCs w:val="24"/>
          <w:highlight w:val="none"/>
        </w:rPr>
        <w:t>提供</w:t>
      </w:r>
      <w:r>
        <w:rPr>
          <w:rFonts w:hint="eastAsia" w:ascii="宋体" w:hAnsi="宋体" w:eastAsia="宋体"/>
          <w:b/>
          <w:bCs/>
          <w:color w:val="auto"/>
          <w:sz w:val="24"/>
          <w:szCs w:val="24"/>
          <w:highlight w:val="none"/>
          <w:lang w:val="en-US" w:eastAsia="zh-CN"/>
        </w:rPr>
        <w:t>2024或2025年度</w:t>
      </w:r>
      <w:r>
        <w:rPr>
          <w:rFonts w:hint="eastAsia" w:ascii="宋体" w:hAnsi="宋体"/>
          <w:b/>
          <w:bCs/>
          <w:color w:val="auto"/>
          <w:sz w:val="24"/>
          <w:szCs w:val="24"/>
          <w:highlight w:val="none"/>
        </w:rPr>
        <w:t>财务报告，至少包含资产负债表、利润表，或投标截止时间前六个月内银行出具的资信证明，成立不满一年无须提供</w:t>
      </w:r>
      <w:r>
        <w:rPr>
          <w:rFonts w:hint="eastAsia" w:hAnsi="宋体"/>
          <w:b/>
          <w:bCs/>
          <w:color w:val="auto"/>
          <w:highlight w:val="none"/>
        </w:rPr>
        <w:t>）；</w:t>
      </w:r>
    </w:p>
    <w:p w14:paraId="02CE6659">
      <w:pPr>
        <w:spacing w:line="360" w:lineRule="auto"/>
        <w:ind w:firstLine="480" w:firstLineChars="200"/>
        <w:rPr>
          <w:rFonts w:hint="eastAsia" w:hAnsi="宋体"/>
          <w:color w:val="auto"/>
          <w:highlight w:val="none"/>
        </w:rPr>
      </w:pPr>
      <w:r>
        <w:rPr>
          <w:rFonts w:hint="eastAsia" w:hAnsi="宋体"/>
          <w:color w:val="auto"/>
          <w:highlight w:val="none"/>
        </w:rPr>
        <w:t>（3）具有履行合同所必需的设备和专业技术能力</w:t>
      </w:r>
      <w:r>
        <w:rPr>
          <w:rFonts w:hint="eastAsia" w:hAnsi="宋体"/>
          <w:b/>
          <w:bCs/>
          <w:color w:val="auto"/>
          <w:highlight w:val="none"/>
        </w:rPr>
        <w:t>（根据项目需求提供履行合同所必需的设备和专业技术能力的证明材料或相关加盖公章的承诺函）</w:t>
      </w:r>
      <w:r>
        <w:rPr>
          <w:rFonts w:hint="eastAsia" w:hAnsi="宋体"/>
          <w:color w:val="auto"/>
          <w:highlight w:val="none"/>
        </w:rPr>
        <w:t xml:space="preserve">； </w:t>
      </w:r>
    </w:p>
    <w:p w14:paraId="38985D15">
      <w:pPr>
        <w:spacing w:line="360" w:lineRule="auto"/>
        <w:ind w:firstLine="360" w:firstLineChars="150"/>
        <w:outlineLvl w:val="9"/>
        <w:rPr>
          <w:rFonts w:hint="eastAsia" w:hAnsi="宋体"/>
          <w:color w:val="auto"/>
          <w:highlight w:val="none"/>
        </w:rPr>
      </w:pPr>
      <w:r>
        <w:rPr>
          <w:rFonts w:hint="eastAsia" w:hAnsi="宋体"/>
          <w:color w:val="auto"/>
          <w:highlight w:val="none"/>
        </w:rPr>
        <w:t>（4）有依法缴纳税收和社会保障资金的良好记录</w:t>
      </w:r>
      <w:r>
        <w:rPr>
          <w:rFonts w:hint="eastAsia" w:hAnsi="宋体"/>
          <w:b/>
          <w:bCs/>
          <w:color w:val="auto"/>
          <w:highlight w:val="none"/>
        </w:rPr>
        <w:t>（提供参加本次招标活动前</w:t>
      </w:r>
      <w:r>
        <w:rPr>
          <w:rFonts w:hint="eastAsia" w:hAnsi="宋体" w:eastAsia="宋体"/>
          <w:b/>
          <w:bCs/>
          <w:color w:val="auto"/>
          <w:highlight w:val="none"/>
          <w:lang w:val="en-US" w:eastAsia="zh-CN"/>
        </w:rPr>
        <w:t>半年</w:t>
      </w:r>
      <w:r>
        <w:rPr>
          <w:rFonts w:hint="eastAsia" w:hAnsi="宋体"/>
          <w:b/>
          <w:bCs/>
          <w:color w:val="auto"/>
          <w:highlight w:val="none"/>
        </w:rPr>
        <w:t>内（至少一个月）依法缴纳税收和社会保障资金的相关材料）</w:t>
      </w:r>
      <w:r>
        <w:rPr>
          <w:rFonts w:hint="eastAsia" w:hAnsi="宋体"/>
          <w:color w:val="auto"/>
          <w:highlight w:val="none"/>
        </w:rPr>
        <w:t>；</w:t>
      </w:r>
    </w:p>
    <w:p w14:paraId="14CEC3C9">
      <w:pPr>
        <w:spacing w:line="360" w:lineRule="auto"/>
        <w:ind w:firstLine="360" w:firstLineChars="150"/>
        <w:outlineLvl w:val="9"/>
        <w:rPr>
          <w:rFonts w:hint="eastAsia" w:hAnsi="宋体" w:eastAsia="宋体"/>
          <w:color w:val="auto"/>
          <w:highlight w:val="none"/>
          <w:lang w:eastAsia="zh-CN"/>
        </w:rPr>
      </w:pPr>
      <w:r>
        <w:rPr>
          <w:rFonts w:hint="eastAsia" w:hAnsi="宋体"/>
          <w:color w:val="auto"/>
          <w:highlight w:val="none"/>
        </w:rPr>
        <w:t>（5）参加招标活动前三年内，在经营活动中没有重大违法记录</w:t>
      </w:r>
      <w:r>
        <w:rPr>
          <w:rFonts w:hint="eastAsia" w:hAnsi="宋体"/>
          <w:b/>
          <w:bCs/>
          <w:color w:val="auto"/>
          <w:highlight w:val="none"/>
        </w:rPr>
        <w:t>（提供参加本次招标活动前3年内在经营活动中没有重大违法记录的书面声明）</w:t>
      </w:r>
      <w:r>
        <w:rPr>
          <w:rFonts w:hint="eastAsia" w:hAnsi="宋体"/>
          <w:color w:val="auto"/>
          <w:highlight w:val="none"/>
        </w:rPr>
        <w:t>；</w:t>
      </w:r>
    </w:p>
    <w:p w14:paraId="5DBBBA91">
      <w:pPr>
        <w:pStyle w:val="87"/>
        <w:ind w:firstLine="436" w:firstLineChars="182"/>
        <w:outlineLvl w:val="9"/>
        <w:rPr>
          <w:rFonts w:hint="eastAsia" w:ascii="Times New Roman"/>
          <w:bCs/>
          <w:color w:val="auto"/>
          <w:highlight w:val="none"/>
        </w:rPr>
      </w:pPr>
      <w:bookmarkStart w:id="8" w:name="_Toc15881"/>
      <w:bookmarkStart w:id="9" w:name="_Toc24641"/>
      <w:bookmarkStart w:id="10" w:name="_Toc20148"/>
      <w:r>
        <w:rPr>
          <w:rFonts w:hint="eastAsia" w:ascii="Times New Roman"/>
          <w:b w:val="0"/>
          <w:color w:val="auto"/>
          <w:highlight w:val="none"/>
        </w:rPr>
        <w:t>（6）法律、行政法规规定的其他条件：</w:t>
      </w:r>
      <w:r>
        <w:rPr>
          <w:rFonts w:hint="eastAsia" w:ascii="Times New Roman"/>
          <w:bCs/>
          <w:color w:val="auto"/>
          <w:highlight w:val="none"/>
        </w:rPr>
        <w:t>无。</w:t>
      </w:r>
      <w:bookmarkEnd w:id="8"/>
      <w:bookmarkEnd w:id="9"/>
      <w:bookmarkEnd w:id="10"/>
    </w:p>
    <w:p w14:paraId="297E1E18">
      <w:pPr>
        <w:pStyle w:val="77"/>
        <w:spacing w:line="329" w:lineRule="auto"/>
        <w:ind w:firstLine="480"/>
        <w:outlineLvl w:val="9"/>
        <w:rPr>
          <w:rFonts w:hint="eastAsia" w:ascii="Times New Roman" w:hAnsi="宋体" w:eastAsia="Times New Roman" w:cs="Times New Roman"/>
          <w:color w:val="auto"/>
          <w:highlight w:val="none"/>
          <w:lang w:val="en-US" w:eastAsia="zh-CN"/>
        </w:rPr>
      </w:pPr>
      <w:r>
        <w:rPr>
          <w:rFonts w:hint="eastAsia" w:ascii="Times New Roman" w:hAnsi="宋体" w:eastAsia="Times New Roman" w:cs="Times New Roman"/>
          <w:color w:val="auto"/>
          <w:highlight w:val="none"/>
          <w:lang w:val="en-US" w:eastAsia="zh-CN"/>
        </w:rPr>
        <w:t>2.落实政府采购政策满足的资格要求：本项目为非预留份额的采购项目或采购包，执行价格扣除优惠政策，具体详见采购文件</w:t>
      </w:r>
    </w:p>
    <w:p w14:paraId="7F91C246">
      <w:pPr>
        <w:spacing w:line="500" w:lineRule="exact"/>
        <w:ind w:firstLine="480" w:firstLineChars="200"/>
        <w:outlineLvl w:val="9"/>
        <w:rPr>
          <w:rFonts w:hint="eastAsia" w:hAnsi="宋体"/>
          <w:b/>
          <w:color w:val="auto"/>
          <w:highlight w:val="none"/>
          <w:lang w:val="en-US" w:eastAsia="zh-CN"/>
        </w:rPr>
      </w:pPr>
      <w:r>
        <w:rPr>
          <w:rFonts w:hint="eastAsia" w:hAnsi="宋体"/>
          <w:b/>
          <w:color w:val="auto"/>
          <w:highlight w:val="none"/>
          <w:lang w:val="en-US" w:eastAsia="zh-CN"/>
        </w:rPr>
        <w:t>3.本项目的特定资格要求：</w:t>
      </w:r>
    </w:p>
    <w:p w14:paraId="3D52DE3D">
      <w:pPr>
        <w:pStyle w:val="77"/>
        <w:spacing w:line="329" w:lineRule="auto"/>
        <w:ind w:firstLine="480"/>
        <w:outlineLvl w:val="9"/>
        <w:rPr>
          <w:rFonts w:hint="eastAsia" w:hAnsi="宋体"/>
          <w:color w:val="auto"/>
          <w:highlight w:val="none"/>
          <w:lang w:val="en-US" w:eastAsia="zh-CN"/>
        </w:rPr>
      </w:pPr>
      <w:r>
        <w:rPr>
          <w:rFonts w:hint="eastAsia" w:hAnsi="宋体"/>
          <w:color w:val="auto"/>
          <w:highlight w:val="none"/>
          <w:lang w:val="en-US" w:eastAsia="zh-CN"/>
        </w:rPr>
        <w:t>（一）拒绝被“信用中国”（www.creditchina.gov.cn）、“中国政府采购网”(www.ccgp.gov.cn）、“信用江苏”（http://credit.jiangsu.gov.cn/）列入失信被执行人、重大税收违法案件当事人、政府采购严重失信行为的供应商参加投标。</w:t>
      </w:r>
    </w:p>
    <w:p w14:paraId="7A9B77F2">
      <w:pPr>
        <w:pStyle w:val="77"/>
        <w:spacing w:line="329" w:lineRule="auto"/>
        <w:ind w:firstLine="480"/>
        <w:rPr>
          <w:rFonts w:hint="default" w:hAnsi="宋体"/>
          <w:b/>
          <w:bCs/>
          <w:color w:val="auto"/>
          <w:highlight w:val="none"/>
          <w:lang w:val="en-US" w:eastAsia="zh-CN"/>
        </w:rPr>
      </w:pPr>
      <w:r>
        <w:rPr>
          <w:rFonts w:hint="eastAsia" w:hAnsi="宋体"/>
          <w:b/>
          <w:bCs/>
          <w:color w:val="auto"/>
          <w:highlight w:val="none"/>
          <w:lang w:val="en-US" w:eastAsia="zh-CN"/>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33B32468">
      <w:pPr>
        <w:pStyle w:val="77"/>
        <w:spacing w:line="329" w:lineRule="auto"/>
        <w:ind w:firstLine="480"/>
        <w:rPr>
          <w:rFonts w:hint="default" w:eastAsia="宋体"/>
          <w:color w:val="auto"/>
          <w:highlight w:val="none"/>
          <w:lang w:val="en-US" w:eastAsia="zh-CN"/>
        </w:rPr>
      </w:pPr>
      <w:r>
        <w:rPr>
          <w:rFonts w:hint="eastAsia" w:hAnsi="宋体"/>
          <w:color w:val="auto"/>
          <w:highlight w:val="none"/>
          <w:lang w:val="en-US" w:eastAsia="zh-CN"/>
        </w:rPr>
        <w:t>三、获取</w:t>
      </w:r>
      <w:r>
        <w:rPr>
          <w:rFonts w:hint="eastAsia" w:hAnsi="宋体" w:eastAsia="宋体"/>
          <w:color w:val="auto"/>
          <w:highlight w:val="none"/>
          <w:lang w:eastAsia="zh-CN"/>
        </w:rPr>
        <w:t>磋商文件</w:t>
      </w:r>
      <w:r>
        <w:rPr>
          <w:rFonts w:hint="eastAsia" w:hAnsi="宋体" w:eastAsia="宋体"/>
          <w:color w:val="auto"/>
          <w:highlight w:val="none"/>
          <w:lang w:val="en-US" w:eastAsia="zh-CN"/>
        </w:rPr>
        <w:t>方式：</w:t>
      </w:r>
    </w:p>
    <w:p w14:paraId="29D3AC2F">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获取时间：自公告发布之日起至2026年9月8日，每天上午9：00至12:00，下午14:00至17:00（北京时间，法定节假日除外）。</w:t>
      </w:r>
    </w:p>
    <w:p w14:paraId="2CA917D6">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方式：</w:t>
      </w:r>
    </w:p>
    <w:p w14:paraId="29EF7ABE">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1、关注微信公众号：Hollyitc（江苏弘业国际技术工程有限公司）选择招标服务；</w:t>
      </w:r>
    </w:p>
    <w:p w14:paraId="58E11B34">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2、选择项目填写正确的供应商信息；</w:t>
      </w:r>
    </w:p>
    <w:p w14:paraId="443480BC">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3、须上传以下材料：</w:t>
      </w:r>
    </w:p>
    <w:p w14:paraId="3A0E19F2">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①法定代表人或其授权的委托代理人的有效身份证件复印件，加盖公章；</w:t>
      </w:r>
    </w:p>
    <w:p w14:paraId="547069E3">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②单位介绍信加盖公章或授权委托书加盖公章；</w:t>
      </w:r>
    </w:p>
    <w:p w14:paraId="613800F2">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4、标书费：100元/份。</w:t>
      </w:r>
    </w:p>
    <w:p w14:paraId="3CC9B274">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开票、退款相关事宜请联系025-52278761</w:t>
      </w:r>
    </w:p>
    <w:p w14:paraId="7088FDC9">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以上资料经后台审核通过后发送磋商文件，未按要求获取文件导致无法参与的，后果自负。</w:t>
      </w:r>
    </w:p>
    <w:p w14:paraId="15BB5F26">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四、提交响应文件截止时间、开标时间和地点</w:t>
      </w:r>
    </w:p>
    <w:p w14:paraId="6D57B783">
      <w:pPr>
        <w:pStyle w:val="166"/>
        <w:tabs>
          <w:tab w:val="left" w:pos="851"/>
          <w:tab w:val="left" w:pos="1134"/>
        </w:tabs>
        <w:spacing w:line="312" w:lineRule="auto"/>
        <w:ind w:left="480" w:leftChars="200" w:firstLine="480" w:firstLineChars="200"/>
        <w:rPr>
          <w:rFonts w:hint="eastAsia" w:hAnsi="宋体"/>
          <w:color w:val="auto"/>
          <w:highlight w:val="none"/>
          <w:u w:val="single"/>
          <w:lang w:val="en-US" w:eastAsia="zh-CN"/>
        </w:rPr>
      </w:pPr>
      <w:r>
        <w:rPr>
          <w:rFonts w:hint="eastAsia" w:ascii="宋体" w:hAnsi="宋体" w:eastAsia="宋体" w:cs="宋体"/>
          <w:color w:val="auto"/>
          <w:highlight w:val="none"/>
          <w:u w:val="single"/>
          <w:lang w:val="en-US" w:eastAsia="zh-CN"/>
        </w:rPr>
        <w:t>2026年9月14日9点30分</w:t>
      </w:r>
      <w:r>
        <w:rPr>
          <w:rFonts w:hint="eastAsia" w:hAnsi="宋体"/>
          <w:color w:val="auto"/>
          <w:highlight w:val="none"/>
          <w:u w:val="single"/>
          <w:lang w:val="en-US" w:eastAsia="zh-CN"/>
        </w:rPr>
        <w:t>。</w:t>
      </w:r>
    </w:p>
    <w:p w14:paraId="6C2DF000">
      <w:pPr>
        <w:pStyle w:val="166"/>
        <w:tabs>
          <w:tab w:val="left" w:pos="851"/>
          <w:tab w:val="left" w:pos="1134"/>
        </w:tabs>
        <w:spacing w:line="312" w:lineRule="auto"/>
        <w:ind w:left="480" w:leftChars="200" w:firstLine="480" w:firstLineChars="200"/>
        <w:rPr>
          <w:rFonts w:hint="eastAsia" w:hAnsi="宋体"/>
          <w:color w:val="auto"/>
          <w:highlight w:val="none"/>
          <w:lang w:val="en-US" w:eastAsia="zh-CN"/>
        </w:rPr>
      </w:pPr>
      <w:r>
        <w:rPr>
          <w:rFonts w:hint="eastAsia" w:hAnsi="宋体"/>
          <w:color w:val="auto"/>
          <w:highlight w:val="none"/>
          <w:lang w:val="en-US" w:eastAsia="zh-CN"/>
        </w:rPr>
        <w:t>地点：</w:t>
      </w:r>
      <w:r>
        <w:rPr>
          <w:rFonts w:hint="eastAsia" w:hAnsi="宋体"/>
          <w:color w:val="auto"/>
          <w:highlight w:val="none"/>
          <w:u w:val="single"/>
          <w:lang w:val="en-US" w:eastAsia="zh-CN"/>
        </w:rPr>
        <w:t>南京市中华路50号弘业大厦1楼开标大厅。</w:t>
      </w:r>
    </w:p>
    <w:p w14:paraId="01D7B9D1">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五、公告期限</w:t>
      </w:r>
    </w:p>
    <w:p w14:paraId="22B049E1">
      <w:pPr>
        <w:pStyle w:val="166"/>
        <w:tabs>
          <w:tab w:val="left" w:pos="851"/>
          <w:tab w:val="left" w:pos="1134"/>
        </w:tabs>
        <w:spacing w:line="312" w:lineRule="auto"/>
        <w:ind w:left="480" w:leftChars="200" w:firstLine="480" w:firstLineChars="200"/>
        <w:rPr>
          <w:rFonts w:hAnsi="宋体"/>
          <w:color w:val="auto"/>
          <w:highlight w:val="none"/>
        </w:rPr>
      </w:pPr>
      <w:r>
        <w:rPr>
          <w:rFonts w:hint="eastAsia" w:hAnsi="宋体"/>
          <w:color w:val="auto"/>
          <w:highlight w:val="none"/>
          <w:lang w:val="en-US" w:eastAsia="zh-CN"/>
        </w:rPr>
        <w:t>自本公告发布之日起3个工作日。</w:t>
      </w:r>
    </w:p>
    <w:p w14:paraId="2E3A1CC9">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六、其他补充事宜</w:t>
      </w:r>
    </w:p>
    <w:p w14:paraId="44C425D0">
      <w:pPr>
        <w:pStyle w:val="166"/>
        <w:tabs>
          <w:tab w:val="left" w:pos="851"/>
          <w:tab w:val="left" w:pos="1134"/>
        </w:tabs>
        <w:spacing w:line="312" w:lineRule="auto"/>
        <w:ind w:left="480" w:leftChars="200" w:firstLine="480" w:firstLineChars="200"/>
        <w:rPr>
          <w:rFonts w:hAnsi="宋体"/>
          <w:color w:val="auto"/>
          <w:highlight w:val="none"/>
        </w:rPr>
      </w:pPr>
      <w:r>
        <w:rPr>
          <w:rFonts w:hAnsi="宋体"/>
          <w:color w:val="auto"/>
          <w:highlight w:val="none"/>
        </w:rPr>
        <w:t>账户信息：</w:t>
      </w:r>
    </w:p>
    <w:p w14:paraId="39CE163B">
      <w:pPr>
        <w:pStyle w:val="166"/>
        <w:tabs>
          <w:tab w:val="left" w:pos="851"/>
          <w:tab w:val="left" w:pos="1134"/>
        </w:tabs>
        <w:spacing w:line="312" w:lineRule="auto"/>
        <w:ind w:firstLine="960" w:firstLineChars="400"/>
        <w:rPr>
          <w:color w:val="auto"/>
          <w:highlight w:val="none"/>
        </w:rPr>
      </w:pPr>
      <w:r>
        <w:rPr>
          <w:rFonts w:hAnsi="宋体"/>
          <w:color w:val="auto"/>
          <w:highlight w:val="none"/>
        </w:rPr>
        <w:t>户名：江苏弘业国际技术工程有限公司</w:t>
      </w:r>
    </w:p>
    <w:p w14:paraId="6F93A9EF">
      <w:pPr>
        <w:pStyle w:val="166"/>
        <w:tabs>
          <w:tab w:val="left" w:pos="851"/>
          <w:tab w:val="left" w:pos="1134"/>
        </w:tabs>
        <w:spacing w:line="312" w:lineRule="auto"/>
        <w:ind w:firstLine="960" w:firstLineChars="400"/>
        <w:rPr>
          <w:color w:val="auto"/>
          <w:highlight w:val="none"/>
        </w:rPr>
      </w:pPr>
      <w:r>
        <w:rPr>
          <w:rFonts w:hAnsi="宋体"/>
          <w:color w:val="auto"/>
          <w:highlight w:val="none"/>
        </w:rPr>
        <w:t>开户银行：中国银行南京市中华路支行</w:t>
      </w:r>
    </w:p>
    <w:p w14:paraId="41A2CF7C">
      <w:pPr>
        <w:pStyle w:val="166"/>
        <w:tabs>
          <w:tab w:val="left" w:pos="1134"/>
        </w:tabs>
        <w:spacing w:line="312" w:lineRule="auto"/>
        <w:ind w:firstLine="960" w:firstLineChars="400"/>
        <w:rPr>
          <w:rFonts w:ascii="宋体" w:hAnsi="宋体"/>
          <w:color w:val="auto"/>
          <w:highlight w:val="none"/>
        </w:rPr>
      </w:pPr>
      <w:r>
        <w:rPr>
          <w:rFonts w:hAnsi="宋体"/>
          <w:color w:val="auto"/>
          <w:highlight w:val="none"/>
        </w:rPr>
        <w:t>账号：</w:t>
      </w:r>
      <w:r>
        <w:rPr>
          <w:color w:val="auto"/>
          <w:highlight w:val="none"/>
        </w:rPr>
        <w:t>527460884999</w:t>
      </w:r>
    </w:p>
    <w:p w14:paraId="3188B14D">
      <w:pPr>
        <w:pStyle w:val="77"/>
        <w:spacing w:line="329" w:lineRule="auto"/>
        <w:ind w:firstLine="480"/>
        <w:rPr>
          <w:rFonts w:hint="eastAsia" w:hAnsi="宋体"/>
          <w:color w:val="auto"/>
          <w:highlight w:val="none"/>
          <w:lang w:val="en-US" w:eastAsia="zh-CN"/>
        </w:rPr>
      </w:pPr>
      <w:r>
        <w:rPr>
          <w:rFonts w:hint="eastAsia" w:hAnsi="宋体"/>
          <w:color w:val="auto"/>
          <w:highlight w:val="none"/>
          <w:lang w:val="en-US" w:eastAsia="zh-CN"/>
        </w:rPr>
        <w:t>七、对本次招标提出询问，请按以下方式联系。</w:t>
      </w:r>
    </w:p>
    <w:p w14:paraId="5D81DDBA">
      <w:pPr>
        <w:pStyle w:val="166"/>
        <w:tabs>
          <w:tab w:val="left" w:pos="1134"/>
        </w:tabs>
        <w:spacing w:line="312" w:lineRule="auto"/>
        <w:ind w:firstLine="960" w:firstLineChars="400"/>
        <w:rPr>
          <w:rFonts w:hAnsi="宋体"/>
          <w:color w:val="auto"/>
          <w:highlight w:val="none"/>
        </w:rPr>
      </w:pPr>
      <w:r>
        <w:rPr>
          <w:rFonts w:hint="eastAsia" w:hAnsi="宋体"/>
          <w:color w:val="auto"/>
          <w:highlight w:val="none"/>
          <w:lang w:val="en-US" w:eastAsia="zh-CN"/>
        </w:rPr>
        <w:t>1.采购人信息</w:t>
      </w:r>
    </w:p>
    <w:p w14:paraId="20449C0A">
      <w:pPr>
        <w:pStyle w:val="166"/>
        <w:tabs>
          <w:tab w:val="left" w:pos="1276"/>
        </w:tabs>
        <w:spacing w:line="312" w:lineRule="auto"/>
        <w:ind w:firstLine="960" w:firstLineChars="400"/>
        <w:rPr>
          <w:rFonts w:ascii="宋体" w:hAnsi="宋体"/>
          <w:color w:val="auto"/>
          <w:szCs w:val="24"/>
          <w:highlight w:val="none"/>
          <w:u w:val="none"/>
        </w:rPr>
      </w:pPr>
      <w:r>
        <w:rPr>
          <w:rFonts w:hint="eastAsia" w:ascii="宋体" w:hAnsi="宋体"/>
          <w:color w:val="auto"/>
          <w:szCs w:val="24"/>
          <w:highlight w:val="none"/>
          <w:u w:val="none"/>
        </w:rPr>
        <w:t>名称：</w:t>
      </w:r>
      <w:r>
        <w:rPr>
          <w:rFonts w:hint="eastAsia" w:ascii="宋体" w:hAnsi="宋体" w:eastAsia="宋体"/>
          <w:color w:val="auto"/>
          <w:szCs w:val="24"/>
          <w:highlight w:val="none"/>
          <w:u w:val="none"/>
          <w:lang w:eastAsia="zh-CN"/>
        </w:rPr>
        <w:t>中国医学科学院皮肤病医院（中国医学科学院皮肤病研究所）</w:t>
      </w:r>
      <w:r>
        <w:rPr>
          <w:rFonts w:hint="eastAsia" w:ascii="宋体" w:hAnsi="宋体"/>
          <w:color w:val="auto"/>
          <w:szCs w:val="24"/>
          <w:highlight w:val="none"/>
          <w:u w:val="none"/>
        </w:rPr>
        <w:t xml:space="preserve">         </w:t>
      </w:r>
    </w:p>
    <w:p w14:paraId="0322F451">
      <w:pPr>
        <w:pStyle w:val="166"/>
        <w:tabs>
          <w:tab w:val="left" w:pos="1276"/>
        </w:tabs>
        <w:spacing w:line="312" w:lineRule="auto"/>
        <w:ind w:firstLine="960" w:firstLineChars="400"/>
        <w:rPr>
          <w:rFonts w:ascii="宋体" w:hAnsi="宋体"/>
          <w:color w:val="auto"/>
          <w:szCs w:val="24"/>
          <w:highlight w:val="none"/>
          <w:u w:val="none"/>
        </w:rPr>
      </w:pPr>
      <w:r>
        <w:rPr>
          <w:rFonts w:hint="eastAsia" w:ascii="宋体" w:hAnsi="宋体"/>
          <w:color w:val="auto"/>
          <w:szCs w:val="24"/>
          <w:highlight w:val="none"/>
          <w:u w:val="none"/>
        </w:rPr>
        <w:t>地址：</w:t>
      </w:r>
      <w:r>
        <w:rPr>
          <w:rFonts w:hint="eastAsia" w:ascii="宋体" w:hAnsi="宋体" w:eastAsia="宋体"/>
          <w:color w:val="auto"/>
          <w:szCs w:val="24"/>
          <w:highlight w:val="none"/>
          <w:u w:val="none"/>
          <w:lang w:val="en-US" w:eastAsia="zh-CN"/>
        </w:rPr>
        <w:t>江苏省南京市玄武区</w:t>
      </w:r>
      <w:r>
        <w:rPr>
          <w:rFonts w:hint="eastAsia" w:ascii="宋体" w:hAnsi="宋体"/>
          <w:color w:val="auto"/>
          <w:szCs w:val="24"/>
          <w:highlight w:val="none"/>
          <w:u w:val="none"/>
        </w:rPr>
        <w:t xml:space="preserve">蒋王庙街12号 </w:t>
      </w:r>
    </w:p>
    <w:p w14:paraId="0B472B8E">
      <w:pPr>
        <w:pStyle w:val="166"/>
        <w:tabs>
          <w:tab w:val="left" w:pos="1134"/>
        </w:tabs>
        <w:spacing w:line="312" w:lineRule="auto"/>
        <w:ind w:firstLine="960" w:firstLineChars="400"/>
        <w:rPr>
          <w:rFonts w:hint="default" w:hAnsi="宋体" w:eastAsia="宋体"/>
          <w:color w:val="auto"/>
          <w:highlight w:val="none"/>
          <w:u w:val="none"/>
          <w:lang w:val="en-US" w:eastAsia="zh-CN"/>
        </w:rPr>
      </w:pPr>
      <w:r>
        <w:rPr>
          <w:rFonts w:hint="eastAsia" w:ascii="宋体" w:hAnsi="宋体"/>
          <w:color w:val="auto"/>
          <w:szCs w:val="24"/>
          <w:highlight w:val="none"/>
          <w:u w:val="none"/>
        </w:rPr>
        <w:t>联系方式：</w:t>
      </w:r>
      <w:r>
        <w:rPr>
          <w:rFonts w:hint="eastAsia" w:ascii="宋体" w:hAnsi="宋体" w:eastAsia="宋体"/>
          <w:color w:val="auto"/>
          <w:szCs w:val="24"/>
          <w:highlight w:val="none"/>
          <w:u w:val="none"/>
          <w:lang w:val="en-US" w:eastAsia="zh-CN"/>
        </w:rPr>
        <w:t xml:space="preserve">025-85478284                 </w:t>
      </w:r>
    </w:p>
    <w:p w14:paraId="72CC7236">
      <w:pPr>
        <w:pStyle w:val="166"/>
        <w:tabs>
          <w:tab w:val="left" w:pos="1134"/>
        </w:tabs>
        <w:spacing w:line="312" w:lineRule="auto"/>
        <w:ind w:firstLine="960" w:firstLineChars="400"/>
        <w:rPr>
          <w:rFonts w:hAnsi="宋体"/>
          <w:color w:val="auto"/>
          <w:highlight w:val="none"/>
          <w:u w:val="none"/>
        </w:rPr>
      </w:pPr>
      <w:r>
        <w:rPr>
          <w:rFonts w:hint="eastAsia" w:hAnsi="宋体"/>
          <w:color w:val="auto"/>
          <w:highlight w:val="none"/>
          <w:u w:val="none"/>
          <w:lang w:val="en-US" w:eastAsia="zh-CN"/>
        </w:rPr>
        <w:t>2.采购</w:t>
      </w:r>
      <w:r>
        <w:rPr>
          <w:rFonts w:hAnsi="宋体"/>
          <w:color w:val="auto"/>
          <w:highlight w:val="none"/>
          <w:u w:val="none"/>
        </w:rPr>
        <w:t>代理机构</w:t>
      </w:r>
      <w:r>
        <w:rPr>
          <w:rFonts w:hint="eastAsia" w:hAnsi="宋体"/>
          <w:color w:val="auto"/>
          <w:highlight w:val="none"/>
          <w:u w:val="none"/>
          <w:lang w:val="en-US" w:eastAsia="zh-CN"/>
        </w:rPr>
        <w:t>信息</w:t>
      </w:r>
    </w:p>
    <w:p w14:paraId="0BE1720C">
      <w:pPr>
        <w:pStyle w:val="166"/>
        <w:tabs>
          <w:tab w:val="left" w:pos="1134"/>
        </w:tabs>
        <w:spacing w:line="312" w:lineRule="auto"/>
        <w:ind w:firstLine="960" w:firstLineChars="400"/>
        <w:rPr>
          <w:rFonts w:hAnsi="宋体"/>
          <w:color w:val="auto"/>
          <w:highlight w:val="none"/>
          <w:u w:val="none"/>
        </w:rPr>
      </w:pPr>
      <w:r>
        <w:rPr>
          <w:rFonts w:hint="eastAsia" w:hAnsi="宋体"/>
          <w:color w:val="auto"/>
          <w:highlight w:val="none"/>
          <w:u w:val="none"/>
          <w:lang w:val="en-US" w:eastAsia="zh-CN"/>
        </w:rPr>
        <w:t xml:space="preserve">名称：江苏弘业国际技术工程有限公司 </w:t>
      </w:r>
    </w:p>
    <w:p w14:paraId="45B88E70">
      <w:pPr>
        <w:pStyle w:val="166"/>
        <w:tabs>
          <w:tab w:val="left" w:pos="1134"/>
        </w:tabs>
        <w:spacing w:line="312" w:lineRule="auto"/>
        <w:ind w:firstLine="960" w:firstLineChars="400"/>
        <w:rPr>
          <w:rFonts w:hAnsi="宋体"/>
          <w:color w:val="auto"/>
          <w:highlight w:val="none"/>
          <w:u w:val="none"/>
        </w:rPr>
      </w:pPr>
      <w:r>
        <w:rPr>
          <w:rFonts w:hint="eastAsia" w:hAnsi="宋体"/>
          <w:color w:val="auto"/>
          <w:highlight w:val="none"/>
          <w:u w:val="none"/>
          <w:lang w:val="en-US" w:eastAsia="zh-CN"/>
        </w:rPr>
        <w:t>地址：</w:t>
      </w:r>
      <w:r>
        <w:rPr>
          <w:rFonts w:hAnsi="宋体"/>
          <w:color w:val="auto"/>
          <w:highlight w:val="none"/>
          <w:u w:val="none"/>
        </w:rPr>
        <w:t>南京市中华路50号弘业大厦</w:t>
      </w:r>
      <w:r>
        <w:rPr>
          <w:rFonts w:hint="eastAsia" w:hAnsi="宋体" w:eastAsia="宋体"/>
          <w:color w:val="auto"/>
          <w:highlight w:val="none"/>
          <w:u w:val="none"/>
          <w:lang w:val="en-US" w:eastAsia="zh-CN"/>
        </w:rPr>
        <w:t>1</w:t>
      </w:r>
      <w:r>
        <w:rPr>
          <w:rFonts w:hAnsi="宋体"/>
          <w:color w:val="auto"/>
          <w:highlight w:val="none"/>
          <w:u w:val="none"/>
        </w:rPr>
        <w:t>0楼</w:t>
      </w:r>
    </w:p>
    <w:p w14:paraId="52450E54">
      <w:pPr>
        <w:pStyle w:val="166"/>
        <w:tabs>
          <w:tab w:val="left" w:pos="1134"/>
        </w:tabs>
        <w:spacing w:line="312" w:lineRule="auto"/>
        <w:ind w:firstLine="960" w:firstLineChars="400"/>
        <w:rPr>
          <w:rFonts w:hint="default" w:hAnsi="宋体"/>
          <w:color w:val="auto"/>
          <w:highlight w:val="none"/>
          <w:u w:val="none"/>
          <w:lang w:val="en-US"/>
        </w:rPr>
      </w:pPr>
      <w:r>
        <w:rPr>
          <w:rFonts w:hint="eastAsia" w:hAnsi="宋体"/>
          <w:color w:val="auto"/>
          <w:highlight w:val="none"/>
          <w:u w:val="none"/>
          <w:lang w:val="en-US" w:eastAsia="zh-CN"/>
        </w:rPr>
        <w:t>联系方式：025-52278371</w:t>
      </w:r>
    </w:p>
    <w:p w14:paraId="49B3A56E">
      <w:pPr>
        <w:pStyle w:val="166"/>
        <w:tabs>
          <w:tab w:val="left" w:pos="1134"/>
        </w:tabs>
        <w:spacing w:line="312" w:lineRule="auto"/>
        <w:ind w:firstLine="960" w:firstLineChars="400"/>
        <w:rPr>
          <w:rFonts w:hAnsi="宋体"/>
          <w:color w:val="auto"/>
          <w:highlight w:val="none"/>
          <w:u w:val="none"/>
        </w:rPr>
      </w:pPr>
      <w:r>
        <w:rPr>
          <w:rFonts w:hAnsi="宋体"/>
          <w:color w:val="auto"/>
          <w:highlight w:val="none"/>
          <w:u w:val="none"/>
        </w:rPr>
        <w:t>传  真：025-52278761</w:t>
      </w:r>
    </w:p>
    <w:p w14:paraId="1CC5A424">
      <w:pPr>
        <w:pStyle w:val="166"/>
        <w:tabs>
          <w:tab w:val="left" w:pos="1134"/>
        </w:tabs>
        <w:spacing w:line="312" w:lineRule="auto"/>
        <w:ind w:firstLine="960" w:firstLineChars="400"/>
        <w:rPr>
          <w:rFonts w:hAnsi="宋体"/>
          <w:color w:val="auto"/>
          <w:highlight w:val="none"/>
          <w:u w:val="none"/>
        </w:rPr>
      </w:pPr>
      <w:r>
        <w:rPr>
          <w:rFonts w:hAnsi="宋体"/>
          <w:color w:val="auto"/>
          <w:highlight w:val="none"/>
          <w:u w:val="none"/>
        </w:rPr>
        <w:t>邮箱：</w:t>
      </w:r>
      <w:r>
        <w:rPr>
          <w:rFonts w:hAnsi="宋体"/>
          <w:color w:val="auto"/>
          <w:highlight w:val="none"/>
          <w:u w:val="none"/>
        </w:rPr>
        <w:fldChar w:fldCharType="begin"/>
      </w:r>
      <w:r>
        <w:rPr>
          <w:rFonts w:hAnsi="宋体"/>
          <w:color w:val="auto"/>
          <w:highlight w:val="none"/>
          <w:u w:val="none"/>
        </w:rPr>
        <w:instrText xml:space="preserve"> HYPERLINK "mailto:hollyzbzy@artall.com"</w:instrText>
      </w:r>
      <w:r>
        <w:rPr>
          <w:rFonts w:hAnsi="宋体"/>
          <w:color w:val="auto"/>
          <w:highlight w:val="none"/>
          <w:u w:val="none"/>
        </w:rPr>
        <w:fldChar w:fldCharType="separate"/>
      </w:r>
      <w:r>
        <w:rPr>
          <w:rFonts w:hAnsi="宋体"/>
          <w:color w:val="auto"/>
          <w:highlight w:val="none"/>
          <w:u w:val="none"/>
        </w:rPr>
        <w:t>hollyzbzy@artall.com</w:t>
      </w:r>
      <w:r>
        <w:rPr>
          <w:rFonts w:hAnsi="宋体"/>
          <w:color w:val="auto"/>
          <w:highlight w:val="none"/>
          <w:u w:val="none"/>
        </w:rPr>
        <w:fldChar w:fldCharType="end"/>
      </w:r>
    </w:p>
    <w:p w14:paraId="408E379D">
      <w:pPr>
        <w:pStyle w:val="166"/>
        <w:tabs>
          <w:tab w:val="left" w:pos="1134"/>
        </w:tabs>
        <w:spacing w:line="312" w:lineRule="auto"/>
        <w:ind w:firstLine="960" w:firstLineChars="400"/>
        <w:rPr>
          <w:rFonts w:hAnsi="宋体"/>
          <w:color w:val="auto"/>
          <w:highlight w:val="none"/>
          <w:u w:val="none"/>
        </w:rPr>
      </w:pPr>
      <w:r>
        <w:rPr>
          <w:rFonts w:hint="eastAsia" w:hAnsi="宋体"/>
          <w:color w:val="auto"/>
          <w:highlight w:val="none"/>
          <w:u w:val="none"/>
          <w:lang w:val="en-US" w:eastAsia="zh-CN"/>
        </w:rPr>
        <w:t>3.项目联系方式</w:t>
      </w:r>
    </w:p>
    <w:p w14:paraId="3432E7B7">
      <w:pPr>
        <w:pStyle w:val="166"/>
        <w:tabs>
          <w:tab w:val="left" w:pos="1134"/>
        </w:tabs>
        <w:spacing w:line="312" w:lineRule="auto"/>
        <w:ind w:firstLine="960" w:firstLineChars="400"/>
        <w:rPr>
          <w:rFonts w:hint="default" w:hAnsi="宋体"/>
          <w:color w:val="auto"/>
          <w:highlight w:val="none"/>
          <w:u w:val="none"/>
          <w:lang w:val="en-US"/>
        </w:rPr>
      </w:pPr>
      <w:r>
        <w:rPr>
          <w:rFonts w:hint="eastAsia" w:hAnsi="宋体"/>
          <w:color w:val="auto"/>
          <w:highlight w:val="none"/>
          <w:u w:val="none"/>
          <w:lang w:val="en-US" w:eastAsia="zh-CN"/>
        </w:rPr>
        <w:t>项目联系人：宋瞰尘</w:t>
      </w:r>
    </w:p>
    <w:p w14:paraId="22AE5752">
      <w:pPr>
        <w:pStyle w:val="166"/>
        <w:tabs>
          <w:tab w:val="left" w:pos="1134"/>
        </w:tabs>
        <w:spacing w:line="312" w:lineRule="auto"/>
        <w:ind w:firstLine="960" w:firstLineChars="400"/>
        <w:rPr>
          <w:rFonts w:hint="default" w:hAnsi="宋体"/>
          <w:color w:val="auto"/>
          <w:highlight w:val="none"/>
          <w:lang w:val="en-US" w:eastAsia="zh-CN"/>
        </w:rPr>
      </w:pPr>
      <w:r>
        <w:rPr>
          <w:rFonts w:hint="eastAsia" w:hAnsi="宋体"/>
          <w:color w:val="auto"/>
          <w:highlight w:val="none"/>
          <w:lang w:val="en-US" w:eastAsia="zh-CN"/>
        </w:rPr>
        <w:t>电话：025-52278371</w:t>
      </w:r>
    </w:p>
    <w:p w14:paraId="32BD8285">
      <w:pPr>
        <w:pStyle w:val="166"/>
        <w:tabs>
          <w:tab w:val="left" w:pos="1134"/>
        </w:tabs>
        <w:spacing w:line="312" w:lineRule="auto"/>
        <w:ind w:firstLine="960" w:firstLineChars="400"/>
        <w:rPr>
          <w:rFonts w:hAnsi="宋体"/>
          <w:color w:val="auto"/>
          <w:highlight w:val="none"/>
        </w:rPr>
      </w:pPr>
    </w:p>
    <w:p w14:paraId="6FC98A4E">
      <w:pPr>
        <w:pStyle w:val="166"/>
        <w:tabs>
          <w:tab w:val="left" w:pos="1134"/>
        </w:tabs>
        <w:spacing w:line="312" w:lineRule="auto"/>
        <w:ind w:firstLine="960" w:firstLineChars="400"/>
        <w:rPr>
          <w:rFonts w:hAnsi="宋体"/>
          <w:color w:val="auto"/>
          <w:highlight w:val="none"/>
        </w:rPr>
      </w:pPr>
    </w:p>
    <w:p w14:paraId="1ABE49D8">
      <w:pPr>
        <w:pStyle w:val="166"/>
        <w:tabs>
          <w:tab w:val="left" w:pos="1134"/>
        </w:tabs>
        <w:spacing w:line="312" w:lineRule="auto"/>
        <w:ind w:firstLine="960" w:firstLineChars="400"/>
        <w:rPr>
          <w:rFonts w:hAnsi="宋体"/>
          <w:color w:val="auto"/>
          <w:highlight w:val="none"/>
        </w:rPr>
      </w:pPr>
    </w:p>
    <w:p w14:paraId="512D4256">
      <w:pPr>
        <w:pStyle w:val="166"/>
        <w:tabs>
          <w:tab w:val="left" w:pos="1134"/>
        </w:tabs>
        <w:spacing w:line="312" w:lineRule="auto"/>
        <w:ind w:firstLine="960" w:firstLineChars="400"/>
        <w:rPr>
          <w:rFonts w:hAnsi="宋体"/>
          <w:color w:val="auto"/>
          <w:highlight w:val="none"/>
        </w:rPr>
      </w:pPr>
    </w:p>
    <w:p w14:paraId="2CB8D547">
      <w:pPr>
        <w:pStyle w:val="166"/>
        <w:tabs>
          <w:tab w:val="left" w:pos="1134"/>
        </w:tabs>
        <w:spacing w:line="312" w:lineRule="auto"/>
        <w:ind w:firstLine="960" w:firstLineChars="400"/>
        <w:rPr>
          <w:rFonts w:hAnsi="宋体"/>
          <w:color w:val="auto"/>
          <w:highlight w:val="none"/>
        </w:rPr>
      </w:pPr>
    </w:p>
    <w:p w14:paraId="7D51B388">
      <w:pPr>
        <w:pStyle w:val="166"/>
        <w:tabs>
          <w:tab w:val="left" w:pos="1134"/>
        </w:tabs>
        <w:spacing w:line="312" w:lineRule="auto"/>
        <w:ind w:firstLine="960" w:firstLineChars="400"/>
        <w:rPr>
          <w:rFonts w:hAnsi="宋体"/>
          <w:color w:val="auto"/>
          <w:highlight w:val="none"/>
        </w:rPr>
      </w:pPr>
    </w:p>
    <w:p w14:paraId="025EF0C4">
      <w:pPr>
        <w:pStyle w:val="166"/>
        <w:tabs>
          <w:tab w:val="left" w:pos="1134"/>
        </w:tabs>
        <w:spacing w:line="312" w:lineRule="auto"/>
        <w:ind w:firstLine="960" w:firstLineChars="400"/>
        <w:rPr>
          <w:rFonts w:hAnsi="宋体"/>
          <w:color w:val="auto"/>
          <w:highlight w:val="none"/>
        </w:rPr>
      </w:pPr>
    </w:p>
    <w:p w14:paraId="50DEC519">
      <w:pPr>
        <w:pStyle w:val="166"/>
        <w:tabs>
          <w:tab w:val="left" w:pos="1134"/>
        </w:tabs>
        <w:spacing w:line="312" w:lineRule="auto"/>
        <w:ind w:firstLine="960" w:firstLineChars="400"/>
        <w:rPr>
          <w:rFonts w:hAnsi="宋体"/>
          <w:color w:val="auto"/>
          <w:highlight w:val="none"/>
        </w:rPr>
      </w:pPr>
    </w:p>
    <w:p w14:paraId="1526BB61">
      <w:pPr>
        <w:pStyle w:val="166"/>
        <w:tabs>
          <w:tab w:val="left" w:pos="1134"/>
        </w:tabs>
        <w:spacing w:line="312" w:lineRule="auto"/>
        <w:ind w:firstLine="960" w:firstLineChars="400"/>
        <w:rPr>
          <w:rFonts w:hAnsi="宋体"/>
          <w:color w:val="auto"/>
          <w:highlight w:val="none"/>
        </w:rPr>
      </w:pPr>
    </w:p>
    <w:p w14:paraId="5359254B">
      <w:pPr>
        <w:pStyle w:val="166"/>
        <w:tabs>
          <w:tab w:val="left" w:pos="1134"/>
        </w:tabs>
        <w:spacing w:line="312" w:lineRule="auto"/>
        <w:ind w:firstLine="960" w:firstLineChars="400"/>
        <w:rPr>
          <w:rFonts w:hAnsi="宋体"/>
          <w:color w:val="auto"/>
          <w:highlight w:val="none"/>
        </w:rPr>
      </w:pPr>
    </w:p>
    <w:p w14:paraId="6B79DDCB">
      <w:pPr>
        <w:pStyle w:val="166"/>
        <w:tabs>
          <w:tab w:val="left" w:pos="1134"/>
        </w:tabs>
        <w:spacing w:line="312" w:lineRule="auto"/>
        <w:ind w:firstLine="960" w:firstLineChars="400"/>
        <w:rPr>
          <w:rFonts w:hAnsi="宋体"/>
          <w:color w:val="auto"/>
          <w:highlight w:val="none"/>
        </w:rPr>
      </w:pPr>
    </w:p>
    <w:p w14:paraId="3DC633E4">
      <w:pPr>
        <w:pStyle w:val="166"/>
        <w:tabs>
          <w:tab w:val="left" w:pos="1134"/>
        </w:tabs>
        <w:spacing w:line="312" w:lineRule="auto"/>
        <w:ind w:firstLine="960" w:firstLineChars="400"/>
        <w:rPr>
          <w:rFonts w:hAnsi="宋体"/>
          <w:color w:val="auto"/>
          <w:highlight w:val="none"/>
        </w:rPr>
      </w:pPr>
    </w:p>
    <w:p w14:paraId="233D59F7">
      <w:pPr>
        <w:pStyle w:val="166"/>
        <w:tabs>
          <w:tab w:val="left" w:pos="1134"/>
        </w:tabs>
        <w:spacing w:line="312" w:lineRule="auto"/>
        <w:ind w:firstLine="960" w:firstLineChars="400"/>
        <w:rPr>
          <w:rFonts w:hAnsi="宋体"/>
          <w:color w:val="auto"/>
          <w:highlight w:val="none"/>
        </w:rPr>
      </w:pPr>
    </w:p>
    <w:p w14:paraId="2E2266A4">
      <w:pPr>
        <w:pStyle w:val="166"/>
        <w:tabs>
          <w:tab w:val="left" w:pos="1134"/>
        </w:tabs>
        <w:spacing w:line="312" w:lineRule="auto"/>
        <w:ind w:firstLine="960" w:firstLineChars="400"/>
        <w:rPr>
          <w:rFonts w:hAnsi="宋体"/>
          <w:color w:val="auto"/>
          <w:highlight w:val="none"/>
        </w:rPr>
      </w:pPr>
    </w:p>
    <w:p w14:paraId="1C1F04B5">
      <w:pPr>
        <w:pStyle w:val="166"/>
        <w:tabs>
          <w:tab w:val="left" w:pos="1134"/>
        </w:tabs>
        <w:spacing w:line="312" w:lineRule="auto"/>
        <w:ind w:firstLine="960" w:firstLineChars="400"/>
        <w:rPr>
          <w:rFonts w:hAnsi="宋体"/>
          <w:color w:val="auto"/>
          <w:highlight w:val="none"/>
        </w:rPr>
      </w:pPr>
    </w:p>
    <w:p w14:paraId="2B247905">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color w:val="auto"/>
          <w:highlight w:val="none"/>
        </w:rPr>
      </w:pPr>
      <w:bookmarkStart w:id="11" w:name="_Toc16948"/>
      <w:r>
        <w:rPr>
          <w:rFonts w:hint="eastAsia"/>
          <w:color w:val="auto"/>
          <w:highlight w:val="none"/>
        </w:rPr>
        <w:t>第二部分  供应商须知</w:t>
      </w:r>
      <w:bookmarkEnd w:id="11"/>
    </w:p>
    <w:p w14:paraId="6715412F">
      <w:pPr>
        <w:pStyle w:val="3"/>
        <w:rPr>
          <w:rFonts w:hint="eastAsia"/>
          <w:color w:val="auto"/>
          <w:highlight w:val="none"/>
        </w:rPr>
      </w:pPr>
      <w:bookmarkStart w:id="12" w:name="_Toc17907"/>
      <w:r>
        <w:rPr>
          <w:rFonts w:hint="eastAsia"/>
          <w:color w:val="auto"/>
          <w:highlight w:val="none"/>
        </w:rPr>
        <w:t>供应商须知前附表：</w:t>
      </w:r>
      <w:bookmarkEnd w:id="12"/>
    </w:p>
    <w:tbl>
      <w:tblPr>
        <w:tblStyle w:val="63"/>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2096"/>
        <w:gridCol w:w="6100"/>
      </w:tblGrid>
      <w:tr w14:paraId="5C43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1E4CE636">
            <w:pPr>
              <w:jc w:val="center"/>
              <w:rPr>
                <w:rFonts w:hint="eastAsia" w:ascii="仿宋_GB2312" w:hAnsi="仿宋" w:eastAsia="仿宋_GB2312"/>
                <w:b/>
                <w:bCs/>
                <w:color w:val="auto"/>
                <w:sz w:val="24"/>
                <w:szCs w:val="24"/>
                <w:highlight w:val="none"/>
              </w:rPr>
            </w:pPr>
            <w:bookmarkStart w:id="13" w:name="EBc9d8a0a6c333409599b28034cbc893d2"/>
            <w:r>
              <w:rPr>
                <w:rFonts w:hint="eastAsia" w:ascii="仿宋_GB2312" w:hAnsi="仿宋" w:eastAsia="仿宋_GB2312"/>
                <w:b/>
                <w:bCs/>
                <w:color w:val="auto"/>
                <w:sz w:val="24"/>
                <w:szCs w:val="24"/>
                <w:highlight w:val="none"/>
              </w:rPr>
              <w:t>序号</w:t>
            </w:r>
          </w:p>
        </w:tc>
        <w:tc>
          <w:tcPr>
            <w:tcW w:w="2096" w:type="dxa"/>
            <w:vAlign w:val="center"/>
          </w:tcPr>
          <w:p w14:paraId="7E820808">
            <w:pPr>
              <w:jc w:val="center"/>
              <w:rPr>
                <w:rFonts w:hint="eastAsia" w:ascii="仿宋_GB2312" w:hAnsi="仿宋" w:eastAsia="仿宋_GB2312"/>
                <w:b/>
                <w:color w:val="auto"/>
                <w:sz w:val="24"/>
                <w:szCs w:val="24"/>
                <w:highlight w:val="none"/>
              </w:rPr>
            </w:pPr>
            <w:r>
              <w:rPr>
                <w:rFonts w:hint="eastAsia" w:ascii="仿宋_GB2312" w:hAnsi="仿宋" w:eastAsia="仿宋_GB2312"/>
                <w:b/>
                <w:color w:val="auto"/>
                <w:sz w:val="24"/>
                <w:szCs w:val="24"/>
                <w:highlight w:val="none"/>
              </w:rPr>
              <w:t>内容</w:t>
            </w:r>
          </w:p>
        </w:tc>
        <w:tc>
          <w:tcPr>
            <w:tcW w:w="6100" w:type="dxa"/>
            <w:vAlign w:val="center"/>
          </w:tcPr>
          <w:p w14:paraId="397A7354">
            <w:pPr>
              <w:jc w:val="center"/>
              <w:rPr>
                <w:rFonts w:hint="eastAsia" w:ascii="仿宋_GB2312" w:hAnsi="仿宋" w:eastAsia="仿宋_GB2312"/>
                <w:b/>
                <w:bCs/>
                <w:color w:val="auto"/>
                <w:sz w:val="24"/>
                <w:szCs w:val="24"/>
                <w:highlight w:val="none"/>
              </w:rPr>
            </w:pPr>
            <w:r>
              <w:rPr>
                <w:rFonts w:hint="eastAsia" w:ascii="仿宋_GB2312" w:hAnsi="仿宋" w:eastAsia="仿宋_GB2312"/>
                <w:b/>
                <w:bCs/>
                <w:color w:val="auto"/>
                <w:sz w:val="24"/>
                <w:szCs w:val="24"/>
                <w:highlight w:val="none"/>
              </w:rPr>
              <w:t>说明及要求</w:t>
            </w:r>
          </w:p>
        </w:tc>
      </w:tr>
      <w:tr w14:paraId="1A41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66EC0FA5">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2096" w:type="dxa"/>
            <w:vAlign w:val="center"/>
          </w:tcPr>
          <w:p w14:paraId="679CF7AB">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特别说明</w:t>
            </w:r>
          </w:p>
        </w:tc>
        <w:tc>
          <w:tcPr>
            <w:tcW w:w="6100" w:type="dxa"/>
            <w:vAlign w:val="center"/>
          </w:tcPr>
          <w:p w14:paraId="011E6AA9">
            <w:pPr>
              <w:rPr>
                <w:rFonts w:hint="eastAsia" w:ascii="宋体" w:hAnsi="宋体" w:cs="宋体"/>
                <w:color w:val="auto"/>
                <w:sz w:val="24"/>
                <w:szCs w:val="24"/>
                <w:highlight w:val="none"/>
              </w:rPr>
            </w:pPr>
            <w:r>
              <w:rPr>
                <w:rFonts w:hint="eastAsia" w:ascii="宋体" w:hAnsi="宋体" w:cs="宋体"/>
                <w:b/>
                <w:bCs/>
                <w:color w:val="auto"/>
                <w:sz w:val="24"/>
                <w:szCs w:val="24"/>
                <w:highlight w:val="none"/>
              </w:rPr>
              <w:t>若有内容与供应商须知前附表内容不一致时，以供应商须知前附表为准。</w:t>
            </w:r>
          </w:p>
        </w:tc>
      </w:tr>
      <w:tr w14:paraId="0962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181E781F">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2</w:t>
            </w:r>
          </w:p>
        </w:tc>
        <w:tc>
          <w:tcPr>
            <w:tcW w:w="2096" w:type="dxa"/>
            <w:vAlign w:val="center"/>
          </w:tcPr>
          <w:p w14:paraId="2BBEA830">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投标保证金</w:t>
            </w:r>
          </w:p>
        </w:tc>
        <w:tc>
          <w:tcPr>
            <w:tcW w:w="6100" w:type="dxa"/>
            <w:vAlign w:val="center"/>
          </w:tcPr>
          <w:p w14:paraId="1E02667F">
            <w:pPr>
              <w:rPr>
                <w:rFonts w:ascii="宋体" w:hAnsi="宋体" w:cs="宋体"/>
                <w:color w:val="auto"/>
                <w:sz w:val="24"/>
                <w:szCs w:val="24"/>
                <w:highlight w:val="none"/>
              </w:rPr>
            </w:pPr>
            <w:r>
              <w:rPr>
                <w:rFonts w:hint="eastAsia" w:ascii="宋体" w:hAnsi="宋体" w:cs="宋体"/>
                <w:color w:val="auto"/>
                <w:sz w:val="24"/>
                <w:szCs w:val="24"/>
                <w:highlight w:val="none"/>
              </w:rPr>
              <w:t>本项目不收取投标保证金</w:t>
            </w:r>
          </w:p>
        </w:tc>
      </w:tr>
      <w:tr w14:paraId="4C33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687198F1">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2096" w:type="dxa"/>
            <w:vAlign w:val="center"/>
          </w:tcPr>
          <w:p w14:paraId="65439E24">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投标有效期</w:t>
            </w:r>
          </w:p>
        </w:tc>
        <w:tc>
          <w:tcPr>
            <w:tcW w:w="6100" w:type="dxa"/>
            <w:vAlign w:val="center"/>
          </w:tcPr>
          <w:p w14:paraId="09327C5D">
            <w:pPr>
              <w:widowControl/>
              <w:rPr>
                <w:rFonts w:hint="eastAsia" w:ascii="宋体" w:hAnsi="宋体" w:cs="宋体"/>
                <w:color w:val="auto"/>
                <w:sz w:val="24"/>
                <w:szCs w:val="24"/>
                <w:highlight w:val="none"/>
              </w:rPr>
            </w:pPr>
            <w:bookmarkStart w:id="14" w:name="EBd40b5fb42f2944a3b45e579ce3941f02"/>
            <w:r>
              <w:rPr>
                <w:rFonts w:hint="eastAsia" w:ascii="宋体" w:hAnsi="宋体" w:cs="宋体"/>
                <w:color w:val="auto"/>
                <w:sz w:val="24"/>
                <w:szCs w:val="24"/>
                <w:highlight w:val="none"/>
              </w:rPr>
              <w:t>90</w:t>
            </w:r>
            <w:bookmarkEnd w:id="14"/>
            <w:r>
              <w:rPr>
                <w:rFonts w:hint="eastAsia" w:ascii="宋体" w:hAnsi="宋体" w:cs="宋体"/>
                <w:color w:val="auto"/>
                <w:sz w:val="24"/>
                <w:szCs w:val="24"/>
                <w:highlight w:val="none"/>
              </w:rPr>
              <w:t>日（从提交</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截止之日起算）</w:t>
            </w:r>
          </w:p>
        </w:tc>
      </w:tr>
      <w:tr w14:paraId="0BFE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38898359">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4</w:t>
            </w:r>
          </w:p>
        </w:tc>
        <w:tc>
          <w:tcPr>
            <w:tcW w:w="2096" w:type="dxa"/>
            <w:vAlign w:val="center"/>
          </w:tcPr>
          <w:p w14:paraId="1268BB8C">
            <w:pPr>
              <w:jc w:val="center"/>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份数</w:t>
            </w:r>
          </w:p>
        </w:tc>
        <w:tc>
          <w:tcPr>
            <w:tcW w:w="6100" w:type="dxa"/>
            <w:vAlign w:val="center"/>
          </w:tcPr>
          <w:p w14:paraId="045C28B1">
            <w:pPr>
              <w:rPr>
                <w:rFonts w:hint="eastAsia" w:ascii="宋体" w:hAnsi="宋体" w:cs="宋体"/>
                <w:color w:val="auto"/>
                <w:sz w:val="24"/>
                <w:szCs w:val="24"/>
                <w:highlight w:val="none"/>
              </w:rPr>
            </w:pPr>
            <w:r>
              <w:rPr>
                <w:rFonts w:hint="eastAsia" w:ascii="宋体" w:hAnsi="宋体" w:cs="宋体"/>
                <w:color w:val="auto"/>
                <w:sz w:val="24"/>
                <w:szCs w:val="24"/>
                <w:highlight w:val="none"/>
              </w:rPr>
              <w:t>正本1份，</w:t>
            </w:r>
            <w:r>
              <w:rPr>
                <w:rFonts w:hint="eastAsia" w:ascii="宋体" w:hAnsi="宋体" w:eastAsia="宋体" w:cs="宋体"/>
                <w:color w:val="auto"/>
                <w:sz w:val="24"/>
                <w:szCs w:val="24"/>
                <w:highlight w:val="none"/>
              </w:rPr>
              <w:t>副本</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份</w:t>
            </w:r>
            <w:r>
              <w:rPr>
                <w:rFonts w:hint="eastAsia" w:ascii="宋体" w:hAnsi="宋体" w:cs="宋体"/>
                <w:color w:val="auto"/>
                <w:sz w:val="24"/>
                <w:szCs w:val="24"/>
                <w:highlight w:val="none"/>
              </w:rPr>
              <w:t>，电子版文件1份（盖章的pdf扫描件U盘 ）。当纸质正本文件与副本、电子版文件不一致时，以纸质正本文件为准，供应商须承担前述不一致造成的不利后果。</w:t>
            </w:r>
          </w:p>
        </w:tc>
      </w:tr>
      <w:tr w14:paraId="1DF9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56FF4675">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2096" w:type="dxa"/>
            <w:vAlign w:val="center"/>
          </w:tcPr>
          <w:p w14:paraId="65D560A1">
            <w:pPr>
              <w:jc w:val="center"/>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的装订、密封及标记</w:t>
            </w:r>
          </w:p>
        </w:tc>
        <w:tc>
          <w:tcPr>
            <w:tcW w:w="6100" w:type="dxa"/>
            <w:vAlign w:val="center"/>
          </w:tcPr>
          <w:p w14:paraId="6472DB12">
            <w:pPr>
              <w:numPr>
                <w:ilvl w:val="0"/>
                <w:numId w:val="4"/>
              </w:numPr>
              <w:rPr>
                <w:rFonts w:hint="eastAsia" w:ascii="宋体" w:hAnsi="宋体" w:cs="宋体"/>
                <w:color w:val="auto"/>
                <w:sz w:val="24"/>
                <w:szCs w:val="24"/>
                <w:highlight w:val="none"/>
              </w:rPr>
            </w:pPr>
            <w:r>
              <w:rPr>
                <w:rFonts w:hint="eastAsia" w:ascii="宋体" w:hAnsi="宋体" w:eastAsia="宋体" w:cs="宋体"/>
                <w:b/>
                <w:bCs/>
                <w:color w:val="auto"/>
                <w:sz w:val="24"/>
                <w:szCs w:val="24"/>
                <w:highlight w:val="none"/>
                <w:lang w:eastAsia="zh-CN"/>
              </w:rPr>
              <w:t>响应文件</w:t>
            </w:r>
            <w:r>
              <w:rPr>
                <w:rFonts w:hint="eastAsia" w:ascii="宋体" w:hAnsi="宋体" w:cs="宋体"/>
                <w:b/>
                <w:bCs/>
                <w:color w:val="auto"/>
                <w:sz w:val="24"/>
                <w:szCs w:val="24"/>
                <w:highlight w:val="none"/>
              </w:rPr>
              <w:t>须装订成册。</w:t>
            </w:r>
          </w:p>
          <w:p w14:paraId="67C2CB86">
            <w:pPr>
              <w:numPr>
                <w:ilvl w:val="0"/>
                <w:numId w:val="4"/>
              </w:numPr>
              <w:rPr>
                <w:rFonts w:hint="eastAsia" w:ascii="宋体" w:hAnsi="宋体" w:cs="宋体"/>
                <w:color w:val="auto"/>
                <w:sz w:val="24"/>
                <w:szCs w:val="24"/>
                <w:highlight w:val="none"/>
              </w:rPr>
            </w:pPr>
            <w:r>
              <w:rPr>
                <w:rFonts w:ascii="宋体" w:hAnsi="宋体" w:cs="宋体"/>
                <w:color w:val="auto"/>
                <w:sz w:val="24"/>
                <w:szCs w:val="24"/>
                <w:highlight w:val="none"/>
              </w:rPr>
              <w:t>“</w:t>
            </w:r>
            <w:r>
              <w:rPr>
                <w:rFonts w:hint="eastAsia" w:ascii="宋体" w:hAnsi="宋体" w:eastAsia="宋体" w:cs="宋体"/>
                <w:color w:val="auto"/>
                <w:sz w:val="24"/>
                <w:szCs w:val="24"/>
                <w:highlight w:val="none"/>
                <w:lang w:eastAsia="zh-CN"/>
              </w:rPr>
              <w:t>首轮报价表</w:t>
            </w:r>
            <w:r>
              <w:rPr>
                <w:rFonts w:ascii="宋体" w:hAnsi="宋体" w:cs="宋体"/>
                <w:color w:val="auto"/>
                <w:sz w:val="24"/>
                <w:szCs w:val="24"/>
                <w:highlight w:val="none"/>
              </w:rPr>
              <w:t>”</w:t>
            </w:r>
            <w:r>
              <w:rPr>
                <w:rFonts w:hint="eastAsia" w:ascii="宋体" w:hAnsi="宋体" w:cs="宋体"/>
                <w:color w:val="auto"/>
                <w:sz w:val="24"/>
                <w:szCs w:val="24"/>
                <w:highlight w:val="none"/>
              </w:rPr>
              <w:t>、</w:t>
            </w:r>
            <w:r>
              <w:rPr>
                <w:rFonts w:ascii="宋体" w:hAnsi="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正本</w:t>
            </w:r>
            <w:r>
              <w:rPr>
                <w:rFonts w:ascii="宋体" w:hAnsi="宋体" w:cs="宋体"/>
                <w:color w:val="auto"/>
                <w:sz w:val="24"/>
                <w:szCs w:val="24"/>
                <w:highlight w:val="none"/>
              </w:rPr>
              <w:t>”</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副本</w:t>
            </w:r>
            <w:r>
              <w:rPr>
                <w:rFonts w:ascii="宋体" w:hAnsi="宋体" w:cs="宋体"/>
                <w:color w:val="auto"/>
                <w:sz w:val="24"/>
                <w:szCs w:val="24"/>
                <w:highlight w:val="none"/>
              </w:rPr>
              <w:t>”</w:t>
            </w:r>
            <w:r>
              <w:rPr>
                <w:rFonts w:hint="eastAsia" w:ascii="宋体" w:hAnsi="宋体" w:cs="宋体"/>
                <w:color w:val="auto"/>
                <w:sz w:val="24"/>
                <w:szCs w:val="24"/>
                <w:highlight w:val="none"/>
              </w:rPr>
              <w:t>、“电子</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”均应单独密封，并应在骑缝处加盖供应商公章，单独递交。</w:t>
            </w:r>
          </w:p>
          <w:p w14:paraId="5B2A8879">
            <w:pPr>
              <w:numPr>
                <w:ilvl w:val="0"/>
                <w:numId w:val="4"/>
              </w:numPr>
              <w:rPr>
                <w:rFonts w:hint="eastAsia" w:ascii="宋体" w:hAnsi="宋体" w:cs="宋体"/>
                <w:color w:val="auto"/>
                <w:sz w:val="24"/>
                <w:szCs w:val="24"/>
                <w:highlight w:val="none"/>
              </w:rPr>
            </w:pPr>
            <w:r>
              <w:rPr>
                <w:rFonts w:ascii="宋体" w:hAnsi="宋体" w:cs="宋体"/>
                <w:color w:val="auto"/>
                <w:sz w:val="24"/>
                <w:szCs w:val="24"/>
                <w:highlight w:val="none"/>
              </w:rPr>
              <w:t>“</w:t>
            </w:r>
            <w:r>
              <w:rPr>
                <w:rFonts w:hint="eastAsia" w:ascii="宋体" w:hAnsi="宋体" w:eastAsia="宋体" w:cs="宋体"/>
                <w:color w:val="auto"/>
                <w:sz w:val="24"/>
                <w:szCs w:val="24"/>
                <w:highlight w:val="none"/>
                <w:lang w:eastAsia="zh-CN"/>
              </w:rPr>
              <w:t>首轮报价表</w:t>
            </w:r>
            <w:r>
              <w:rPr>
                <w:rFonts w:ascii="宋体" w:hAnsi="宋体" w:cs="宋体"/>
                <w:color w:val="auto"/>
                <w:sz w:val="24"/>
                <w:szCs w:val="24"/>
                <w:highlight w:val="none"/>
              </w:rPr>
              <w:t>”</w:t>
            </w:r>
            <w:r>
              <w:rPr>
                <w:rFonts w:hint="eastAsia" w:ascii="宋体" w:hAnsi="宋体" w:cs="宋体"/>
                <w:color w:val="auto"/>
                <w:sz w:val="24"/>
                <w:szCs w:val="24"/>
                <w:highlight w:val="none"/>
              </w:rPr>
              <w:t>、</w:t>
            </w:r>
            <w:r>
              <w:rPr>
                <w:rFonts w:ascii="宋体" w:hAnsi="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正本</w:t>
            </w:r>
            <w:r>
              <w:rPr>
                <w:rFonts w:ascii="宋体" w:hAnsi="宋体" w:cs="宋体"/>
                <w:color w:val="auto"/>
                <w:sz w:val="24"/>
                <w:szCs w:val="24"/>
                <w:highlight w:val="none"/>
              </w:rPr>
              <w:t>”</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副本</w:t>
            </w:r>
            <w:r>
              <w:rPr>
                <w:rFonts w:ascii="宋体" w:hAnsi="宋体" w:cs="宋体"/>
                <w:color w:val="auto"/>
                <w:sz w:val="24"/>
                <w:szCs w:val="24"/>
                <w:highlight w:val="none"/>
              </w:rPr>
              <w:t>”</w:t>
            </w:r>
            <w:r>
              <w:rPr>
                <w:rFonts w:hint="eastAsia" w:ascii="宋体" w:hAnsi="宋体" w:cs="宋体"/>
                <w:color w:val="auto"/>
                <w:sz w:val="24"/>
                <w:szCs w:val="24"/>
                <w:highlight w:val="none"/>
              </w:rPr>
              <w:t>、“电子</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”在封套上注明“</w:t>
            </w:r>
            <w:r>
              <w:rPr>
                <w:rFonts w:hint="eastAsia" w:ascii="宋体" w:hAnsi="宋体" w:eastAsia="宋体" w:cs="宋体"/>
                <w:color w:val="auto"/>
                <w:sz w:val="24"/>
                <w:szCs w:val="24"/>
                <w:highlight w:val="none"/>
                <w:lang w:eastAsia="zh-CN"/>
              </w:rPr>
              <w:t>首轮报价表</w:t>
            </w:r>
            <w:r>
              <w:rPr>
                <w:rFonts w:ascii="宋体" w:hAnsi="宋体" w:cs="宋体"/>
                <w:color w:val="auto"/>
                <w:sz w:val="24"/>
                <w:szCs w:val="24"/>
                <w:highlight w:val="none"/>
              </w:rPr>
              <w:t>”</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正本”、“</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副本”、“电子</w:t>
            </w:r>
            <w:r>
              <w:rPr>
                <w:rFonts w:hint="eastAsia" w:ascii="宋体" w:hAnsi="宋体" w:eastAsia="宋体" w:cs="宋体"/>
                <w:color w:val="auto"/>
                <w:sz w:val="24"/>
                <w:szCs w:val="24"/>
                <w:highlight w:val="none"/>
                <w:lang w:eastAsia="zh-CN"/>
              </w:rPr>
              <w:t>响应文件</w:t>
            </w:r>
            <w:r>
              <w:rPr>
                <w:rFonts w:hint="eastAsia" w:ascii="宋体" w:hAnsi="宋体" w:cs="宋体"/>
                <w:color w:val="auto"/>
                <w:sz w:val="24"/>
                <w:szCs w:val="24"/>
                <w:highlight w:val="none"/>
              </w:rPr>
              <w:t>”。</w:t>
            </w:r>
          </w:p>
          <w:p w14:paraId="3A071726">
            <w:pPr>
              <w:numPr>
                <w:ilvl w:val="0"/>
                <w:numId w:val="4"/>
              </w:numPr>
              <w:rPr>
                <w:rFonts w:hint="eastAsia" w:ascii="宋体" w:hAnsi="宋体" w:cs="宋体"/>
                <w:color w:val="auto"/>
                <w:sz w:val="24"/>
                <w:szCs w:val="24"/>
                <w:highlight w:val="none"/>
              </w:rPr>
            </w:pPr>
            <w:r>
              <w:rPr>
                <w:rFonts w:hint="eastAsia" w:ascii="宋体" w:hAnsi="宋体" w:cs="宋体"/>
                <w:color w:val="auto"/>
                <w:sz w:val="24"/>
                <w:szCs w:val="24"/>
                <w:highlight w:val="none"/>
              </w:rPr>
              <w:t>所有封套上均须按如下格式写明：</w:t>
            </w:r>
          </w:p>
          <w:p w14:paraId="18464AE4">
            <w:pP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r>
              <w:rPr>
                <w:rFonts w:hint="eastAsia" w:ascii="宋体" w:hAnsi="宋体" w:eastAsia="宋体" w:cs="宋体"/>
                <w:color w:val="auto"/>
                <w:sz w:val="24"/>
                <w:szCs w:val="24"/>
                <w:highlight w:val="none"/>
                <w:lang w:eastAsia="zh-CN"/>
              </w:rPr>
              <w:t>磋商文件</w:t>
            </w:r>
            <w:r>
              <w:rPr>
                <w:rFonts w:hint="eastAsia" w:ascii="宋体" w:hAnsi="宋体" w:cs="宋体"/>
                <w:color w:val="auto"/>
                <w:sz w:val="24"/>
                <w:szCs w:val="24"/>
                <w:highlight w:val="none"/>
              </w:rPr>
              <w:t>编号：</w:t>
            </w:r>
          </w:p>
          <w:p w14:paraId="36013019">
            <w:pPr>
              <w:ind w:firstLine="240" w:firstLineChars="10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采购项目名称：</w:t>
            </w:r>
          </w:p>
          <w:p w14:paraId="541316B9">
            <w:pPr>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供应商的全称、地址、邮编和电话。</w:t>
            </w:r>
          </w:p>
          <w:p w14:paraId="2DE70531">
            <w:pPr>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并写明“在（投标截止时间）之前不得启封”字样。</w:t>
            </w:r>
          </w:p>
          <w:p w14:paraId="7B616CA4">
            <w:pPr>
              <w:rPr>
                <w:rFonts w:hint="eastAsia" w:ascii="宋体" w:hAnsi="宋体" w:cs="宋体"/>
                <w:color w:val="auto"/>
                <w:sz w:val="24"/>
                <w:szCs w:val="24"/>
                <w:highlight w:val="none"/>
              </w:rPr>
            </w:pPr>
            <w:r>
              <w:rPr>
                <w:rFonts w:hint="eastAsia" w:ascii="宋体" w:hAnsi="宋体" w:cs="宋体"/>
                <w:b/>
                <w:bCs/>
                <w:color w:val="auto"/>
                <w:sz w:val="24"/>
                <w:szCs w:val="24"/>
                <w:highlight w:val="none"/>
              </w:rPr>
              <w:t>未按上述规定密封的</w:t>
            </w:r>
            <w:r>
              <w:rPr>
                <w:rFonts w:hint="eastAsia" w:ascii="宋体" w:hAnsi="宋体" w:eastAsia="宋体" w:cs="宋体"/>
                <w:b/>
                <w:bCs/>
                <w:color w:val="auto"/>
                <w:sz w:val="24"/>
                <w:szCs w:val="24"/>
                <w:highlight w:val="none"/>
                <w:lang w:eastAsia="zh-CN"/>
              </w:rPr>
              <w:t>响应文件</w:t>
            </w:r>
            <w:r>
              <w:rPr>
                <w:rFonts w:hint="eastAsia" w:ascii="宋体" w:hAnsi="宋体" w:cs="宋体"/>
                <w:b/>
                <w:bCs/>
                <w:color w:val="auto"/>
                <w:sz w:val="24"/>
                <w:szCs w:val="24"/>
                <w:highlight w:val="none"/>
              </w:rPr>
              <w:t>,采购代理机构将拒绝接收。</w:t>
            </w:r>
          </w:p>
        </w:tc>
      </w:tr>
      <w:tr w14:paraId="5FDB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tcBorders>
              <w:bottom w:val="single" w:color="auto" w:sz="4" w:space="0"/>
            </w:tcBorders>
            <w:vAlign w:val="center"/>
          </w:tcPr>
          <w:p w14:paraId="648E17C7">
            <w:pPr>
              <w:jc w:val="center"/>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val="en-US" w:eastAsia="zh-CN"/>
              </w:rPr>
              <w:t>6</w:t>
            </w:r>
          </w:p>
        </w:tc>
        <w:tc>
          <w:tcPr>
            <w:tcW w:w="2096" w:type="dxa"/>
            <w:vAlign w:val="center"/>
          </w:tcPr>
          <w:p w14:paraId="07A27D4C">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评审办法</w:t>
            </w:r>
          </w:p>
        </w:tc>
        <w:tc>
          <w:tcPr>
            <w:tcW w:w="6100" w:type="dxa"/>
            <w:vAlign w:val="center"/>
          </w:tcPr>
          <w:p w14:paraId="6C4ADF2F">
            <w:pPr>
              <w:widowControl/>
              <w:rPr>
                <w:rFonts w:hint="eastAsia" w:ascii="宋体" w:hAnsi="宋体" w:cs="宋体"/>
                <w:color w:val="auto"/>
                <w:sz w:val="24"/>
                <w:szCs w:val="24"/>
                <w:highlight w:val="none"/>
              </w:rPr>
            </w:pPr>
            <w:r>
              <w:rPr>
                <w:rFonts w:hint="eastAsia" w:ascii="宋体" w:hAnsi="宋体" w:cs="宋体"/>
                <w:color w:val="auto"/>
                <w:sz w:val="24"/>
                <w:szCs w:val="24"/>
                <w:highlight w:val="none"/>
              </w:rPr>
              <w:t>综合评分法</w:t>
            </w:r>
          </w:p>
          <w:p w14:paraId="0B5C2AE9">
            <w:pPr>
              <w:widowControl/>
              <w:rPr>
                <w:rFonts w:hint="eastAsia" w:ascii="宋体" w:hAnsi="宋体" w:cs="宋体"/>
                <w:color w:val="auto"/>
                <w:sz w:val="24"/>
                <w:szCs w:val="24"/>
                <w:highlight w:val="none"/>
              </w:rPr>
            </w:pPr>
            <w:r>
              <w:rPr>
                <w:rFonts w:hint="eastAsia" w:ascii="宋体" w:hAnsi="宋体" w:cs="宋体"/>
                <w:color w:val="auto"/>
                <w:sz w:val="24"/>
                <w:szCs w:val="24"/>
                <w:highlight w:val="none"/>
              </w:rPr>
              <w:t>具体</w:t>
            </w:r>
            <w:r>
              <w:rPr>
                <w:rFonts w:hint="eastAsia" w:ascii="宋体" w:hAnsi="宋体" w:eastAsia="宋体" w:cs="宋体"/>
                <w:color w:val="auto"/>
                <w:sz w:val="24"/>
                <w:szCs w:val="24"/>
                <w:highlight w:val="none"/>
                <w:lang w:eastAsia="zh-CN"/>
              </w:rPr>
              <w:t>评审办法</w:t>
            </w:r>
            <w:r>
              <w:rPr>
                <w:rFonts w:hint="eastAsia" w:ascii="宋体" w:hAnsi="宋体" w:cs="宋体"/>
                <w:color w:val="auto"/>
                <w:sz w:val="24"/>
                <w:szCs w:val="24"/>
                <w:highlight w:val="none"/>
              </w:rPr>
              <w:t>详见</w:t>
            </w:r>
            <w:r>
              <w:rPr>
                <w:rFonts w:hint="eastAsia" w:ascii="宋体" w:hAnsi="宋体" w:eastAsia="宋体" w:cs="宋体"/>
                <w:color w:val="auto"/>
                <w:sz w:val="24"/>
                <w:szCs w:val="24"/>
                <w:highlight w:val="none"/>
                <w:lang w:val="en-US" w:eastAsia="zh-CN"/>
              </w:rPr>
              <w:t>磋商</w:t>
            </w:r>
            <w:r>
              <w:rPr>
                <w:rFonts w:hint="eastAsia" w:ascii="宋体" w:hAnsi="宋体" w:cs="宋体"/>
                <w:color w:val="auto"/>
                <w:sz w:val="24"/>
                <w:szCs w:val="24"/>
                <w:highlight w:val="none"/>
              </w:rPr>
              <w:t>文件第三部分。</w:t>
            </w:r>
          </w:p>
          <w:p w14:paraId="1431E448">
            <w:pPr>
              <w:widowControl/>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评审</w:t>
            </w:r>
            <w:r>
              <w:rPr>
                <w:rFonts w:hint="eastAsia" w:ascii="宋体" w:hAnsi="宋体" w:cs="宋体"/>
                <w:color w:val="auto"/>
                <w:sz w:val="24"/>
                <w:szCs w:val="24"/>
                <w:highlight w:val="none"/>
              </w:rPr>
              <w:t>委员会按照</w:t>
            </w:r>
            <w:r>
              <w:rPr>
                <w:rFonts w:hint="eastAsia" w:ascii="宋体" w:hAnsi="宋体" w:eastAsia="宋体" w:cs="宋体"/>
                <w:color w:val="auto"/>
                <w:sz w:val="24"/>
                <w:szCs w:val="24"/>
                <w:highlight w:val="none"/>
                <w:lang w:eastAsia="zh-CN"/>
              </w:rPr>
              <w:t>磋商文件</w:t>
            </w:r>
            <w:r>
              <w:rPr>
                <w:rFonts w:hint="eastAsia" w:ascii="宋体" w:hAnsi="宋体" w:cs="宋体"/>
                <w:color w:val="auto"/>
                <w:sz w:val="24"/>
                <w:szCs w:val="24"/>
                <w:highlight w:val="none"/>
              </w:rPr>
              <w:t>规定的</w:t>
            </w:r>
            <w:r>
              <w:rPr>
                <w:rFonts w:hint="eastAsia" w:ascii="宋体" w:hAnsi="宋体" w:eastAsia="宋体" w:cs="宋体"/>
                <w:color w:val="auto"/>
                <w:sz w:val="24"/>
                <w:szCs w:val="24"/>
                <w:highlight w:val="none"/>
                <w:lang w:eastAsia="zh-CN"/>
              </w:rPr>
              <w:t>评审办法</w:t>
            </w:r>
            <w:r>
              <w:rPr>
                <w:rFonts w:hint="eastAsia" w:ascii="宋体" w:hAnsi="宋体" w:cs="宋体"/>
                <w:color w:val="auto"/>
                <w:sz w:val="24"/>
                <w:szCs w:val="24"/>
                <w:highlight w:val="none"/>
              </w:rPr>
              <w:t>和标准，确定各供应商经评审后的得分，并按得分由高到低进行排序。</w:t>
            </w:r>
          </w:p>
        </w:tc>
      </w:tr>
      <w:tr w14:paraId="34EE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280F5CC0">
            <w:pPr>
              <w:jc w:val="center"/>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val="en-US" w:eastAsia="zh-CN"/>
              </w:rPr>
              <w:t>7</w:t>
            </w:r>
          </w:p>
        </w:tc>
        <w:tc>
          <w:tcPr>
            <w:tcW w:w="2096" w:type="dxa"/>
            <w:vAlign w:val="center"/>
          </w:tcPr>
          <w:p w14:paraId="34FCF721">
            <w:pPr>
              <w:jc w:val="center"/>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成交</w:t>
            </w:r>
            <w:r>
              <w:rPr>
                <w:rFonts w:hint="eastAsia" w:ascii="宋体" w:hAnsi="宋体" w:cs="宋体"/>
                <w:color w:val="auto"/>
                <w:sz w:val="24"/>
                <w:szCs w:val="24"/>
                <w:highlight w:val="none"/>
              </w:rPr>
              <w:t>通知书领取</w:t>
            </w:r>
          </w:p>
        </w:tc>
        <w:tc>
          <w:tcPr>
            <w:tcW w:w="6100" w:type="dxa"/>
            <w:vAlign w:val="center"/>
          </w:tcPr>
          <w:p w14:paraId="5475EE39">
            <w:pPr>
              <w:widowControl/>
              <w:rPr>
                <w:rFonts w:hint="eastAsia" w:ascii="宋体" w:hAnsi="宋体" w:cs="宋体"/>
                <w:color w:val="auto"/>
                <w:sz w:val="24"/>
                <w:szCs w:val="24"/>
                <w:highlight w:val="none"/>
              </w:rPr>
            </w:pPr>
            <w:r>
              <w:rPr>
                <w:rFonts w:hint="eastAsia" w:ascii="宋体" w:hAnsi="宋体" w:cs="宋体"/>
                <w:color w:val="auto"/>
                <w:sz w:val="24"/>
                <w:szCs w:val="24"/>
                <w:highlight w:val="none"/>
              </w:rPr>
              <w:t>领取地址：南京市中华路50号弘业大厦</w:t>
            </w:r>
            <w:r>
              <w:rPr>
                <w:rFonts w:hint="eastAsia" w:ascii="宋体" w:hAnsi="宋体" w:eastAsia="宋体" w:cs="宋体"/>
                <w:color w:val="auto"/>
                <w:sz w:val="24"/>
                <w:szCs w:val="24"/>
                <w:highlight w:val="none"/>
                <w:lang w:val="en-US" w:eastAsia="zh-CN"/>
              </w:rPr>
              <w:t>10楼</w:t>
            </w:r>
            <w:r>
              <w:rPr>
                <w:rFonts w:hint="eastAsia" w:ascii="宋体" w:hAnsi="宋体" w:cs="宋体"/>
                <w:color w:val="auto"/>
                <w:sz w:val="24"/>
                <w:szCs w:val="24"/>
                <w:highlight w:val="none"/>
              </w:rPr>
              <w:t>。</w:t>
            </w:r>
          </w:p>
          <w:p w14:paraId="09538D82">
            <w:pPr>
              <w:widowControl/>
              <w:rPr>
                <w:rFonts w:ascii="宋体" w:hAnsi="宋体" w:cs="宋体"/>
                <w:color w:val="auto"/>
                <w:sz w:val="24"/>
                <w:szCs w:val="24"/>
                <w:highlight w:val="none"/>
              </w:rPr>
            </w:pPr>
            <w:r>
              <w:rPr>
                <w:rFonts w:hint="eastAsia" w:ascii="宋体" w:hAnsi="宋体" w:cs="宋体"/>
                <w:color w:val="auto"/>
                <w:sz w:val="24"/>
                <w:szCs w:val="24"/>
                <w:highlight w:val="none"/>
              </w:rPr>
              <w:t>需提供材料：</w:t>
            </w:r>
            <w:r>
              <w:rPr>
                <w:rFonts w:hint="eastAsia" w:ascii="宋体" w:hAnsi="宋体" w:eastAsia="宋体" w:cs="宋体"/>
                <w:color w:val="auto"/>
                <w:sz w:val="24"/>
                <w:szCs w:val="24"/>
                <w:highlight w:val="none"/>
                <w:lang w:val="en-US" w:eastAsia="zh-CN"/>
              </w:rPr>
              <w:t>代理</w:t>
            </w:r>
            <w:r>
              <w:rPr>
                <w:rFonts w:hint="eastAsia" w:ascii="宋体" w:hAnsi="宋体" w:cs="宋体"/>
                <w:color w:val="auto"/>
                <w:sz w:val="24"/>
                <w:szCs w:val="24"/>
                <w:highlight w:val="none"/>
              </w:rPr>
              <w:t>服务费缴纳截图</w:t>
            </w:r>
          </w:p>
        </w:tc>
      </w:tr>
      <w:tr w14:paraId="3CD0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6D0AA07E">
            <w:pPr>
              <w:jc w:val="center"/>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val="en-US" w:eastAsia="zh-CN"/>
              </w:rPr>
              <w:t>8</w:t>
            </w:r>
          </w:p>
        </w:tc>
        <w:tc>
          <w:tcPr>
            <w:tcW w:w="2096" w:type="dxa"/>
            <w:vAlign w:val="center"/>
          </w:tcPr>
          <w:p w14:paraId="38358A2C">
            <w:pPr>
              <w:jc w:val="center"/>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代理</w:t>
            </w:r>
            <w:r>
              <w:rPr>
                <w:rFonts w:hint="eastAsia" w:ascii="宋体" w:hAnsi="宋体" w:cs="宋体"/>
                <w:color w:val="auto"/>
                <w:sz w:val="24"/>
                <w:szCs w:val="24"/>
                <w:highlight w:val="none"/>
              </w:rPr>
              <w:t>服务费的收取</w:t>
            </w:r>
          </w:p>
        </w:tc>
        <w:tc>
          <w:tcPr>
            <w:tcW w:w="6100" w:type="dxa"/>
            <w:vAlign w:val="center"/>
          </w:tcPr>
          <w:p w14:paraId="54010D42">
            <w:pPr>
              <w:rPr>
                <w:rFonts w:hint="eastAsia" w:ascii="宋体" w:hAnsi="宋体"/>
                <w:color w:val="auto"/>
                <w:highlight w:val="none"/>
              </w:rPr>
            </w:pPr>
            <w:r>
              <w:rPr>
                <w:rFonts w:hint="eastAsia" w:ascii="宋体" w:hAnsi="宋体"/>
                <w:color w:val="auto"/>
                <w:highlight w:val="none"/>
                <w:lang w:val="en-US" w:eastAsia="zh-CN"/>
              </w:rPr>
              <w:t>根据采购人与代理机构的代理协议约定，</w:t>
            </w:r>
            <w:r>
              <w:rPr>
                <w:rFonts w:hint="eastAsia" w:ascii="宋体" w:hAnsi="宋体"/>
                <w:color w:val="auto"/>
                <w:highlight w:val="none"/>
              </w:rPr>
              <w:t>本项目</w:t>
            </w:r>
            <w:r>
              <w:rPr>
                <w:rFonts w:hint="eastAsia" w:ascii="宋体" w:hAnsi="宋体" w:eastAsia="宋体"/>
                <w:color w:val="auto"/>
                <w:highlight w:val="none"/>
                <w:lang w:val="en-US" w:eastAsia="zh-CN"/>
              </w:rPr>
              <w:t>代理</w:t>
            </w:r>
            <w:r>
              <w:rPr>
                <w:rFonts w:hint="eastAsia" w:ascii="宋体" w:hAnsi="宋体"/>
                <w:color w:val="auto"/>
                <w:highlight w:val="none"/>
              </w:rPr>
              <w:t>服务费按照计价格[2002]1980号文收费标准的35%计取，</w:t>
            </w:r>
            <w:r>
              <w:rPr>
                <w:rFonts w:hint="eastAsia" w:ascii="宋体" w:hAnsi="宋体" w:eastAsia="宋体"/>
                <w:color w:val="auto"/>
                <w:highlight w:val="none"/>
                <w:lang w:val="en-US" w:eastAsia="zh-CN"/>
              </w:rPr>
              <w:t>成交供应商</w:t>
            </w:r>
            <w:r>
              <w:rPr>
                <w:rFonts w:hint="eastAsia" w:ascii="宋体" w:hAnsi="宋体"/>
                <w:color w:val="auto"/>
                <w:highlight w:val="none"/>
              </w:rPr>
              <w:t>应在领取</w:t>
            </w:r>
            <w:r>
              <w:rPr>
                <w:rFonts w:hint="eastAsia" w:ascii="宋体" w:hAnsi="宋体" w:eastAsia="宋体"/>
                <w:color w:val="auto"/>
                <w:highlight w:val="none"/>
                <w:lang w:val="en-US" w:eastAsia="zh-CN"/>
              </w:rPr>
              <w:t>成交</w:t>
            </w:r>
            <w:r>
              <w:rPr>
                <w:rFonts w:hint="eastAsia" w:ascii="宋体" w:hAnsi="宋体"/>
                <w:color w:val="auto"/>
                <w:highlight w:val="none"/>
              </w:rPr>
              <w:t>通知书前缴纳。</w:t>
            </w:r>
          </w:p>
          <w:p w14:paraId="403E3DEA">
            <w:pPr>
              <w:rPr>
                <w:rFonts w:hint="eastAsia" w:ascii="宋体" w:hAnsi="宋体"/>
                <w:color w:val="auto"/>
                <w:highlight w:val="none"/>
                <w:lang w:eastAsia="zh-CN"/>
              </w:rPr>
            </w:pPr>
            <w:r>
              <w:rPr>
                <w:rFonts w:hint="eastAsia" w:ascii="宋体" w:hAnsi="宋体"/>
                <w:color w:val="auto"/>
                <w:highlight w:val="none"/>
                <w:lang w:val="en-US"/>
              </w:rPr>
              <w:t>本项目</w:t>
            </w:r>
            <w:r>
              <w:rPr>
                <w:rFonts w:hint="eastAsia" w:ascii="宋体" w:hAnsi="宋体"/>
                <w:color w:val="auto"/>
                <w:highlight w:val="none"/>
              </w:rPr>
              <w:t>评审费由采购人支付</w:t>
            </w:r>
            <w:r>
              <w:rPr>
                <w:rFonts w:hint="eastAsia" w:ascii="宋体" w:hAnsi="宋体"/>
                <w:color w:val="auto"/>
                <w:highlight w:val="none"/>
                <w:lang w:eastAsia="zh-CN"/>
              </w:rPr>
              <w:t>。</w:t>
            </w:r>
          </w:p>
          <w:p w14:paraId="00512B23">
            <w:pPr>
              <w:rPr>
                <w:rFonts w:hint="eastAsia" w:ascii="宋体" w:hAnsi="宋体"/>
                <w:color w:val="auto"/>
                <w:highlight w:val="none"/>
              </w:rPr>
            </w:pPr>
            <w:r>
              <w:rPr>
                <w:rFonts w:hint="eastAsia" w:ascii="宋体" w:hAnsi="宋体"/>
                <w:color w:val="auto"/>
                <w:highlight w:val="none"/>
                <w:lang w:val="en-US"/>
              </w:rPr>
              <w:t>预算包含代理服务费，采购人不额外支付，供应商投标报价需包含该费用。</w:t>
            </w:r>
          </w:p>
          <w:p w14:paraId="476682A7">
            <w:pPr>
              <w:rPr>
                <w:rFonts w:ascii="宋体" w:hAnsi="宋体"/>
                <w:color w:val="auto"/>
                <w:highlight w:val="none"/>
              </w:rPr>
            </w:pPr>
            <w:r>
              <w:rPr>
                <w:rFonts w:hint="eastAsia" w:ascii="宋体" w:hAnsi="宋体"/>
                <w:color w:val="auto"/>
                <w:highlight w:val="none"/>
              </w:rPr>
              <w:tab/>
            </w:r>
            <w:r>
              <w:rPr>
                <w:rFonts w:hint="eastAsia" w:ascii="宋体" w:hAnsi="宋体"/>
                <w:color w:val="auto"/>
                <w:highlight w:val="none"/>
              </w:rPr>
              <w:t>账户信息：</w:t>
            </w:r>
          </w:p>
          <w:p w14:paraId="42AF2D2A">
            <w:pPr>
              <w:rPr>
                <w:rFonts w:ascii="宋体" w:hAnsi="宋体"/>
                <w:color w:val="auto"/>
                <w:highlight w:val="none"/>
              </w:rPr>
            </w:pPr>
            <w:r>
              <w:rPr>
                <w:rFonts w:hint="eastAsia" w:ascii="宋体" w:hAnsi="宋体"/>
                <w:color w:val="auto"/>
                <w:highlight w:val="none"/>
              </w:rPr>
              <w:tab/>
            </w:r>
            <w:r>
              <w:rPr>
                <w:rFonts w:hint="eastAsia" w:ascii="宋体" w:hAnsi="宋体"/>
                <w:color w:val="auto"/>
                <w:highlight w:val="none"/>
              </w:rPr>
              <w:t>户    名：江苏弘业国际技术工程有限公司</w:t>
            </w:r>
          </w:p>
          <w:p w14:paraId="55647EB2">
            <w:pPr>
              <w:rPr>
                <w:rFonts w:ascii="宋体" w:hAnsi="宋体"/>
                <w:color w:val="auto"/>
                <w:highlight w:val="none"/>
              </w:rPr>
            </w:pPr>
            <w:r>
              <w:rPr>
                <w:rFonts w:hint="eastAsia" w:ascii="宋体" w:hAnsi="宋体"/>
                <w:color w:val="auto"/>
                <w:highlight w:val="none"/>
              </w:rPr>
              <w:tab/>
            </w:r>
            <w:r>
              <w:rPr>
                <w:rFonts w:hint="eastAsia" w:ascii="宋体" w:hAnsi="宋体"/>
                <w:color w:val="auto"/>
                <w:highlight w:val="none"/>
              </w:rPr>
              <w:t xml:space="preserve">开户银行：中国银行南京市中华路支行   </w:t>
            </w:r>
          </w:p>
          <w:p w14:paraId="3C5547CC">
            <w:pPr>
              <w:widowControl/>
              <w:rPr>
                <w:rFonts w:hint="eastAsia"/>
                <w:color w:val="auto"/>
                <w:highlight w:val="none"/>
              </w:rPr>
            </w:pPr>
            <w:r>
              <w:rPr>
                <w:rFonts w:hint="eastAsia" w:ascii="宋体" w:hAnsi="宋体"/>
                <w:color w:val="auto"/>
                <w:highlight w:val="none"/>
              </w:rPr>
              <w:tab/>
            </w:r>
            <w:r>
              <w:rPr>
                <w:rFonts w:hint="eastAsia" w:ascii="宋体" w:hAnsi="宋体"/>
                <w:color w:val="auto"/>
                <w:highlight w:val="none"/>
              </w:rPr>
              <w:t>账    号：527460884999</w:t>
            </w:r>
          </w:p>
        </w:tc>
      </w:tr>
      <w:tr w14:paraId="40CB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22" w:type="dxa"/>
            <w:vAlign w:val="center"/>
          </w:tcPr>
          <w:p w14:paraId="554DC26C">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2096" w:type="dxa"/>
            <w:vAlign w:val="center"/>
          </w:tcPr>
          <w:p w14:paraId="360ECBFA">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履约保证金</w:t>
            </w:r>
          </w:p>
        </w:tc>
        <w:tc>
          <w:tcPr>
            <w:tcW w:w="6100" w:type="dxa"/>
            <w:vAlign w:val="center"/>
          </w:tcPr>
          <w:p w14:paraId="6516355D">
            <w:pPr>
              <w:rPr>
                <w:rFonts w:hint="eastAsia"/>
                <w:color w:val="auto"/>
                <w:highlight w:val="none"/>
              </w:rPr>
            </w:pPr>
            <w:r>
              <w:rPr>
                <w:rFonts w:hint="eastAsia" w:ascii="宋体" w:hAnsi="宋体" w:eastAsia="宋体"/>
                <w:color w:val="auto"/>
                <w:sz w:val="24"/>
                <w:szCs w:val="24"/>
                <w:highlight w:val="none"/>
                <w:lang w:val="en-US" w:eastAsia="zh-CN"/>
              </w:rPr>
              <w:t>本项目不适用</w:t>
            </w:r>
          </w:p>
        </w:tc>
      </w:tr>
    </w:tbl>
    <w:p w14:paraId="4D5B738E">
      <w:pPr>
        <w:rPr>
          <w:rFonts w:hint="eastAsia"/>
          <w:color w:val="auto"/>
          <w:highlight w:val="none"/>
        </w:rPr>
      </w:pPr>
      <w:r>
        <w:rPr>
          <w:rFonts w:hint="eastAsia"/>
          <w:color w:val="auto"/>
          <w:highlight w:val="none"/>
        </w:rPr>
        <w:t xml:space="preserve"> </w:t>
      </w:r>
      <w:bookmarkEnd w:id="13"/>
      <w:bookmarkStart w:id="15" w:name="EB2d3e932a0a0c4e209d421944342e92d7"/>
      <w:r>
        <w:rPr>
          <w:rFonts w:hint="eastAsia"/>
          <w:color w:val="auto"/>
          <w:sz w:val="20"/>
          <w:highlight w:val="none"/>
        </w:rPr>
        <w:t xml:space="preserve"> </w:t>
      </w:r>
      <w:bookmarkEnd w:id="15"/>
      <w:bookmarkStart w:id="16" w:name="EBaedf9b21ed39447d9eea88a727d9d91a"/>
      <w:r>
        <w:rPr>
          <w:rFonts w:hint="eastAsia"/>
          <w:color w:val="auto"/>
          <w:sz w:val="20"/>
          <w:highlight w:val="none"/>
        </w:rPr>
        <w:t xml:space="preserve"> </w:t>
      </w:r>
      <w:bookmarkEnd w:id="16"/>
      <w:bookmarkStart w:id="17" w:name="EBf9ce5bee253a44a6a8b4d86c32b1743c"/>
      <w:r>
        <w:rPr>
          <w:rFonts w:hint="eastAsia"/>
          <w:color w:val="auto"/>
          <w:sz w:val="20"/>
          <w:highlight w:val="none"/>
        </w:rPr>
        <w:t xml:space="preserve"> </w:t>
      </w:r>
      <w:bookmarkEnd w:id="17"/>
    </w:p>
    <w:p w14:paraId="4C41BBD4">
      <w:pPr>
        <w:pStyle w:val="3"/>
        <w:spacing w:before="160" w:after="160"/>
        <w:rPr>
          <w:rFonts w:hint="eastAsia" w:ascii="宋体" w:hAnsi="宋体" w:eastAsia="宋体"/>
          <w:color w:val="auto"/>
          <w:highlight w:val="none"/>
        </w:rPr>
      </w:pPr>
      <w:bookmarkStart w:id="18" w:name="_Toc3675"/>
      <w:r>
        <w:rPr>
          <w:rFonts w:hint="eastAsia" w:ascii="宋体" w:hAnsi="宋体" w:eastAsia="宋体"/>
          <w:color w:val="auto"/>
          <w:highlight w:val="none"/>
        </w:rPr>
        <w:t>一、总 则</w:t>
      </w:r>
      <w:bookmarkEnd w:id="18"/>
    </w:p>
    <w:p w14:paraId="28726990">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1、采购方式</w:t>
      </w:r>
    </w:p>
    <w:p w14:paraId="0F5A4C34">
      <w:pPr>
        <w:spacing w:line="500" w:lineRule="exact"/>
        <w:ind w:firstLine="480" w:firstLineChars="200"/>
        <w:rPr>
          <w:rFonts w:hint="eastAsia" w:ascii="宋体" w:hAnsi="宋体"/>
          <w:color w:val="auto"/>
          <w:highlight w:val="none"/>
        </w:rPr>
      </w:pPr>
      <w:r>
        <w:rPr>
          <w:rFonts w:hint="eastAsia" w:ascii="宋体" w:hAnsi="宋体"/>
          <w:color w:val="auto"/>
          <w:highlight w:val="none"/>
        </w:rPr>
        <w:t>本次采购采取</w:t>
      </w:r>
      <w:r>
        <w:rPr>
          <w:rFonts w:hint="eastAsia" w:ascii="宋体" w:hAnsi="宋体" w:eastAsia="宋体"/>
          <w:color w:val="auto"/>
          <w:highlight w:val="none"/>
          <w:lang w:eastAsia="zh-CN"/>
        </w:rPr>
        <w:t>竞争性磋商方</w:t>
      </w:r>
      <w:r>
        <w:rPr>
          <w:rFonts w:hint="eastAsia" w:ascii="宋体" w:hAnsi="宋体"/>
          <w:color w:val="auto"/>
          <w:highlight w:val="none"/>
        </w:rPr>
        <w:t>式。</w:t>
      </w:r>
    </w:p>
    <w:p w14:paraId="722128A6">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2、合格的供应商</w:t>
      </w:r>
    </w:p>
    <w:p w14:paraId="39BA065A">
      <w:pPr>
        <w:spacing w:line="500" w:lineRule="exact"/>
        <w:ind w:firstLine="480" w:firstLineChars="200"/>
        <w:rPr>
          <w:rFonts w:hint="eastAsia" w:ascii="宋体" w:hAnsi="宋体"/>
          <w:color w:val="auto"/>
          <w:highlight w:val="none"/>
          <w:shd w:val="clear" w:color="auto" w:fill="FFC000"/>
        </w:rPr>
      </w:pPr>
      <w:r>
        <w:rPr>
          <w:rFonts w:hint="eastAsia" w:ascii="宋体" w:hAnsi="宋体"/>
          <w:color w:val="auto"/>
          <w:highlight w:val="none"/>
        </w:rPr>
        <w:t>2.1合格的供应商必须是有能力按照本磋商文件规定的要求提供货物和服务，且具有独立承担民事等法律责任的法人或其它经济组织。</w:t>
      </w:r>
    </w:p>
    <w:p w14:paraId="3456B9A8">
      <w:pPr>
        <w:spacing w:line="500" w:lineRule="exact"/>
        <w:ind w:firstLine="480" w:firstLineChars="200"/>
        <w:rPr>
          <w:rFonts w:hint="eastAsia" w:ascii="宋体" w:hAnsi="宋体"/>
          <w:color w:val="auto"/>
          <w:highlight w:val="none"/>
        </w:rPr>
      </w:pPr>
      <w:r>
        <w:rPr>
          <w:rFonts w:hint="eastAsia" w:ascii="宋体" w:hAnsi="宋体"/>
          <w:color w:val="auto"/>
          <w:highlight w:val="none"/>
        </w:rPr>
        <w:t>2.2合格的供应商必须符合磋商文件第一部分《</w:t>
      </w:r>
      <w:r>
        <w:rPr>
          <w:rFonts w:hint="eastAsia" w:ascii="宋体" w:hAnsi="宋体" w:eastAsia="宋体"/>
          <w:color w:val="auto"/>
          <w:highlight w:val="none"/>
          <w:lang w:eastAsia="zh-CN"/>
        </w:rPr>
        <w:t>竞争性磋商</w:t>
      </w:r>
      <w:r>
        <w:rPr>
          <w:rFonts w:hint="eastAsia" w:ascii="宋体" w:hAnsi="宋体" w:eastAsia="宋体"/>
          <w:color w:val="auto"/>
          <w:highlight w:val="none"/>
          <w:lang w:val="en-US" w:eastAsia="zh-CN"/>
        </w:rPr>
        <w:t>采购</w:t>
      </w:r>
      <w:r>
        <w:rPr>
          <w:rFonts w:hint="eastAsia" w:ascii="宋体" w:hAnsi="宋体" w:eastAsia="宋体"/>
          <w:color w:val="auto"/>
          <w:highlight w:val="none"/>
          <w:lang w:eastAsia="zh-CN"/>
        </w:rPr>
        <w:t>公告</w:t>
      </w:r>
      <w:r>
        <w:rPr>
          <w:rFonts w:hint="eastAsia" w:ascii="宋体" w:hAnsi="宋体"/>
          <w:color w:val="auto"/>
          <w:highlight w:val="none"/>
        </w:rPr>
        <w:t>》第二条及须知前附表相关规定，且具备独立完成本项目的</w:t>
      </w:r>
      <w:r>
        <w:rPr>
          <w:rFonts w:hint="eastAsia" w:ascii="宋体" w:hAnsi="宋体"/>
          <w:color w:val="auto"/>
          <w:kern w:val="10"/>
          <w:highlight w:val="none"/>
        </w:rPr>
        <w:t>能</w:t>
      </w:r>
      <w:r>
        <w:rPr>
          <w:rFonts w:hint="eastAsia" w:ascii="宋体" w:hAnsi="宋体"/>
          <w:color w:val="auto"/>
          <w:highlight w:val="none"/>
        </w:rPr>
        <w:t>力，成交后不允许分包、转包。</w:t>
      </w:r>
    </w:p>
    <w:p w14:paraId="6EDC5E52">
      <w:pPr>
        <w:spacing w:line="500" w:lineRule="exact"/>
        <w:ind w:firstLine="480" w:firstLineChars="200"/>
        <w:rPr>
          <w:rFonts w:hint="eastAsia" w:ascii="宋体" w:hAnsi="宋体"/>
          <w:color w:val="auto"/>
          <w:highlight w:val="none"/>
        </w:rPr>
      </w:pPr>
      <w:r>
        <w:rPr>
          <w:rFonts w:hint="eastAsia" w:ascii="宋体" w:hAnsi="宋体"/>
          <w:color w:val="auto"/>
          <w:highlight w:val="none"/>
        </w:rPr>
        <w:t>2.3合格的供应商应遵守《</w:t>
      </w:r>
      <w:r>
        <w:rPr>
          <w:rFonts w:hint="eastAsia" w:ascii="宋体" w:hAnsi="宋体" w:eastAsia="宋体"/>
          <w:color w:val="auto"/>
          <w:highlight w:val="none"/>
          <w:lang w:eastAsia="zh-CN"/>
        </w:rPr>
        <w:t>民法典</w:t>
      </w:r>
      <w:r>
        <w:rPr>
          <w:rFonts w:hint="eastAsia" w:ascii="宋体" w:hAnsi="宋体"/>
          <w:color w:val="auto"/>
          <w:highlight w:val="none"/>
        </w:rPr>
        <w:t>》和《反不正当竞争法》等有关法律、法规。</w:t>
      </w:r>
    </w:p>
    <w:p w14:paraId="4FA43647">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3、适用法律</w:t>
      </w:r>
    </w:p>
    <w:p w14:paraId="69078193">
      <w:pPr>
        <w:spacing w:line="500" w:lineRule="exact"/>
        <w:ind w:firstLine="480" w:firstLineChars="200"/>
        <w:rPr>
          <w:rFonts w:hint="eastAsia" w:ascii="宋体" w:hAnsi="宋体"/>
          <w:color w:val="auto"/>
          <w:highlight w:val="none"/>
        </w:rPr>
      </w:pPr>
      <w:r>
        <w:rPr>
          <w:rFonts w:hint="eastAsia" w:ascii="宋体" w:hAnsi="宋体"/>
          <w:color w:val="auto"/>
          <w:highlight w:val="none"/>
        </w:rPr>
        <w:t>本次磋商及由本次磋商产生的合同受中华人民共和国的相关法律、法规制约和保护。</w:t>
      </w:r>
    </w:p>
    <w:p w14:paraId="46673842">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4、费用</w:t>
      </w:r>
    </w:p>
    <w:p w14:paraId="659107BD">
      <w:pPr>
        <w:spacing w:line="500" w:lineRule="exact"/>
        <w:ind w:firstLine="480" w:firstLineChars="200"/>
        <w:rPr>
          <w:rFonts w:hint="eastAsia" w:ascii="宋体" w:hAnsi="宋体"/>
          <w:color w:val="auto"/>
          <w:highlight w:val="none"/>
        </w:rPr>
      </w:pPr>
      <w:r>
        <w:rPr>
          <w:rFonts w:hint="eastAsia" w:ascii="宋体" w:hAnsi="宋体"/>
          <w:color w:val="auto"/>
          <w:highlight w:val="none"/>
        </w:rPr>
        <w:t>供应商应自行承担所有参加磋商活动有关的费用。</w:t>
      </w:r>
    </w:p>
    <w:p w14:paraId="559B98FC">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5、磋商文件的约束力</w:t>
      </w:r>
    </w:p>
    <w:p w14:paraId="2D40327B">
      <w:pPr>
        <w:spacing w:line="500" w:lineRule="exact"/>
        <w:ind w:firstLine="480" w:firstLineChars="200"/>
        <w:rPr>
          <w:rFonts w:hint="eastAsia" w:ascii="宋体" w:hAnsi="宋体"/>
          <w:color w:val="auto"/>
          <w:highlight w:val="none"/>
        </w:rPr>
      </w:pPr>
      <w:bookmarkStart w:id="19" w:name="EB082e7a41556c486398aae0681e9349c9"/>
      <w:r>
        <w:rPr>
          <w:rFonts w:hint="eastAsia" w:ascii="宋体" w:hAnsi="宋体"/>
          <w:color w:val="auto"/>
          <w:highlight w:val="none"/>
        </w:rPr>
        <w:t>供应商一旦申请参加本项目磋商，即被认为接受了本磋商文件的所有条件和规定。</w:t>
      </w:r>
    </w:p>
    <w:bookmarkEnd w:id="19"/>
    <w:p w14:paraId="7B44B237">
      <w:pPr>
        <w:pStyle w:val="3"/>
        <w:spacing w:before="160" w:after="160"/>
        <w:rPr>
          <w:rFonts w:hint="eastAsia" w:ascii="宋体" w:hAnsi="宋体" w:eastAsia="宋体"/>
          <w:color w:val="auto"/>
          <w:highlight w:val="none"/>
        </w:rPr>
      </w:pPr>
      <w:bookmarkStart w:id="20" w:name="_Toc2281"/>
      <w:r>
        <w:rPr>
          <w:rFonts w:hint="eastAsia" w:ascii="宋体" w:hAnsi="宋体" w:eastAsia="宋体"/>
          <w:color w:val="auto"/>
          <w:highlight w:val="none"/>
        </w:rPr>
        <w:t>二、</w:t>
      </w:r>
      <w:r>
        <w:rPr>
          <w:rFonts w:hint="eastAsia" w:ascii="宋体" w:hAnsi="宋体" w:eastAsia="宋体"/>
          <w:color w:val="auto"/>
          <w:highlight w:val="none"/>
          <w:lang w:eastAsia="zh-CN"/>
        </w:rPr>
        <w:t>磋商</w:t>
      </w:r>
      <w:r>
        <w:rPr>
          <w:rFonts w:hint="eastAsia" w:ascii="宋体" w:hAnsi="宋体" w:eastAsia="宋体"/>
          <w:color w:val="auto"/>
          <w:highlight w:val="none"/>
        </w:rPr>
        <w:t>文件</w:t>
      </w:r>
      <w:bookmarkEnd w:id="20"/>
    </w:p>
    <w:p w14:paraId="453EEF79">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6、磋商文件构成</w:t>
      </w:r>
    </w:p>
    <w:p w14:paraId="3570409B">
      <w:pPr>
        <w:spacing w:line="500" w:lineRule="exact"/>
        <w:ind w:firstLine="480" w:firstLineChars="200"/>
        <w:rPr>
          <w:rFonts w:hint="eastAsia" w:ascii="宋体" w:hAnsi="宋体"/>
          <w:color w:val="auto"/>
          <w:highlight w:val="none"/>
        </w:rPr>
      </w:pPr>
      <w:r>
        <w:rPr>
          <w:rFonts w:hint="eastAsia" w:ascii="宋体" w:hAnsi="宋体"/>
          <w:color w:val="auto"/>
          <w:highlight w:val="none"/>
        </w:rPr>
        <w:t>第一部分：</w:t>
      </w:r>
      <w:r>
        <w:rPr>
          <w:rFonts w:hint="eastAsia" w:ascii="宋体" w:hAnsi="宋体" w:eastAsia="宋体"/>
          <w:color w:val="auto"/>
          <w:highlight w:val="none"/>
          <w:lang w:eastAsia="zh-CN"/>
        </w:rPr>
        <w:t>竞争性磋商</w:t>
      </w:r>
      <w:r>
        <w:rPr>
          <w:rFonts w:hint="eastAsia" w:ascii="宋体" w:hAnsi="宋体" w:eastAsia="宋体"/>
          <w:color w:val="auto"/>
          <w:highlight w:val="none"/>
          <w:lang w:val="en-US" w:eastAsia="zh-CN"/>
        </w:rPr>
        <w:t>采购</w:t>
      </w:r>
      <w:r>
        <w:rPr>
          <w:rFonts w:hint="eastAsia" w:ascii="宋体" w:hAnsi="宋体" w:eastAsia="宋体"/>
          <w:color w:val="auto"/>
          <w:highlight w:val="none"/>
          <w:lang w:eastAsia="zh-CN"/>
        </w:rPr>
        <w:t>公告</w:t>
      </w:r>
      <w:r>
        <w:rPr>
          <w:rFonts w:hint="eastAsia" w:ascii="宋体" w:hAnsi="宋体"/>
          <w:color w:val="auto"/>
          <w:highlight w:val="none"/>
        </w:rPr>
        <w:t>；</w:t>
      </w:r>
    </w:p>
    <w:p w14:paraId="47027D6F">
      <w:pPr>
        <w:spacing w:line="500" w:lineRule="exact"/>
        <w:ind w:firstLine="480" w:firstLineChars="200"/>
        <w:rPr>
          <w:rFonts w:hint="eastAsia" w:ascii="宋体" w:hAnsi="宋体"/>
          <w:color w:val="auto"/>
          <w:highlight w:val="none"/>
        </w:rPr>
      </w:pPr>
      <w:r>
        <w:rPr>
          <w:rFonts w:hint="eastAsia" w:ascii="宋体" w:hAnsi="宋体"/>
          <w:color w:val="auto"/>
          <w:highlight w:val="none"/>
        </w:rPr>
        <w:t xml:space="preserve">第二部分：供应商须知； </w:t>
      </w:r>
    </w:p>
    <w:p w14:paraId="5F13BA42">
      <w:pPr>
        <w:spacing w:line="500" w:lineRule="exact"/>
        <w:ind w:firstLine="480" w:firstLineChars="200"/>
        <w:rPr>
          <w:rFonts w:hint="eastAsia" w:ascii="宋体" w:hAnsi="宋体"/>
          <w:color w:val="auto"/>
          <w:highlight w:val="none"/>
        </w:rPr>
      </w:pPr>
      <w:r>
        <w:rPr>
          <w:rFonts w:hint="eastAsia" w:ascii="宋体" w:hAnsi="宋体"/>
          <w:color w:val="auto"/>
          <w:highlight w:val="none"/>
        </w:rPr>
        <w:t>第三部分：采购需求;</w:t>
      </w:r>
    </w:p>
    <w:p w14:paraId="1E29D7A3">
      <w:pPr>
        <w:spacing w:line="500" w:lineRule="exact"/>
        <w:ind w:firstLine="480" w:firstLineChars="200"/>
        <w:rPr>
          <w:rFonts w:hint="eastAsia" w:ascii="宋体" w:hAnsi="宋体"/>
          <w:color w:val="auto"/>
          <w:highlight w:val="none"/>
        </w:rPr>
      </w:pPr>
      <w:r>
        <w:rPr>
          <w:rFonts w:hint="eastAsia" w:ascii="宋体" w:hAnsi="宋体"/>
          <w:color w:val="auto"/>
          <w:highlight w:val="none"/>
        </w:rPr>
        <w:t>第四部分：合同格式及条款;</w:t>
      </w:r>
    </w:p>
    <w:p w14:paraId="6ACD6DD1">
      <w:pPr>
        <w:spacing w:line="500" w:lineRule="exact"/>
        <w:ind w:firstLine="480" w:firstLineChars="200"/>
        <w:rPr>
          <w:rFonts w:hint="eastAsia" w:ascii="宋体" w:hAnsi="宋体"/>
          <w:color w:val="auto"/>
          <w:highlight w:val="none"/>
        </w:rPr>
      </w:pPr>
      <w:r>
        <w:rPr>
          <w:rFonts w:hint="eastAsia" w:ascii="宋体" w:hAnsi="宋体"/>
          <w:color w:val="auto"/>
          <w:highlight w:val="none"/>
        </w:rPr>
        <w:t>第五部分：响应文件格式。</w:t>
      </w:r>
    </w:p>
    <w:p w14:paraId="36AE5690">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7、磋商文件的澄清</w:t>
      </w:r>
    </w:p>
    <w:p w14:paraId="75D2CA0D">
      <w:pPr>
        <w:spacing w:line="500" w:lineRule="exact"/>
        <w:ind w:firstLine="480" w:firstLineChars="200"/>
        <w:rPr>
          <w:rFonts w:hint="eastAsia" w:ascii="宋体" w:hAnsi="宋体"/>
          <w:color w:val="auto"/>
          <w:highlight w:val="none"/>
        </w:rPr>
      </w:pPr>
      <w:r>
        <w:rPr>
          <w:rFonts w:hint="eastAsia" w:ascii="宋体" w:hAnsi="宋体"/>
          <w:color w:val="auto"/>
          <w:highlight w:val="none"/>
        </w:rPr>
        <w:t>任何要求对磋商文件澄清的供应商，均应在磋商文件提供截止时间之前提出，采购代理机构对规定时间内收到的澄清予以答复，答复不包括问题的来源。</w:t>
      </w:r>
    </w:p>
    <w:p w14:paraId="64994E7A">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8、磋商文件的修改</w:t>
      </w:r>
    </w:p>
    <w:p w14:paraId="4357C818">
      <w:pPr>
        <w:spacing w:line="500" w:lineRule="exact"/>
        <w:ind w:firstLine="480" w:firstLineChars="200"/>
        <w:rPr>
          <w:rFonts w:hint="eastAsia" w:ascii="宋体" w:hAnsi="宋体"/>
          <w:color w:val="auto"/>
          <w:highlight w:val="none"/>
        </w:rPr>
      </w:pPr>
      <w:r>
        <w:rPr>
          <w:rFonts w:hint="eastAsia" w:ascii="宋体" w:hAnsi="宋体"/>
          <w:color w:val="auto"/>
          <w:highlight w:val="none"/>
        </w:rPr>
        <w:t>8.1在提交首次响应文件接收截止之日前，采购代理机构可以更正公告或补充文件的形式对磋商文件进行澄清或者修改。澄清或者修改的内容可能影响响应文件编制的，应当在提交首次响应文件截止之日5日前发出，不足5日的，应当顺延提交首次响应文件截止之日。</w:t>
      </w:r>
    </w:p>
    <w:p w14:paraId="68BF122F">
      <w:pPr>
        <w:spacing w:line="500" w:lineRule="exact"/>
        <w:ind w:firstLine="480" w:firstLineChars="200"/>
        <w:rPr>
          <w:rFonts w:hint="eastAsia" w:ascii="宋体" w:hAnsi="宋体"/>
          <w:color w:val="auto"/>
          <w:highlight w:val="none"/>
        </w:rPr>
      </w:pPr>
      <w:r>
        <w:rPr>
          <w:rFonts w:hint="eastAsia" w:ascii="宋体" w:hAnsi="宋体"/>
          <w:color w:val="auto"/>
          <w:highlight w:val="none"/>
        </w:rPr>
        <w:t>8.2磋商文件的修改将以通过邮件通知所有已获取磋商文件的供应商，并对供应商具有约束力。供应商收到修改文件后，应于1个工作日内予以确认，逾期未确认的，视同已收。</w:t>
      </w:r>
    </w:p>
    <w:p w14:paraId="5998964D">
      <w:pPr>
        <w:spacing w:line="500" w:lineRule="exact"/>
        <w:ind w:firstLine="480" w:firstLineChars="200"/>
        <w:rPr>
          <w:rFonts w:hint="eastAsia" w:ascii="宋体" w:hAnsi="宋体"/>
          <w:color w:val="auto"/>
          <w:highlight w:val="none"/>
        </w:rPr>
      </w:pPr>
      <w:r>
        <w:rPr>
          <w:rFonts w:hint="eastAsia" w:ascii="宋体" w:hAnsi="宋体"/>
          <w:color w:val="auto"/>
          <w:highlight w:val="none"/>
        </w:rPr>
        <w:t>8.3供应商应及时查看邮箱获取修改后的磋商文件，如因供应商原因未能及时下载，由此造成的相关责任，由供应商承担。</w:t>
      </w:r>
    </w:p>
    <w:p w14:paraId="7118FBD5">
      <w:pPr>
        <w:spacing w:line="500" w:lineRule="exact"/>
        <w:ind w:firstLine="480" w:firstLineChars="200"/>
        <w:rPr>
          <w:rFonts w:hint="eastAsia" w:ascii="宋体" w:hAnsi="宋体"/>
          <w:color w:val="auto"/>
          <w:highlight w:val="none"/>
        </w:rPr>
      </w:pPr>
      <w:r>
        <w:rPr>
          <w:rFonts w:hint="eastAsia" w:ascii="宋体" w:hAnsi="宋体"/>
          <w:color w:val="auto"/>
          <w:highlight w:val="none"/>
        </w:rPr>
        <w:t>8.4为使供应商有充分的时间对磋商文件的修改部分进行分析、研究，采购代理机构有权推迟响应文件接收截止日期和磋商日期，并将此变更通知所有已获取磋商文件的供应商。</w:t>
      </w:r>
    </w:p>
    <w:p w14:paraId="3ED6CCA8">
      <w:pPr>
        <w:spacing w:line="500" w:lineRule="exact"/>
        <w:ind w:firstLine="480" w:firstLineChars="200"/>
        <w:rPr>
          <w:rFonts w:hint="eastAsia" w:ascii="宋体" w:hAnsi="宋体"/>
          <w:color w:val="auto"/>
          <w:highlight w:val="none"/>
        </w:rPr>
      </w:pPr>
      <w:r>
        <w:rPr>
          <w:rFonts w:hint="eastAsia" w:ascii="宋体" w:hAnsi="宋体"/>
          <w:color w:val="auto"/>
          <w:highlight w:val="none"/>
        </w:rPr>
        <w:t xml:space="preserve">8.5采购代理机构发出的所有补充、修改和变更文件均作为磋商文件的组成部分，与磋商文件具有同等法律效力。 </w:t>
      </w:r>
    </w:p>
    <w:p w14:paraId="6512692F">
      <w:pPr>
        <w:pStyle w:val="3"/>
        <w:spacing w:before="160" w:after="160"/>
        <w:rPr>
          <w:rFonts w:hint="eastAsia" w:ascii="宋体" w:hAnsi="宋体" w:eastAsia="宋体"/>
          <w:color w:val="auto"/>
          <w:highlight w:val="none"/>
        </w:rPr>
      </w:pPr>
      <w:bookmarkStart w:id="21" w:name="_Toc29153"/>
      <w:r>
        <w:rPr>
          <w:rFonts w:hint="eastAsia" w:ascii="宋体" w:hAnsi="宋体" w:eastAsia="宋体"/>
          <w:color w:val="auto"/>
          <w:highlight w:val="none"/>
        </w:rPr>
        <w:t>三、响应文件的编制</w:t>
      </w:r>
      <w:bookmarkEnd w:id="21"/>
    </w:p>
    <w:p w14:paraId="1041E06B">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9、响应文件的编制要求</w:t>
      </w:r>
    </w:p>
    <w:p w14:paraId="53AD0FA4">
      <w:pPr>
        <w:spacing w:line="500" w:lineRule="exact"/>
        <w:ind w:firstLine="480" w:firstLineChars="200"/>
        <w:rPr>
          <w:rFonts w:hint="eastAsia" w:ascii="宋体" w:hAnsi="宋体"/>
          <w:color w:val="auto"/>
          <w:highlight w:val="none"/>
        </w:rPr>
      </w:pPr>
      <w:r>
        <w:rPr>
          <w:rFonts w:hint="eastAsia" w:ascii="宋体" w:hAnsi="宋体"/>
          <w:color w:val="auto"/>
          <w:highlight w:val="none"/>
        </w:rPr>
        <w:t>9.1供应商应仔细阅读“磋商文件”的所有内容，按“磋商文件”第六部分“响应文件格式”编制“响应文件”，如有必要，可以增加附页，作为响应文件的组成部分。供应商须保证所提供的全部资料的真实性、完整性及有效性，以使其响应文件对“磋商文件”作出实质性响应。否则，可能被拒绝。</w:t>
      </w:r>
    </w:p>
    <w:p w14:paraId="41B8862B">
      <w:pPr>
        <w:spacing w:line="500" w:lineRule="exact"/>
        <w:ind w:firstLine="480" w:firstLineChars="200"/>
        <w:rPr>
          <w:rFonts w:ascii="宋体" w:hAnsi="宋体"/>
          <w:color w:val="auto"/>
          <w:highlight w:val="none"/>
        </w:rPr>
      </w:pPr>
      <w:r>
        <w:rPr>
          <w:rFonts w:hint="eastAsia" w:ascii="宋体" w:hAnsi="宋体"/>
          <w:color w:val="auto"/>
          <w:highlight w:val="none"/>
        </w:rPr>
        <w:t>9.2响应文件应当对磋商文件有关技术标准和要求、服务要求、质量要求、交货期、响应有效期、采购范围等实质性内容作出响应。</w:t>
      </w:r>
    </w:p>
    <w:p w14:paraId="7B42F7B7">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10、响应文件构成</w:t>
      </w:r>
    </w:p>
    <w:p w14:paraId="084AE7D6">
      <w:pPr>
        <w:spacing w:line="500" w:lineRule="exact"/>
        <w:ind w:firstLine="480" w:firstLineChars="200"/>
        <w:rPr>
          <w:rFonts w:hint="eastAsia" w:ascii="宋体" w:hAnsi="宋体"/>
          <w:color w:val="auto"/>
          <w:highlight w:val="none"/>
        </w:rPr>
      </w:pPr>
      <w:r>
        <w:rPr>
          <w:rFonts w:hint="eastAsia" w:ascii="宋体" w:hAnsi="宋体"/>
          <w:color w:val="auto"/>
          <w:highlight w:val="none"/>
        </w:rPr>
        <w:t>10.1资格、资质证明文件</w:t>
      </w:r>
    </w:p>
    <w:p w14:paraId="2B262890">
      <w:pPr>
        <w:spacing w:line="500" w:lineRule="exact"/>
        <w:ind w:firstLine="480" w:firstLineChars="200"/>
        <w:rPr>
          <w:rFonts w:hint="eastAsia" w:ascii="宋体" w:hAnsi="宋体"/>
          <w:color w:val="auto"/>
          <w:highlight w:val="none"/>
        </w:rPr>
      </w:pPr>
      <w:r>
        <w:rPr>
          <w:rFonts w:hint="eastAsia" w:ascii="宋体" w:hAnsi="宋体"/>
          <w:color w:val="auto"/>
          <w:highlight w:val="none"/>
        </w:rPr>
        <w:t>10.1.1磋商申请及声明；</w:t>
      </w:r>
    </w:p>
    <w:p w14:paraId="38CBE0BB">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10.1.2</w:t>
      </w:r>
      <w:r>
        <w:rPr>
          <w:rFonts w:hint="eastAsia" w:ascii="宋体" w:hAnsi="宋体"/>
          <w:color w:val="auto"/>
          <w:highlight w:val="none"/>
        </w:rPr>
        <w:t>具有独立承担民事责任的能力（提供法人或者其他组织的营业执照，自然人的身份证明）；</w:t>
      </w:r>
    </w:p>
    <w:p w14:paraId="07AA14D0">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10.1.3</w:t>
      </w:r>
      <w:r>
        <w:rPr>
          <w:rFonts w:hint="eastAsia" w:ascii="宋体" w:hAnsi="宋体"/>
          <w:color w:val="auto"/>
          <w:highlight w:val="none"/>
        </w:rPr>
        <w:t>具有良好的商业信誉和健全的财务会计制度，并提供财务状况报告</w:t>
      </w:r>
      <w:r>
        <w:rPr>
          <w:rFonts w:hint="eastAsia" w:ascii="宋体" w:hAnsi="宋体"/>
          <w:b w:val="0"/>
          <w:bCs w:val="0"/>
          <w:color w:val="auto"/>
          <w:highlight w:val="none"/>
        </w:rPr>
        <w:t>（</w:t>
      </w:r>
      <w:r>
        <w:rPr>
          <w:rFonts w:hint="eastAsia" w:ascii="宋体" w:hAnsi="宋体"/>
          <w:b w:val="0"/>
          <w:bCs w:val="0"/>
          <w:color w:val="auto"/>
          <w:sz w:val="24"/>
          <w:szCs w:val="24"/>
          <w:highlight w:val="none"/>
        </w:rPr>
        <w:t>提供</w:t>
      </w:r>
      <w:r>
        <w:rPr>
          <w:rFonts w:hint="eastAsia" w:ascii="宋体" w:hAnsi="宋体" w:eastAsia="宋体"/>
          <w:b w:val="0"/>
          <w:bCs w:val="0"/>
          <w:color w:val="auto"/>
          <w:sz w:val="24"/>
          <w:szCs w:val="24"/>
          <w:highlight w:val="none"/>
          <w:lang w:val="en-US" w:eastAsia="zh-CN"/>
        </w:rPr>
        <w:t>2024或2025年度</w:t>
      </w:r>
      <w:r>
        <w:rPr>
          <w:rFonts w:hint="eastAsia" w:ascii="宋体" w:hAnsi="宋体"/>
          <w:b w:val="0"/>
          <w:bCs w:val="0"/>
          <w:color w:val="auto"/>
          <w:sz w:val="24"/>
          <w:szCs w:val="24"/>
          <w:highlight w:val="none"/>
        </w:rPr>
        <w:t>财务报告，至少包含资产负债表、利润表，或投标截止时间前六个月内银行出具的资信证明，成立不满一年无须提供</w:t>
      </w:r>
      <w:r>
        <w:rPr>
          <w:rFonts w:hint="eastAsia" w:ascii="宋体" w:hAnsi="宋体"/>
          <w:color w:val="auto"/>
          <w:highlight w:val="none"/>
        </w:rPr>
        <w:t>）；</w:t>
      </w:r>
    </w:p>
    <w:p w14:paraId="18176827">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10.1.4</w:t>
      </w:r>
      <w:r>
        <w:rPr>
          <w:rFonts w:hint="eastAsia" w:ascii="宋体" w:hAnsi="宋体"/>
          <w:color w:val="auto"/>
          <w:highlight w:val="none"/>
        </w:rPr>
        <w:t xml:space="preserve">具有履行合同所必需的设备和专业技术能力（根据项目需求提供履行合同所必需的设备和专业技术能力的证明材料或相关加盖公章的承诺函）； </w:t>
      </w:r>
    </w:p>
    <w:p w14:paraId="719CCE80">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10.1.5</w:t>
      </w:r>
      <w:r>
        <w:rPr>
          <w:rFonts w:hint="eastAsia" w:ascii="宋体" w:hAnsi="宋体"/>
          <w:color w:val="auto"/>
          <w:highlight w:val="none"/>
        </w:rPr>
        <w:t>有依法缴纳税收和社会保障资金的良好记录（提供参加本次招标活动前</w:t>
      </w:r>
      <w:r>
        <w:rPr>
          <w:rFonts w:hint="eastAsia" w:ascii="宋体" w:hAnsi="宋体" w:eastAsia="宋体"/>
          <w:color w:val="auto"/>
          <w:highlight w:val="none"/>
          <w:lang w:val="en-US" w:eastAsia="zh-CN"/>
        </w:rPr>
        <w:t>半年</w:t>
      </w:r>
      <w:r>
        <w:rPr>
          <w:rFonts w:hint="eastAsia" w:ascii="宋体" w:hAnsi="宋体"/>
          <w:color w:val="auto"/>
          <w:highlight w:val="none"/>
        </w:rPr>
        <w:t>内（至少一个月）依法缴纳税收和社会保障资金的相关材料）；</w:t>
      </w:r>
    </w:p>
    <w:p w14:paraId="25FE0FB4">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10.1.6</w:t>
      </w:r>
      <w:r>
        <w:rPr>
          <w:rFonts w:hint="eastAsia" w:ascii="宋体" w:hAnsi="宋体"/>
          <w:color w:val="auto"/>
          <w:highlight w:val="none"/>
        </w:rPr>
        <w:t>参加招标活动前三年内，在经营活动中没有重大违法记录（提供参加本次招标活动前3年内在经营活动中没有重大违法记录的书面声明）；</w:t>
      </w:r>
    </w:p>
    <w:p w14:paraId="54479505">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10.1.7</w:t>
      </w:r>
      <w:r>
        <w:rPr>
          <w:rFonts w:hint="eastAsia" w:ascii="宋体" w:hAnsi="宋体"/>
          <w:color w:val="auto"/>
          <w:highlight w:val="none"/>
        </w:rPr>
        <w:t>法律、行政法规规定的其他条件：无。</w:t>
      </w:r>
    </w:p>
    <w:p w14:paraId="5D25F0F0">
      <w:pPr>
        <w:spacing w:line="500" w:lineRule="exact"/>
        <w:ind w:firstLine="480" w:firstLineChars="200"/>
        <w:rPr>
          <w:rFonts w:hint="eastAsia" w:ascii="宋体" w:hAnsi="宋体"/>
          <w:color w:val="auto"/>
          <w:highlight w:val="none"/>
        </w:rPr>
      </w:pPr>
      <w:r>
        <w:rPr>
          <w:rFonts w:hint="eastAsia" w:ascii="宋体" w:hAnsi="宋体" w:eastAsia="宋体"/>
          <w:color w:val="auto"/>
          <w:highlight w:val="none"/>
          <w:lang w:val="en-US" w:eastAsia="zh-CN"/>
        </w:rPr>
        <w:t>10</w:t>
      </w:r>
      <w:r>
        <w:rPr>
          <w:rFonts w:hint="eastAsia" w:ascii="宋体" w:hAnsi="宋体"/>
          <w:color w:val="auto"/>
          <w:highlight w:val="none"/>
        </w:rPr>
        <w:t>.</w:t>
      </w:r>
      <w:r>
        <w:rPr>
          <w:rFonts w:hint="eastAsia" w:ascii="宋体" w:hAnsi="宋体" w:eastAsia="宋体"/>
          <w:color w:val="auto"/>
          <w:highlight w:val="none"/>
          <w:lang w:val="en-US" w:eastAsia="zh-CN"/>
        </w:rPr>
        <w:t>1.8</w:t>
      </w:r>
      <w:r>
        <w:rPr>
          <w:rFonts w:hint="eastAsia" w:ascii="宋体" w:hAnsi="宋体"/>
          <w:color w:val="auto"/>
          <w:highlight w:val="none"/>
        </w:rPr>
        <w:t>本项目的特定资格要求</w:t>
      </w:r>
    </w:p>
    <w:p w14:paraId="65072609">
      <w:pPr>
        <w:pStyle w:val="77"/>
        <w:spacing w:line="329" w:lineRule="auto"/>
        <w:ind w:firstLine="480"/>
        <w:rPr>
          <w:rFonts w:hint="eastAsia" w:hAnsi="宋体"/>
          <w:color w:val="auto"/>
          <w:highlight w:val="none"/>
          <w:lang w:val="en-US" w:eastAsia="zh-CN"/>
        </w:rPr>
      </w:pPr>
      <w:r>
        <w:rPr>
          <w:rFonts w:hint="eastAsia" w:ascii="宋体" w:hAnsi="宋体" w:eastAsia="宋体"/>
          <w:color w:val="auto"/>
          <w:highlight w:val="none"/>
          <w:lang w:val="en-US" w:eastAsia="zh-CN"/>
        </w:rPr>
        <w:t>10</w:t>
      </w:r>
      <w:r>
        <w:rPr>
          <w:rFonts w:hint="eastAsia" w:ascii="宋体" w:hAnsi="宋体"/>
          <w:color w:val="auto"/>
          <w:highlight w:val="none"/>
        </w:rPr>
        <w:t>.</w:t>
      </w:r>
      <w:r>
        <w:rPr>
          <w:rFonts w:hint="eastAsia" w:ascii="宋体" w:hAnsi="宋体" w:eastAsia="宋体"/>
          <w:color w:val="auto"/>
          <w:highlight w:val="none"/>
          <w:lang w:val="en-US" w:eastAsia="zh-CN"/>
        </w:rPr>
        <w:t>1.8.1</w:t>
      </w:r>
      <w:r>
        <w:rPr>
          <w:rFonts w:hint="eastAsia" w:hAnsi="宋体"/>
          <w:color w:val="auto"/>
          <w:highlight w:val="none"/>
          <w:lang w:val="en-US" w:eastAsia="zh-CN"/>
        </w:rPr>
        <w:t>拒绝被“信用中国”（www.creditchina.gov.cn）、“中国政府采购网”(www.ccgp.gov.cn）、“信用江苏”（http://credit.jiangsu.gov.cn/）列入失信被执行人、重大税收违法案件当事人、政府采购严重失信行为的供应商参加投标。</w:t>
      </w:r>
    </w:p>
    <w:p w14:paraId="5C897209">
      <w:pPr>
        <w:pStyle w:val="77"/>
        <w:spacing w:line="329" w:lineRule="auto"/>
        <w:ind w:firstLine="480"/>
        <w:rPr>
          <w:rFonts w:hint="eastAsia" w:hAnsi="宋体"/>
          <w:color w:val="auto"/>
          <w:highlight w:val="none"/>
          <w:lang w:val="en-US" w:eastAsia="zh-CN"/>
        </w:rPr>
      </w:pPr>
      <w:r>
        <w:rPr>
          <w:rFonts w:hint="eastAsia" w:ascii="宋体" w:hAnsi="宋体" w:eastAsia="宋体"/>
          <w:color w:val="auto"/>
          <w:highlight w:val="none"/>
          <w:lang w:val="en-US" w:eastAsia="zh-CN"/>
        </w:rPr>
        <w:t>10</w:t>
      </w:r>
      <w:r>
        <w:rPr>
          <w:rFonts w:hint="eastAsia" w:ascii="宋体" w:hAnsi="宋体"/>
          <w:color w:val="auto"/>
          <w:highlight w:val="none"/>
        </w:rPr>
        <w:t>.</w:t>
      </w:r>
      <w:r>
        <w:rPr>
          <w:rFonts w:hint="eastAsia" w:ascii="宋体" w:hAnsi="宋体" w:eastAsia="宋体"/>
          <w:color w:val="auto"/>
          <w:highlight w:val="none"/>
          <w:lang w:val="en-US" w:eastAsia="zh-CN"/>
        </w:rPr>
        <w:t>1.8.2</w:t>
      </w:r>
      <w:r>
        <w:rPr>
          <w:rFonts w:hint="eastAsia" w:hAnsi="宋体"/>
          <w:color w:val="auto"/>
          <w:highlight w:val="none"/>
          <w:lang w:val="en-US" w:eastAsia="zh-CN"/>
        </w:rPr>
        <w:t>其它：</w:t>
      </w:r>
    </w:p>
    <w:p w14:paraId="73CB7BF0">
      <w:pPr>
        <w:widowControl/>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单位负责人为同一人或者存在直接控股、管理关系的不同供应商，不得参加同一合同项下的</w:t>
      </w:r>
      <w:r>
        <w:rPr>
          <w:rFonts w:hint="eastAsia" w:ascii="宋体" w:hAnsi="宋体" w:eastAsia="宋体" w:cs="宋体"/>
          <w:b/>
          <w:bCs/>
          <w:color w:val="auto"/>
          <w:kern w:val="0"/>
          <w:sz w:val="24"/>
          <w:szCs w:val="24"/>
          <w:highlight w:val="none"/>
          <w:lang w:eastAsia="zh-CN"/>
        </w:rPr>
        <w:t>采购</w:t>
      </w:r>
      <w:r>
        <w:rPr>
          <w:rFonts w:hint="eastAsia" w:ascii="宋体" w:hAnsi="宋体" w:eastAsia="宋体" w:cs="宋体"/>
          <w:b/>
          <w:bCs/>
          <w:color w:val="auto"/>
          <w:kern w:val="0"/>
          <w:sz w:val="24"/>
          <w:szCs w:val="24"/>
          <w:highlight w:val="none"/>
        </w:rPr>
        <w:t>活动。除单一来源采购项目外，为采购项目提供整体设计、规范编制或者项目管理、监理、检测等服务的供应商，不得再参加该采购项目的其他采购活动。</w:t>
      </w:r>
    </w:p>
    <w:p w14:paraId="1BEB0900">
      <w:pPr>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rPr>
        <w:t>.2法定代表人或其授权代理人签署的</w:t>
      </w:r>
      <w:r>
        <w:rPr>
          <w:rFonts w:hint="eastAsia" w:ascii="宋体" w:hAnsi="宋体" w:eastAsia="宋体" w:cs="宋体"/>
          <w:color w:val="auto"/>
          <w:sz w:val="24"/>
          <w:highlight w:val="none"/>
          <w:lang w:eastAsia="zh-CN"/>
        </w:rPr>
        <w:t>磋商申请及声明</w:t>
      </w:r>
      <w:r>
        <w:rPr>
          <w:rFonts w:hint="eastAsia" w:ascii="宋体" w:hAnsi="宋体" w:cs="宋体"/>
          <w:color w:val="auto"/>
          <w:sz w:val="24"/>
          <w:highlight w:val="none"/>
        </w:rPr>
        <w:t>；</w:t>
      </w:r>
    </w:p>
    <w:p w14:paraId="4736F330">
      <w:pPr>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eastAsia="宋体" w:cs="宋体"/>
          <w:color w:val="auto"/>
          <w:sz w:val="24"/>
          <w:highlight w:val="none"/>
          <w:lang w:val="en-US" w:eastAsia="zh-CN"/>
        </w:rPr>
        <w:t>0</w:t>
      </w:r>
      <w:r>
        <w:rPr>
          <w:rFonts w:hint="eastAsia" w:ascii="宋体" w:hAnsi="宋体" w:cs="宋体"/>
          <w:color w:val="auto"/>
          <w:sz w:val="24"/>
          <w:highlight w:val="none"/>
        </w:rPr>
        <w:t>.3法定代表人身份证明或法定代表人授权委托</w:t>
      </w:r>
      <w:bookmarkStart w:id="22" w:name="EB1a77376dbd044d229c365f6951816069"/>
      <w:r>
        <w:rPr>
          <w:rFonts w:hint="eastAsia" w:ascii="宋体" w:hAnsi="宋体" w:cs="宋体"/>
          <w:color w:val="auto"/>
          <w:sz w:val="24"/>
          <w:highlight w:val="none"/>
        </w:rPr>
        <w:t>书</w:t>
      </w:r>
      <w:r>
        <w:rPr>
          <w:rFonts w:hint="eastAsia" w:ascii="宋体" w:hAnsi="宋体" w:cs="宋体"/>
          <w:b/>
          <w:bCs/>
          <w:color w:val="auto"/>
          <w:sz w:val="24"/>
          <w:highlight w:val="none"/>
        </w:rPr>
        <w:t>（并按要求提供法定代表人或授权委托人居民身份证复印件</w:t>
      </w:r>
      <w:r>
        <w:rPr>
          <w:rFonts w:hint="eastAsia" w:hAnsi="宋体"/>
          <w:b/>
          <w:bCs/>
          <w:color w:val="auto"/>
          <w:sz w:val="24"/>
          <w:highlight w:val="none"/>
        </w:rPr>
        <w:t>加盖公章</w:t>
      </w:r>
      <w:r>
        <w:rPr>
          <w:rFonts w:hint="eastAsia" w:hAnsi="宋体"/>
          <w:b/>
          <w:bCs/>
          <w:color w:val="auto"/>
          <w:sz w:val="24"/>
          <w:highlight w:val="none"/>
          <w:lang w:eastAsia="zh-CN"/>
        </w:rPr>
        <w:t>；</w:t>
      </w:r>
      <w:r>
        <w:rPr>
          <w:rFonts w:hint="eastAsia" w:hAnsi="宋体"/>
          <w:b/>
          <w:bCs/>
          <w:color w:val="auto"/>
          <w:sz w:val="24"/>
          <w:highlight w:val="none"/>
          <w:lang w:val="en-US" w:eastAsia="zh-CN"/>
        </w:rPr>
        <w:t>如为授权委托人参加投标，须提供开标前3个月内任意一个月投标单位为其缴纳的社保证明</w:t>
      </w:r>
      <w:r>
        <w:rPr>
          <w:rFonts w:hint="eastAsia" w:ascii="宋体" w:hAnsi="宋体" w:cs="宋体"/>
          <w:b/>
          <w:bCs/>
          <w:color w:val="auto"/>
          <w:sz w:val="24"/>
          <w:highlight w:val="none"/>
        </w:rPr>
        <w:t>）</w:t>
      </w:r>
      <w:r>
        <w:rPr>
          <w:rFonts w:hint="eastAsia" w:ascii="宋体" w:hAnsi="宋体"/>
          <w:color w:val="auto"/>
          <w:sz w:val="24"/>
          <w:highlight w:val="none"/>
        </w:rPr>
        <w:t>；</w:t>
      </w:r>
      <w:bookmarkEnd w:id="22"/>
    </w:p>
    <w:p w14:paraId="2634B557">
      <w:pPr>
        <w:spacing w:line="500" w:lineRule="exact"/>
        <w:ind w:firstLine="480" w:firstLineChars="200"/>
        <w:rPr>
          <w:rFonts w:hint="eastAsia" w:ascii="宋体" w:hAnsi="宋体"/>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4</w:t>
      </w:r>
      <w:r>
        <w:rPr>
          <w:rFonts w:hint="eastAsia" w:ascii="宋体" w:hAnsi="宋体"/>
          <w:color w:val="auto"/>
          <w:highlight w:val="none"/>
        </w:rPr>
        <w:t>报价文件</w:t>
      </w:r>
    </w:p>
    <w:p w14:paraId="701949C4">
      <w:pPr>
        <w:spacing w:line="500" w:lineRule="exact"/>
        <w:ind w:firstLine="480" w:firstLineChars="200"/>
        <w:rPr>
          <w:rFonts w:hint="eastAsia" w:ascii="宋体" w:hAnsi="宋体"/>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4.1报价</w:t>
      </w:r>
      <w:r>
        <w:rPr>
          <w:rFonts w:hint="eastAsia" w:ascii="宋体" w:hAnsi="宋体"/>
          <w:color w:val="auto"/>
          <w:highlight w:val="none"/>
        </w:rPr>
        <w:t>一览表；</w:t>
      </w:r>
    </w:p>
    <w:p w14:paraId="47A93F89">
      <w:pPr>
        <w:spacing w:line="500" w:lineRule="exact"/>
        <w:ind w:firstLine="480" w:firstLineChars="200"/>
        <w:rPr>
          <w:rFonts w:hint="eastAsia" w:ascii="宋体" w:hAnsi="宋体"/>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4.2</w:t>
      </w:r>
      <w:r>
        <w:rPr>
          <w:rFonts w:hint="eastAsia" w:ascii="宋体" w:hAnsi="宋体" w:eastAsia="宋体"/>
          <w:color w:val="auto"/>
          <w:highlight w:val="none"/>
          <w:lang w:eastAsia="zh-CN"/>
        </w:rPr>
        <w:t>明细报价表</w:t>
      </w:r>
      <w:r>
        <w:rPr>
          <w:rFonts w:hint="eastAsia" w:ascii="宋体" w:hAnsi="宋体"/>
          <w:color w:val="auto"/>
          <w:highlight w:val="none"/>
        </w:rPr>
        <w:t>；</w:t>
      </w:r>
    </w:p>
    <w:p w14:paraId="5D7D0016">
      <w:pPr>
        <w:spacing w:line="500" w:lineRule="exact"/>
        <w:ind w:firstLine="480" w:firstLineChars="200"/>
        <w:rPr>
          <w:rFonts w:ascii="宋体" w:hAnsi="宋体"/>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5</w:t>
      </w:r>
      <w:r>
        <w:rPr>
          <w:rFonts w:hint="eastAsia" w:ascii="宋体" w:hAnsi="宋体"/>
          <w:color w:val="auto"/>
          <w:highlight w:val="none"/>
        </w:rPr>
        <w:t>技术文件</w:t>
      </w:r>
    </w:p>
    <w:p w14:paraId="6A0A480F">
      <w:pPr>
        <w:spacing w:line="500" w:lineRule="exact"/>
        <w:ind w:firstLine="480" w:firstLineChars="200"/>
        <w:rPr>
          <w:rFonts w:hint="eastAsia" w:ascii="宋体" w:hAnsi="宋体"/>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6</w:t>
      </w:r>
      <w:r>
        <w:rPr>
          <w:rFonts w:hint="eastAsia" w:ascii="宋体" w:hAnsi="宋体"/>
          <w:color w:val="auto"/>
          <w:highlight w:val="none"/>
        </w:rPr>
        <w:t>商务文件</w:t>
      </w:r>
    </w:p>
    <w:p w14:paraId="488B6EDC">
      <w:pPr>
        <w:spacing w:line="500" w:lineRule="exact"/>
        <w:ind w:firstLine="480" w:firstLineChars="200"/>
        <w:rPr>
          <w:rFonts w:hint="eastAsia" w:ascii="宋体" w:hAnsi="宋体" w:cs="仿宋_GB2312"/>
          <w:b/>
          <w:color w:val="auto"/>
          <w:highlight w:val="none"/>
        </w:rPr>
      </w:pPr>
      <w:r>
        <w:rPr>
          <w:rFonts w:hint="eastAsia" w:ascii="宋体" w:hAnsi="宋体"/>
          <w:color w:val="auto"/>
          <w:highlight w:val="none"/>
        </w:rPr>
        <w:t>10.</w:t>
      </w:r>
      <w:r>
        <w:rPr>
          <w:rFonts w:hint="eastAsia" w:ascii="宋体" w:hAnsi="宋体" w:eastAsia="宋体"/>
          <w:color w:val="auto"/>
          <w:highlight w:val="none"/>
          <w:lang w:val="en-US" w:eastAsia="zh-CN"/>
        </w:rPr>
        <w:t>7</w:t>
      </w:r>
      <w:r>
        <w:rPr>
          <w:rFonts w:hint="eastAsia" w:ascii="宋体" w:hAnsi="宋体"/>
          <w:color w:val="auto"/>
          <w:highlight w:val="none"/>
        </w:rPr>
        <w:t>供应商认为有必要提供的其它材料。</w:t>
      </w:r>
    </w:p>
    <w:p w14:paraId="49D3DAC4">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11、响应文件的加密：本项目不适用。</w:t>
      </w:r>
    </w:p>
    <w:p w14:paraId="1AE940F2">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12、响应文件的价格部分</w:t>
      </w:r>
    </w:p>
    <w:p w14:paraId="2E6195EA">
      <w:pPr>
        <w:spacing w:line="500" w:lineRule="exact"/>
        <w:ind w:firstLine="480" w:firstLineChars="200"/>
        <w:rPr>
          <w:rFonts w:hint="eastAsia" w:ascii="宋体" w:hAnsi="宋体"/>
          <w:b/>
          <w:color w:val="auto"/>
          <w:highlight w:val="none"/>
        </w:rPr>
      </w:pPr>
      <w:r>
        <w:rPr>
          <w:rFonts w:hint="eastAsia" w:ascii="宋体" w:hAnsi="宋体"/>
          <w:color w:val="auto"/>
          <w:highlight w:val="none"/>
        </w:rPr>
        <w:t>12.1</w:t>
      </w:r>
      <w:r>
        <w:rPr>
          <w:rFonts w:hint="eastAsia" w:ascii="宋体" w:hAnsi="宋体"/>
          <w:b/>
          <w:color w:val="auto"/>
          <w:highlight w:val="none"/>
        </w:rPr>
        <w:t>本项目报价为分次报价，供应商响应文件中的报价作为第一次报价，不公开；以最终报价作为评审价，后次报价不允许高于第一次报价。</w:t>
      </w:r>
    </w:p>
    <w:p w14:paraId="1D930F15">
      <w:pPr>
        <w:spacing w:line="500" w:lineRule="exact"/>
        <w:ind w:firstLine="480" w:firstLineChars="200"/>
        <w:rPr>
          <w:rFonts w:hint="eastAsia" w:ascii="宋体" w:hAnsi="宋体"/>
          <w:color w:val="auto"/>
          <w:highlight w:val="none"/>
        </w:rPr>
      </w:pPr>
      <w:r>
        <w:rPr>
          <w:rFonts w:hint="eastAsia" w:ascii="宋体" w:hAnsi="宋体"/>
          <w:color w:val="auto"/>
          <w:highlight w:val="none"/>
        </w:rPr>
        <w:t>12.2本项目服务费采用包干制，投标报价应包括服务成本（含劳动工具及材料费用）、法定税费和企业利润，</w:t>
      </w:r>
      <w:r>
        <w:rPr>
          <w:rFonts w:hint="eastAsia" w:ascii="宋体" w:hAnsi="宋体" w:eastAsia="宋体"/>
          <w:color w:val="auto"/>
          <w:highlight w:val="none"/>
          <w:lang w:eastAsia="zh-CN"/>
        </w:rPr>
        <w:t>供应商</w:t>
      </w:r>
      <w:r>
        <w:rPr>
          <w:rFonts w:hint="eastAsia" w:ascii="宋体" w:hAnsi="宋体"/>
          <w:color w:val="auto"/>
          <w:highlight w:val="none"/>
        </w:rPr>
        <w:t>应根据本企业的成本自行决定报价，但不得以低于其企业成本的报价投标。</w:t>
      </w:r>
    </w:p>
    <w:p w14:paraId="039104EF">
      <w:pPr>
        <w:spacing w:line="500" w:lineRule="exact"/>
        <w:ind w:firstLine="480" w:firstLineChars="200"/>
        <w:rPr>
          <w:rFonts w:hint="eastAsia" w:ascii="宋体" w:hAnsi="宋体"/>
          <w:color w:val="auto"/>
          <w:highlight w:val="none"/>
        </w:rPr>
      </w:pPr>
      <w:r>
        <w:rPr>
          <w:rFonts w:hint="eastAsia" w:ascii="宋体" w:hAnsi="宋体"/>
          <w:color w:val="auto"/>
          <w:highlight w:val="none"/>
        </w:rPr>
        <w:t>12.3报价注意事项：</w:t>
      </w:r>
    </w:p>
    <w:p w14:paraId="18820C6D">
      <w:pPr>
        <w:spacing w:line="500" w:lineRule="exact"/>
        <w:ind w:firstLine="480" w:firstLineChars="200"/>
        <w:rPr>
          <w:rFonts w:hint="eastAsia" w:ascii="宋体" w:hAnsi="宋体"/>
          <w:color w:val="auto"/>
          <w:highlight w:val="none"/>
        </w:rPr>
      </w:pPr>
      <w:r>
        <w:rPr>
          <w:rFonts w:hint="eastAsia" w:ascii="宋体" w:hAnsi="宋体"/>
          <w:color w:val="auto"/>
          <w:highlight w:val="none"/>
        </w:rPr>
        <w:t>12.3.1价格一律以人民币计算，以元为单位标准；</w:t>
      </w:r>
    </w:p>
    <w:p w14:paraId="26CB51F0">
      <w:pPr>
        <w:spacing w:line="500" w:lineRule="exact"/>
        <w:ind w:firstLine="480" w:firstLineChars="200"/>
        <w:rPr>
          <w:rFonts w:ascii="宋体" w:hAnsi="宋体"/>
          <w:color w:val="auto"/>
          <w:highlight w:val="none"/>
        </w:rPr>
      </w:pPr>
      <w:r>
        <w:rPr>
          <w:rFonts w:hint="eastAsia" w:ascii="宋体" w:hAnsi="宋体"/>
          <w:color w:val="auto"/>
          <w:highlight w:val="none"/>
        </w:rPr>
        <w:t>12.3.2供应商报价时应充分考虑所有可能影响到报价的因素，一旦磋商结束最终成交，如发生漏、缺、少项，都将被认为是成交人的报价让利行为，损失自负。</w:t>
      </w:r>
    </w:p>
    <w:p w14:paraId="6BE13C1B">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13、磋商保证金</w:t>
      </w:r>
    </w:p>
    <w:p w14:paraId="54C8F2CE">
      <w:pPr>
        <w:spacing w:line="500" w:lineRule="exact"/>
        <w:ind w:firstLine="480" w:firstLineChars="200"/>
        <w:rPr>
          <w:rFonts w:hint="default" w:ascii="宋体" w:hAnsi="宋体"/>
          <w:color w:val="auto"/>
          <w:highlight w:val="none"/>
          <w:lang w:val="en-US" w:eastAsia="zh-CN"/>
        </w:rPr>
      </w:pPr>
      <w:r>
        <w:rPr>
          <w:rFonts w:hint="eastAsia" w:ascii="宋体" w:hAnsi="宋体"/>
          <w:color w:val="auto"/>
          <w:highlight w:val="none"/>
          <w:lang w:val="en-US" w:eastAsia="zh-CN"/>
        </w:rPr>
        <w:t>本项目不适用。</w:t>
      </w:r>
    </w:p>
    <w:p w14:paraId="40E29C3E">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14、响应有效期</w:t>
      </w:r>
    </w:p>
    <w:p w14:paraId="36FDDE3E">
      <w:pPr>
        <w:spacing w:line="500" w:lineRule="exact"/>
        <w:ind w:firstLine="480" w:firstLineChars="200"/>
        <w:rPr>
          <w:rFonts w:hint="eastAsia" w:ascii="宋体" w:hAnsi="宋体"/>
          <w:color w:val="auto"/>
          <w:highlight w:val="none"/>
        </w:rPr>
      </w:pPr>
      <w:r>
        <w:rPr>
          <w:rFonts w:hint="eastAsia" w:ascii="宋体" w:hAnsi="宋体"/>
          <w:color w:val="auto"/>
          <w:highlight w:val="none"/>
        </w:rPr>
        <w:t>14.1在供应商须知前附表规定的响应有效期内，供应商不得要求撤销或者修改其响应文件。供应商响应文件有效期少于本须知前附表规定的响应有效期的，磋商小组将其作无效标处理。</w:t>
      </w:r>
    </w:p>
    <w:p w14:paraId="16DF664F">
      <w:pPr>
        <w:spacing w:line="500" w:lineRule="exact"/>
        <w:ind w:firstLine="480" w:firstLineChars="200"/>
        <w:rPr>
          <w:rFonts w:hint="eastAsia" w:ascii="宋体" w:hAnsi="宋体"/>
          <w:color w:val="auto"/>
          <w:sz w:val="20"/>
          <w:highlight w:val="none"/>
        </w:rPr>
      </w:pPr>
      <w:r>
        <w:rPr>
          <w:rFonts w:hint="eastAsia" w:ascii="宋体" w:hAnsi="宋体"/>
          <w:color w:val="auto"/>
          <w:highlight w:val="none"/>
        </w:rPr>
        <w:t>14.2在特殊情况下，采购人于原有响应效期满之前，可向供应商提出延长响应有效期的要求，这种要求与答复均应采用书面形式（如信件、传真或电报等），供应商可拒绝采购人的这一要求而放弃响应，同意延长的供应商既不能要求也不允许修改其响应文件。磋商文件有关磋商保证金的没收和退还的规定在延长期内继续有效。</w:t>
      </w:r>
      <w:bookmarkStart w:id="23" w:name="EB66b73c1fead944eb95840f55dd9c49e2"/>
      <w:r>
        <w:rPr>
          <w:rFonts w:hint="eastAsia" w:ascii="宋体" w:hAnsi="宋体"/>
          <w:color w:val="auto"/>
          <w:sz w:val="20"/>
          <w:highlight w:val="none"/>
        </w:rPr>
        <w:t xml:space="preserve"> </w:t>
      </w:r>
      <w:bookmarkEnd w:id="23"/>
      <w:bookmarkStart w:id="24" w:name="EB4fa0ea7baf4e4e9c91b747edc6723196"/>
      <w:r>
        <w:rPr>
          <w:rFonts w:hint="eastAsia" w:ascii="宋体" w:hAnsi="宋体"/>
          <w:color w:val="auto"/>
          <w:sz w:val="20"/>
          <w:highlight w:val="none"/>
        </w:rPr>
        <w:t xml:space="preserve"> </w:t>
      </w:r>
      <w:bookmarkEnd w:id="24"/>
      <w:bookmarkStart w:id="25" w:name="EB44c237d644c04f4c934177050b7dc38e"/>
      <w:r>
        <w:rPr>
          <w:rFonts w:hint="eastAsia" w:ascii="宋体" w:hAnsi="宋体"/>
          <w:color w:val="auto"/>
          <w:sz w:val="20"/>
          <w:highlight w:val="none"/>
        </w:rPr>
        <w:t xml:space="preserve"> </w:t>
      </w:r>
      <w:bookmarkEnd w:id="25"/>
    </w:p>
    <w:p w14:paraId="4ADF6469">
      <w:pPr>
        <w:spacing w:line="500" w:lineRule="exact"/>
        <w:rPr>
          <w:rFonts w:hint="eastAsia" w:ascii="宋体" w:hAnsi="宋体" w:eastAsia="宋体"/>
          <w:color w:val="auto"/>
          <w:highlight w:val="none"/>
        </w:rPr>
      </w:pPr>
      <w:bookmarkStart w:id="26" w:name="EB43d1083b45df4ef3bee9d3f88e385c93"/>
      <w:r>
        <w:rPr>
          <w:rFonts w:hint="eastAsia" w:ascii="宋体" w:hAnsi="宋体"/>
          <w:color w:val="auto"/>
          <w:sz w:val="20"/>
          <w:highlight w:val="none"/>
        </w:rPr>
        <w:t xml:space="preserve"> </w:t>
      </w:r>
      <w:bookmarkEnd w:id="26"/>
      <w:r>
        <w:rPr>
          <w:rFonts w:hint="eastAsia" w:ascii="宋体" w:hAnsi="宋体" w:eastAsia="宋体"/>
          <w:color w:val="auto"/>
          <w:highlight w:val="none"/>
        </w:rPr>
        <w:t>四、响应文件的提交</w:t>
      </w:r>
    </w:p>
    <w:p w14:paraId="02251D5E">
      <w:pPr>
        <w:spacing w:line="500" w:lineRule="exact"/>
        <w:ind w:firstLine="480" w:firstLineChars="200"/>
        <w:rPr>
          <w:rFonts w:ascii="宋体" w:hAnsi="宋体"/>
          <w:b/>
          <w:color w:val="auto"/>
          <w:highlight w:val="none"/>
        </w:rPr>
      </w:pPr>
      <w:r>
        <w:rPr>
          <w:rFonts w:hint="eastAsia" w:ascii="宋体" w:hAnsi="宋体"/>
          <w:b/>
          <w:color w:val="auto"/>
          <w:highlight w:val="none"/>
        </w:rPr>
        <w:t>15、响应文件的提交</w:t>
      </w:r>
    </w:p>
    <w:p w14:paraId="3F66D31C">
      <w:pPr>
        <w:widowControl/>
        <w:topLinePunct/>
        <w:spacing w:line="500" w:lineRule="exact"/>
        <w:ind w:firstLine="480" w:firstLineChars="200"/>
        <w:rPr>
          <w:rFonts w:ascii="宋体" w:hAnsi="宋体"/>
          <w:color w:val="auto"/>
          <w:highlight w:val="none"/>
        </w:rPr>
      </w:pPr>
      <w:r>
        <w:rPr>
          <w:rFonts w:hint="eastAsia" w:ascii="宋体" w:hAnsi="宋体"/>
          <w:color w:val="auto"/>
          <w:highlight w:val="none"/>
        </w:rPr>
        <w:t>15.1供应商应在磋商文件规定的响应截止时间前提交响应文件。响应文件提交截止时间后，供应商对报价或其他实质性内容修正的函件和增加的任何优惠条件，一律拒绝接收。</w:t>
      </w:r>
    </w:p>
    <w:p w14:paraId="7118BA5F">
      <w:pPr>
        <w:widowControl/>
        <w:topLinePunct/>
        <w:spacing w:line="500" w:lineRule="exact"/>
        <w:ind w:firstLine="480" w:firstLineChars="200"/>
        <w:rPr>
          <w:rFonts w:ascii="宋体" w:hAnsi="宋体"/>
          <w:color w:val="auto"/>
          <w:highlight w:val="none"/>
        </w:rPr>
      </w:pPr>
      <w:r>
        <w:rPr>
          <w:rFonts w:hint="eastAsia" w:ascii="宋体" w:hAnsi="宋体"/>
          <w:color w:val="auto"/>
          <w:highlight w:val="none"/>
        </w:rPr>
        <w:t>15.2除磋商文件另有规定外，供应商所提交的响应文件不予退还。</w:t>
      </w:r>
    </w:p>
    <w:p w14:paraId="7C6E7B4E">
      <w:pPr>
        <w:spacing w:line="500" w:lineRule="exact"/>
        <w:ind w:firstLine="480" w:firstLineChars="200"/>
        <w:rPr>
          <w:rFonts w:hint="eastAsia" w:ascii="宋体" w:hAnsi="宋体"/>
          <w:color w:val="auto"/>
          <w:highlight w:val="none"/>
        </w:rPr>
      </w:pPr>
      <w:r>
        <w:rPr>
          <w:rFonts w:hint="eastAsia" w:ascii="宋体" w:hAnsi="宋体"/>
          <w:color w:val="auto"/>
          <w:highlight w:val="none"/>
        </w:rPr>
        <w:t>15.3响应文件的修改和撤回：在响应截止时间前，供应商可以撤回或重新提交响应文件。最终响应文件以响应截止时间前完成递交的最后一份响应文件为准。</w:t>
      </w:r>
    </w:p>
    <w:p w14:paraId="7A5DE561">
      <w:pPr>
        <w:spacing w:line="500" w:lineRule="exact"/>
        <w:ind w:right="120" w:rightChars="50" w:firstLine="480" w:firstLineChars="200"/>
        <w:rPr>
          <w:rFonts w:hint="eastAsia" w:ascii="宋体" w:hAnsi="宋体" w:cs="Arial"/>
          <w:b/>
          <w:color w:val="auto"/>
          <w:highlight w:val="none"/>
          <w:u w:val="single"/>
        </w:rPr>
      </w:pPr>
      <w:r>
        <w:rPr>
          <w:rFonts w:hint="eastAsia" w:ascii="宋体" w:hAnsi="宋体" w:cs="Arial"/>
          <w:color w:val="auto"/>
          <w:highlight w:val="none"/>
        </w:rPr>
        <w:t>15.4采购代理机构可以通过修改磋商文件酌情延长响应文件接收截止日期，在此情况下，供应商的所有权利和义务以及供应商受制约的截止日期均应以延长后新的截止日期为准。</w:t>
      </w:r>
    </w:p>
    <w:p w14:paraId="5849BE5D">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16、响应文件被拒绝接收的情形</w:t>
      </w:r>
    </w:p>
    <w:p w14:paraId="4A64DE5C">
      <w:pPr>
        <w:spacing w:line="500" w:lineRule="exact"/>
        <w:ind w:right="120" w:rightChars="50" w:firstLine="480" w:firstLineChars="200"/>
        <w:rPr>
          <w:rFonts w:hint="eastAsia" w:ascii="宋体" w:hAnsi="宋体" w:cs="Arial"/>
          <w:color w:val="auto"/>
          <w:sz w:val="20"/>
          <w:highlight w:val="none"/>
        </w:rPr>
      </w:pPr>
      <w:r>
        <w:rPr>
          <w:rFonts w:hint="eastAsia" w:ascii="宋体" w:hAnsi="宋体" w:cs="Arial"/>
          <w:color w:val="auto"/>
          <w:highlight w:val="none"/>
        </w:rPr>
        <w:t>16.1在磋商文件规定的响应截止时间后上传的响应文件。</w:t>
      </w:r>
    </w:p>
    <w:p w14:paraId="760258F0">
      <w:pPr>
        <w:pStyle w:val="3"/>
        <w:spacing w:before="160" w:after="160"/>
        <w:rPr>
          <w:rFonts w:hint="eastAsia" w:ascii="宋体" w:hAnsi="宋体" w:eastAsia="宋体"/>
          <w:color w:val="auto"/>
          <w:highlight w:val="none"/>
        </w:rPr>
      </w:pPr>
      <w:bookmarkStart w:id="27" w:name="_Toc28991"/>
      <w:r>
        <w:rPr>
          <w:rFonts w:hint="eastAsia" w:ascii="宋体" w:hAnsi="宋体" w:eastAsia="宋体"/>
          <w:color w:val="auto"/>
          <w:highlight w:val="none"/>
          <w:lang w:val="en-US" w:eastAsia="zh-CN"/>
        </w:rPr>
        <w:t>四</w:t>
      </w:r>
      <w:r>
        <w:rPr>
          <w:rFonts w:hint="eastAsia" w:ascii="宋体" w:hAnsi="宋体" w:eastAsia="宋体"/>
          <w:color w:val="auto"/>
          <w:highlight w:val="none"/>
        </w:rPr>
        <w:t>、无效标、废标、串通参与磋商认定条款</w:t>
      </w:r>
      <w:bookmarkEnd w:id="27"/>
    </w:p>
    <w:p w14:paraId="39BE0566">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17、无效标条款</w:t>
      </w:r>
    </w:p>
    <w:p w14:paraId="2902E15A">
      <w:pPr>
        <w:pStyle w:val="352"/>
        <w:spacing w:line="360" w:lineRule="auto"/>
        <w:rPr>
          <w:rFonts w:ascii="宋体" w:hAnsi="宋体" w:eastAsia="宋体"/>
          <w:color w:val="auto"/>
          <w:highlight w:val="none"/>
        </w:rPr>
      </w:pPr>
      <w:bookmarkStart w:id="28" w:name="EBe198f23db5d141918ea8b489a6fd1fed"/>
      <w:r>
        <w:rPr>
          <w:rFonts w:ascii="宋体" w:hAnsi="宋体" w:eastAsia="宋体" w:cs="仿宋_GB2312"/>
          <w:color w:val="auto"/>
          <w:highlight w:val="none"/>
        </w:rPr>
        <w:tab/>
      </w:r>
      <w:r>
        <w:rPr>
          <w:rFonts w:ascii="宋体" w:hAnsi="宋体" w:eastAsia="宋体" w:cs="仿宋_GB2312"/>
          <w:color w:val="auto"/>
          <w:highlight w:val="none"/>
        </w:rPr>
        <w:t>17.1  供应商不符合</w:t>
      </w:r>
      <w:r>
        <w:rPr>
          <w:rFonts w:hint="eastAsia" w:ascii="宋体" w:hAnsi="宋体" w:eastAsia="宋体" w:cs="仿宋_GB2312"/>
          <w:color w:val="auto"/>
          <w:highlight w:val="none"/>
          <w:lang w:eastAsia="zh-CN"/>
        </w:rPr>
        <w:t>磋商</w:t>
      </w:r>
      <w:r>
        <w:rPr>
          <w:rFonts w:ascii="宋体" w:hAnsi="宋体" w:eastAsia="宋体" w:cs="仿宋_GB2312"/>
          <w:color w:val="auto"/>
          <w:highlight w:val="none"/>
        </w:rPr>
        <w:t>文件规定资格要求的或未按规定提交资质证件的；</w:t>
      </w:r>
    </w:p>
    <w:p w14:paraId="7B1CA28E">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17.2  供应商在规定的时间未按要求提交保证金的；</w:t>
      </w:r>
    </w:p>
    <w:p w14:paraId="3FAC5015">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17.3  响应文件签署、盖章不符合</w:t>
      </w:r>
      <w:r>
        <w:rPr>
          <w:rFonts w:hint="eastAsia" w:ascii="宋体" w:hAnsi="宋体" w:eastAsia="宋体" w:cs="仿宋_GB2312"/>
          <w:color w:val="auto"/>
          <w:highlight w:val="none"/>
          <w:lang w:eastAsia="zh-CN"/>
        </w:rPr>
        <w:t>磋商</w:t>
      </w:r>
      <w:r>
        <w:rPr>
          <w:rFonts w:ascii="宋体" w:hAnsi="宋体" w:eastAsia="宋体" w:cs="仿宋_GB2312"/>
          <w:color w:val="auto"/>
          <w:highlight w:val="none"/>
        </w:rPr>
        <w:t>文件要求的；</w:t>
      </w:r>
    </w:p>
    <w:p w14:paraId="3EC622B0">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w:t>
      </w:r>
      <w:r>
        <w:rPr>
          <w:rFonts w:hint="eastAsia" w:ascii="宋体" w:hAnsi="宋体" w:eastAsia="宋体" w:cs="仿宋_GB2312"/>
          <w:color w:val="auto"/>
          <w:highlight w:val="none"/>
          <w:lang w:val="en-US" w:eastAsia="zh-CN"/>
        </w:rPr>
        <w:t>4</w:t>
      </w:r>
      <w:r>
        <w:rPr>
          <w:rFonts w:ascii="宋体" w:hAnsi="宋体" w:eastAsia="宋体" w:cs="仿宋_GB2312"/>
          <w:color w:val="auto"/>
          <w:highlight w:val="none"/>
        </w:rPr>
        <w:t xml:space="preserve">  报价超过</w:t>
      </w:r>
      <w:r>
        <w:rPr>
          <w:rFonts w:hint="eastAsia" w:ascii="宋体" w:hAnsi="宋体" w:eastAsia="宋体" w:cs="仿宋_GB2312"/>
          <w:color w:val="auto"/>
          <w:highlight w:val="none"/>
          <w:lang w:eastAsia="zh-CN"/>
        </w:rPr>
        <w:t>磋商</w:t>
      </w:r>
      <w:r>
        <w:rPr>
          <w:rFonts w:ascii="宋体" w:hAnsi="宋体" w:eastAsia="宋体" w:cs="仿宋_GB2312"/>
          <w:color w:val="auto"/>
          <w:highlight w:val="none"/>
        </w:rPr>
        <w:t>文件中规定的预算金额或者最高限价的；</w:t>
      </w:r>
    </w:p>
    <w:p w14:paraId="152DDA93">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w:t>
      </w:r>
      <w:r>
        <w:rPr>
          <w:rFonts w:hint="eastAsia" w:ascii="宋体" w:hAnsi="宋体" w:eastAsia="宋体" w:cs="仿宋_GB2312"/>
          <w:color w:val="auto"/>
          <w:highlight w:val="none"/>
          <w:lang w:val="en-US" w:eastAsia="zh-CN"/>
        </w:rPr>
        <w:t>5</w:t>
      </w:r>
      <w:r>
        <w:rPr>
          <w:rFonts w:ascii="宋体" w:hAnsi="宋体" w:eastAsia="宋体" w:cs="仿宋_GB2312"/>
          <w:color w:val="auto"/>
          <w:highlight w:val="none"/>
        </w:rPr>
        <w:t xml:space="preserve">  响应文件出现重大偏差，未对</w:t>
      </w:r>
      <w:r>
        <w:rPr>
          <w:rFonts w:hint="eastAsia" w:ascii="宋体" w:hAnsi="宋体" w:eastAsia="宋体" w:cs="仿宋_GB2312"/>
          <w:color w:val="auto"/>
          <w:highlight w:val="none"/>
          <w:lang w:eastAsia="zh-CN"/>
        </w:rPr>
        <w:t>磋商</w:t>
      </w:r>
      <w:r>
        <w:rPr>
          <w:rFonts w:ascii="宋体" w:hAnsi="宋体" w:eastAsia="宋体" w:cs="仿宋_GB2312"/>
          <w:color w:val="auto"/>
          <w:highlight w:val="none"/>
        </w:rPr>
        <w:t>文件进行实质性响应的（</w:t>
      </w:r>
      <w:r>
        <w:rPr>
          <w:rFonts w:hint="eastAsia" w:ascii="宋体" w:hAnsi="宋体" w:eastAsia="宋体" w:cs="仿宋_GB2312"/>
          <w:color w:val="auto"/>
          <w:highlight w:val="none"/>
          <w:lang w:val="en-US" w:eastAsia="zh-CN"/>
        </w:rPr>
        <w:t>*</w:t>
      </w:r>
      <w:r>
        <w:rPr>
          <w:rFonts w:ascii="宋体" w:hAnsi="宋体" w:eastAsia="宋体" w:cs="仿宋_GB2312"/>
          <w:color w:val="auto"/>
          <w:highlight w:val="none"/>
        </w:rPr>
        <w:t>部分为实质性要求）；</w:t>
      </w:r>
    </w:p>
    <w:p w14:paraId="56E849A7">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17.7  响应文件含有采购人不能接受的附加条件的；</w:t>
      </w:r>
    </w:p>
    <w:p w14:paraId="23584B56">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17.8  供应商有本</w:t>
      </w:r>
      <w:r>
        <w:rPr>
          <w:rFonts w:hint="eastAsia" w:ascii="宋体" w:hAnsi="宋体" w:eastAsia="宋体" w:cs="仿宋_GB2312"/>
          <w:color w:val="auto"/>
          <w:highlight w:val="none"/>
          <w:lang w:eastAsia="zh-CN"/>
        </w:rPr>
        <w:t>磋商</w:t>
      </w:r>
      <w:r>
        <w:rPr>
          <w:rFonts w:ascii="宋体" w:hAnsi="宋体" w:eastAsia="宋体" w:cs="仿宋_GB2312"/>
          <w:color w:val="auto"/>
          <w:highlight w:val="none"/>
        </w:rPr>
        <w:t>文件规定的恶意串通情形的；</w:t>
      </w:r>
    </w:p>
    <w:p w14:paraId="48368EAB">
      <w:pPr>
        <w:pStyle w:val="352"/>
        <w:spacing w:line="360" w:lineRule="auto"/>
        <w:rPr>
          <w:rFonts w:ascii="宋体" w:hAnsi="宋体" w:eastAsia="宋体" w:cs="仿宋_GB2312"/>
          <w:color w:val="auto"/>
          <w:highlight w:val="none"/>
        </w:rPr>
      </w:pPr>
      <w:r>
        <w:rPr>
          <w:rFonts w:ascii="宋体" w:hAnsi="宋体" w:eastAsia="宋体" w:cs="仿宋_GB2312"/>
          <w:color w:val="auto"/>
          <w:highlight w:val="none"/>
        </w:rPr>
        <w:tab/>
      </w:r>
      <w:r>
        <w:rPr>
          <w:rFonts w:ascii="宋体" w:hAnsi="宋体" w:eastAsia="宋体" w:cs="仿宋_GB2312"/>
          <w:color w:val="auto"/>
          <w:highlight w:val="none"/>
        </w:rPr>
        <w:t>17.9  其它磋商小组认为有必要取消的申请；</w:t>
      </w:r>
    </w:p>
    <w:p w14:paraId="213D81F6">
      <w:pPr>
        <w:pStyle w:val="352"/>
        <w:spacing w:line="360" w:lineRule="auto"/>
        <w:rPr>
          <w:rFonts w:hint="eastAsia" w:ascii="宋体" w:hAnsi="宋体" w:cs="Arial"/>
          <w:color w:val="auto"/>
          <w:sz w:val="20"/>
          <w:highlight w:val="none"/>
        </w:rPr>
      </w:pPr>
      <w:r>
        <w:rPr>
          <w:rFonts w:ascii="宋体" w:hAnsi="宋体" w:eastAsia="宋体" w:cs="仿宋_GB2312"/>
          <w:color w:val="auto"/>
          <w:highlight w:val="none"/>
        </w:rPr>
        <w:tab/>
      </w:r>
      <w:r>
        <w:rPr>
          <w:rFonts w:ascii="宋体" w:hAnsi="宋体" w:eastAsia="宋体" w:cs="仿宋_GB2312"/>
          <w:color w:val="auto"/>
          <w:highlight w:val="none"/>
        </w:rPr>
        <w:t>17.10  法律、法规规定的其它情况。</w:t>
      </w:r>
      <w:bookmarkEnd w:id="28"/>
    </w:p>
    <w:p w14:paraId="598A7768">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18、废标条款</w:t>
      </w:r>
    </w:p>
    <w:p w14:paraId="13E2221B">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18.1符合专业条件的供应商或者对磋商文件作实质响应的供应商不足三家的（符合19条情形除外）；</w:t>
      </w:r>
    </w:p>
    <w:p w14:paraId="5C9BCF62">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18.2出现影响采购公正的违法、违规行为的；</w:t>
      </w:r>
    </w:p>
    <w:p w14:paraId="1A417CE1">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18.3供应商的报价均超过了采购预算，且采购人不能支付的；</w:t>
      </w:r>
    </w:p>
    <w:p w14:paraId="39343D7F">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18.4因重大变故，采购任务取消的。</w:t>
      </w:r>
    </w:p>
    <w:p w14:paraId="7DDBEFB8">
      <w:pPr>
        <w:spacing w:line="500" w:lineRule="exact"/>
        <w:ind w:firstLine="480" w:firstLineChars="200"/>
        <w:rPr>
          <w:rFonts w:hint="eastAsia" w:ascii="宋体" w:hAnsi="宋体"/>
          <w:b/>
          <w:bCs/>
          <w:color w:val="auto"/>
          <w:highlight w:val="none"/>
        </w:rPr>
      </w:pPr>
      <w:r>
        <w:rPr>
          <w:rFonts w:hint="eastAsia" w:ascii="宋体" w:hAnsi="宋体"/>
          <w:b/>
          <w:color w:val="auto"/>
          <w:highlight w:val="none"/>
        </w:rPr>
        <w:t>19、供应商不足三家情形处理</w:t>
      </w:r>
    </w:p>
    <w:p w14:paraId="6959B6AE">
      <w:pPr>
        <w:keepNext w:val="0"/>
        <w:keepLines w:val="0"/>
        <w:pageBreakBefore w:val="0"/>
        <w:widowControl w:val="0"/>
        <w:kinsoku/>
        <w:wordWrap/>
        <w:overflowPunct/>
        <w:topLinePunct w:val="0"/>
        <w:autoSpaceDE/>
        <w:autoSpaceDN/>
        <w:bidi w:val="0"/>
        <w:adjustRightInd/>
        <w:snapToGrid/>
        <w:spacing w:line="500" w:lineRule="exact"/>
        <w:ind w:left="480" w:leftChars="200" w:firstLine="480" w:firstLineChars="200"/>
        <w:textAlignment w:val="auto"/>
        <w:rPr>
          <w:rFonts w:hint="eastAsia" w:ascii="宋体" w:hAnsi="宋体" w:eastAsia="宋体" w:cs="宋体"/>
          <w:color w:val="auto"/>
          <w:highlight w:val="none"/>
        </w:rPr>
      </w:pPr>
      <w:r>
        <w:rPr>
          <w:rFonts w:hint="eastAsia" w:ascii="宋体" w:hAnsi="宋体" w:eastAsia="Times New Roman" w:cs="Times New Roman"/>
          <w:color w:val="auto"/>
          <w:highlight w:val="none"/>
        </w:rPr>
        <w:t>根据财政部关于印发《政府采购</w:t>
      </w:r>
      <w:r>
        <w:rPr>
          <w:rFonts w:hint="eastAsia" w:ascii="宋体" w:hAnsi="宋体" w:eastAsia="宋体" w:cs="Times New Roman"/>
          <w:color w:val="auto"/>
          <w:highlight w:val="none"/>
          <w:lang w:eastAsia="zh-CN"/>
        </w:rPr>
        <w:t>磋商</w:t>
      </w:r>
      <w:r>
        <w:rPr>
          <w:rFonts w:hint="eastAsia" w:ascii="宋体" w:hAnsi="宋体" w:eastAsia="Times New Roman" w:cs="Times New Roman"/>
          <w:color w:val="auto"/>
          <w:highlight w:val="none"/>
        </w:rPr>
        <w:t>采购方式管理暂行办法》的通知（财库〔2014〕 214号）、《财政部关于政府采购</w:t>
      </w:r>
      <w:r>
        <w:rPr>
          <w:rFonts w:hint="eastAsia" w:ascii="宋体" w:hAnsi="宋体" w:eastAsia="宋体" w:cs="Times New Roman"/>
          <w:color w:val="auto"/>
          <w:highlight w:val="none"/>
          <w:lang w:eastAsia="zh-CN"/>
        </w:rPr>
        <w:t>磋商</w:t>
      </w:r>
      <w:r>
        <w:rPr>
          <w:rFonts w:hint="eastAsia" w:ascii="宋体" w:hAnsi="宋体" w:eastAsia="Times New Roman" w:cs="Times New Roman"/>
          <w:color w:val="auto"/>
          <w:highlight w:val="none"/>
        </w:rPr>
        <w:t>采购方式管理暂行办法有关问题的补充通知》（财库〔2015〕 124号）等相关法律法规规定，如磋商采购项目属政府购买服务项目（含政府和社会资本合作项目）、 市场竞争不充分的科研项目以及需要扶持的科技成果转化项目的，在采购过程中符合要求的供应商只有2家时，</w:t>
      </w:r>
      <w:r>
        <w:rPr>
          <w:rFonts w:hint="eastAsia" w:ascii="宋体" w:hAnsi="宋体" w:eastAsia="宋体" w:cs="Times New Roman"/>
          <w:color w:val="auto"/>
          <w:highlight w:val="none"/>
          <w:lang w:eastAsia="zh-CN"/>
        </w:rPr>
        <w:t>磋商</w:t>
      </w:r>
      <w:r>
        <w:rPr>
          <w:rFonts w:hint="eastAsia" w:ascii="宋体" w:hAnsi="宋体" w:eastAsia="Times New Roman" w:cs="Times New Roman"/>
          <w:color w:val="auto"/>
          <w:highlight w:val="none"/>
        </w:rPr>
        <w:t>采购活动可以继续进行。</w:t>
      </w:r>
    </w:p>
    <w:p w14:paraId="73CF6710">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20、取消成交候选人资格条款</w:t>
      </w:r>
    </w:p>
    <w:p w14:paraId="3CBA2030">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20.1提供虚假材料谋取成交的；</w:t>
      </w:r>
    </w:p>
    <w:p w14:paraId="3515AFCF">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20.2采取不正当手段诋毁、排挤其他供应商的；</w:t>
      </w:r>
    </w:p>
    <w:p w14:paraId="37B52A41">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20.3与采购人、其他供应商或者采购代理机构恶意串通的；</w:t>
      </w:r>
    </w:p>
    <w:p w14:paraId="2F8CEC41">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20.4向采购人、采购代理机构行贿或者提供其他不正当利益的；</w:t>
      </w:r>
    </w:p>
    <w:p w14:paraId="588BE8C2">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20.5未在规定时间内与采购人签订采购合同的；</w:t>
      </w:r>
    </w:p>
    <w:p w14:paraId="3F40D7E2">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20.6法律、法规规定的其它情况。</w:t>
      </w:r>
    </w:p>
    <w:p w14:paraId="4DEBE069">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21、恶意串通参与磋商的情形</w:t>
      </w:r>
    </w:p>
    <w:p w14:paraId="15D464CD">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w:t>
      </w:r>
      <w:r>
        <w:rPr>
          <w:rFonts w:hint="eastAsia" w:ascii="宋体" w:hAnsi="宋体" w:cs="宋体"/>
          <w:color w:val="auto"/>
          <w:highlight w:val="none"/>
        </w:rPr>
        <w:t>供应商</w:t>
      </w:r>
      <w:r>
        <w:rPr>
          <w:rFonts w:hint="eastAsia" w:ascii="宋体" w:hAnsi="宋体"/>
          <w:color w:val="auto"/>
          <w:highlight w:val="none"/>
        </w:rPr>
        <w:t>直接或间接从采购人或采购代理机构处获得其他</w:t>
      </w:r>
      <w:r>
        <w:rPr>
          <w:rFonts w:hint="eastAsia" w:ascii="宋体" w:hAnsi="宋体" w:cs="宋体"/>
          <w:color w:val="auto"/>
          <w:highlight w:val="none"/>
        </w:rPr>
        <w:t>供应商</w:t>
      </w:r>
      <w:r>
        <w:rPr>
          <w:rFonts w:hint="eastAsia" w:ascii="宋体" w:hAnsi="宋体"/>
          <w:color w:val="auto"/>
          <w:highlight w:val="none"/>
        </w:rPr>
        <w:t>的申请情况，并修改其响应文件；</w:t>
      </w:r>
    </w:p>
    <w:p w14:paraId="2D047589">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21.2评审活动开始前</w:t>
      </w:r>
      <w:r>
        <w:rPr>
          <w:rFonts w:hint="eastAsia" w:ascii="宋体" w:hAnsi="宋体" w:cs="宋体"/>
          <w:color w:val="auto"/>
          <w:highlight w:val="none"/>
        </w:rPr>
        <w:t>供应商</w:t>
      </w:r>
      <w:r>
        <w:rPr>
          <w:rFonts w:hint="eastAsia" w:ascii="宋体" w:hAnsi="宋体"/>
          <w:color w:val="auto"/>
          <w:highlight w:val="none"/>
        </w:rPr>
        <w:t>直接或间接从采购人或采购代理机构处获得磋商小组组成人员情况；</w:t>
      </w:r>
    </w:p>
    <w:p w14:paraId="5EEEA08A">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21.3</w:t>
      </w:r>
      <w:r>
        <w:rPr>
          <w:rFonts w:hint="eastAsia" w:ascii="宋体" w:hAnsi="宋体" w:cs="宋体"/>
          <w:color w:val="auto"/>
          <w:highlight w:val="none"/>
        </w:rPr>
        <w:t>供应商</w:t>
      </w:r>
      <w:r>
        <w:rPr>
          <w:rFonts w:hint="eastAsia" w:ascii="宋体" w:hAnsi="宋体"/>
          <w:color w:val="auto"/>
          <w:highlight w:val="none"/>
        </w:rPr>
        <w:t>接受采购人或采购代理机构授意撤换、修改响应文件；</w:t>
      </w:r>
    </w:p>
    <w:p w14:paraId="3C2463B6">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21.4</w:t>
      </w:r>
      <w:r>
        <w:rPr>
          <w:rFonts w:hint="eastAsia" w:ascii="宋体" w:hAnsi="宋体" w:cs="宋体"/>
          <w:color w:val="auto"/>
          <w:highlight w:val="none"/>
        </w:rPr>
        <w:t>供应商</w:t>
      </w:r>
      <w:r>
        <w:rPr>
          <w:rFonts w:hint="eastAsia" w:ascii="宋体" w:hAnsi="宋体"/>
          <w:color w:val="auto"/>
          <w:highlight w:val="none"/>
        </w:rPr>
        <w:t>之间协商报价、技术方案等响应文件实质性内容；</w:t>
      </w:r>
    </w:p>
    <w:p w14:paraId="3CDF343A">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21.5属于同一集团、协会、商会等组织成员的</w:t>
      </w:r>
      <w:r>
        <w:rPr>
          <w:rFonts w:hint="eastAsia" w:ascii="宋体" w:hAnsi="宋体" w:cs="宋体"/>
          <w:color w:val="auto"/>
          <w:highlight w:val="none"/>
        </w:rPr>
        <w:t>供应商</w:t>
      </w:r>
      <w:r>
        <w:rPr>
          <w:rFonts w:hint="eastAsia" w:ascii="宋体" w:hAnsi="宋体"/>
          <w:color w:val="auto"/>
          <w:highlight w:val="none"/>
        </w:rPr>
        <w:t>按照该组织要求协同参与磋商活动的；</w:t>
      </w:r>
    </w:p>
    <w:p w14:paraId="367B631F">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21.6</w:t>
      </w:r>
      <w:r>
        <w:rPr>
          <w:rFonts w:hint="eastAsia" w:ascii="宋体" w:hAnsi="宋体" w:cs="宋体"/>
          <w:color w:val="auto"/>
          <w:highlight w:val="none"/>
        </w:rPr>
        <w:t>供应商</w:t>
      </w:r>
      <w:r>
        <w:rPr>
          <w:rFonts w:hint="eastAsia" w:ascii="宋体" w:hAnsi="宋体"/>
          <w:color w:val="auto"/>
          <w:highlight w:val="none"/>
        </w:rPr>
        <w:t>之间事先约定由某一特定</w:t>
      </w:r>
      <w:r>
        <w:rPr>
          <w:rFonts w:hint="eastAsia" w:ascii="宋体" w:hAnsi="宋体" w:cs="宋体"/>
          <w:color w:val="auto"/>
          <w:highlight w:val="none"/>
        </w:rPr>
        <w:t>供应商</w:t>
      </w:r>
      <w:r>
        <w:rPr>
          <w:rFonts w:hint="eastAsia" w:ascii="宋体" w:hAnsi="宋体"/>
          <w:color w:val="auto"/>
          <w:highlight w:val="none"/>
        </w:rPr>
        <w:t>成交；</w:t>
      </w:r>
    </w:p>
    <w:p w14:paraId="16A5CC25">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21.7</w:t>
      </w:r>
      <w:r>
        <w:rPr>
          <w:rFonts w:hint="eastAsia" w:ascii="宋体" w:hAnsi="宋体" w:cs="宋体"/>
          <w:color w:val="auto"/>
          <w:highlight w:val="none"/>
        </w:rPr>
        <w:t>供应商</w:t>
      </w:r>
      <w:r>
        <w:rPr>
          <w:rFonts w:hint="eastAsia" w:ascii="宋体" w:hAnsi="宋体"/>
          <w:color w:val="auto"/>
          <w:highlight w:val="none"/>
        </w:rPr>
        <w:t>之间商定部分</w:t>
      </w:r>
      <w:r>
        <w:rPr>
          <w:rFonts w:hint="eastAsia" w:ascii="宋体" w:hAnsi="宋体" w:cs="宋体"/>
          <w:color w:val="auto"/>
          <w:highlight w:val="none"/>
        </w:rPr>
        <w:t>供应商</w:t>
      </w:r>
      <w:r>
        <w:rPr>
          <w:rFonts w:hint="eastAsia" w:ascii="宋体" w:hAnsi="宋体"/>
          <w:color w:val="auto"/>
          <w:highlight w:val="none"/>
        </w:rPr>
        <w:t>放弃或者放弃成交；</w:t>
      </w:r>
    </w:p>
    <w:p w14:paraId="4DED4AF3">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21.8</w:t>
      </w:r>
      <w:r>
        <w:rPr>
          <w:rFonts w:hint="eastAsia" w:ascii="宋体" w:hAnsi="宋体" w:cs="宋体"/>
          <w:color w:val="auto"/>
          <w:highlight w:val="none"/>
        </w:rPr>
        <w:t>供应商</w:t>
      </w:r>
      <w:r>
        <w:rPr>
          <w:rFonts w:hint="eastAsia" w:ascii="宋体" w:hAnsi="宋体"/>
          <w:color w:val="auto"/>
          <w:highlight w:val="none"/>
        </w:rPr>
        <w:t>与采购人或采购代理机构之间、</w:t>
      </w:r>
      <w:r>
        <w:rPr>
          <w:rFonts w:hint="eastAsia" w:ascii="宋体" w:hAnsi="宋体" w:cs="宋体"/>
          <w:color w:val="auto"/>
          <w:highlight w:val="none"/>
        </w:rPr>
        <w:t>供应商</w:t>
      </w:r>
      <w:r>
        <w:rPr>
          <w:rFonts w:hint="eastAsia" w:ascii="宋体" w:hAnsi="宋体"/>
          <w:color w:val="auto"/>
          <w:highlight w:val="none"/>
        </w:rPr>
        <w:t>相互之间为谋求特定</w:t>
      </w:r>
      <w:r>
        <w:rPr>
          <w:rFonts w:hint="eastAsia" w:ascii="宋体" w:hAnsi="宋体" w:cs="宋体"/>
          <w:color w:val="auto"/>
          <w:highlight w:val="none"/>
        </w:rPr>
        <w:t>供应商</w:t>
      </w:r>
      <w:r>
        <w:rPr>
          <w:rFonts w:hint="eastAsia" w:ascii="宋体" w:hAnsi="宋体"/>
          <w:color w:val="auto"/>
          <w:highlight w:val="none"/>
        </w:rPr>
        <w:t>成交或者排斥其他</w:t>
      </w:r>
      <w:r>
        <w:rPr>
          <w:rFonts w:hint="eastAsia" w:ascii="宋体" w:hAnsi="宋体" w:cs="宋体"/>
          <w:color w:val="auto"/>
          <w:highlight w:val="none"/>
        </w:rPr>
        <w:t>供应商</w:t>
      </w:r>
      <w:r>
        <w:rPr>
          <w:rFonts w:hint="eastAsia" w:ascii="宋体" w:hAnsi="宋体"/>
          <w:color w:val="auto"/>
          <w:highlight w:val="none"/>
        </w:rPr>
        <w:t>的其他串通行为；</w:t>
      </w:r>
    </w:p>
    <w:p w14:paraId="025F5698">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21.9不同供应商的响应文件由同一单位或者个人编制；</w:t>
      </w:r>
    </w:p>
    <w:p w14:paraId="2A2EEC8B">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21.10不同供应商的响应文件载明的项目管理成员或联系人为同一人；</w:t>
      </w:r>
    </w:p>
    <w:p w14:paraId="357F3826">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21.11不同供应商的响应文件载明的项目管理成员为同一人；</w:t>
      </w:r>
    </w:p>
    <w:p w14:paraId="3AEEF520">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21.12不同供应商的响应文件异常一致或者报价呈规律性差异；</w:t>
      </w:r>
    </w:p>
    <w:p w14:paraId="1D75F474">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21.13不同供应商的响应文件相互混装；</w:t>
      </w:r>
    </w:p>
    <w:p w14:paraId="0DE6C070">
      <w:pPr>
        <w:snapToGrid w:val="0"/>
        <w:spacing w:line="500" w:lineRule="exact"/>
        <w:ind w:firstLine="480" w:firstLineChars="200"/>
        <w:rPr>
          <w:rFonts w:hint="eastAsia" w:ascii="宋体" w:hAnsi="宋体"/>
          <w:color w:val="auto"/>
          <w:highlight w:val="none"/>
        </w:rPr>
      </w:pPr>
      <w:r>
        <w:rPr>
          <w:rFonts w:hint="eastAsia" w:ascii="宋体" w:hAnsi="宋体"/>
          <w:color w:val="auto"/>
          <w:highlight w:val="none"/>
        </w:rPr>
        <w:t>21.14不同供应商的磋商保证金从同一单位或者个人的账户转出。</w:t>
      </w:r>
    </w:p>
    <w:p w14:paraId="3F53CE5D">
      <w:pPr>
        <w:snapToGrid w:val="0"/>
        <w:spacing w:line="500" w:lineRule="exact"/>
        <w:rPr>
          <w:rFonts w:hint="eastAsia" w:ascii="宋体" w:hAnsi="宋体"/>
          <w:color w:val="auto"/>
          <w:highlight w:val="none"/>
        </w:rPr>
      </w:pPr>
      <w:bookmarkStart w:id="29" w:name="EBa4e13f4f182840cc8325b7a19e376e78"/>
      <w:r>
        <w:rPr>
          <w:rFonts w:hint="eastAsia" w:ascii="宋体" w:hAnsi="宋体"/>
          <w:color w:val="auto"/>
          <w:sz w:val="20"/>
          <w:highlight w:val="none"/>
        </w:rPr>
        <w:t xml:space="preserve"> </w:t>
      </w:r>
      <w:bookmarkEnd w:id="29"/>
      <w:bookmarkStart w:id="30" w:name="EBda99b0b7f00c4977a44748b5b87a1e57"/>
      <w:r>
        <w:rPr>
          <w:rFonts w:hint="eastAsia" w:ascii="宋体" w:hAnsi="宋体"/>
          <w:color w:val="auto"/>
          <w:sz w:val="20"/>
          <w:highlight w:val="none"/>
        </w:rPr>
        <w:t xml:space="preserve"> </w:t>
      </w:r>
      <w:bookmarkEnd w:id="30"/>
      <w:bookmarkStart w:id="31" w:name="EB611e836ca4144281ae96a75a86350a43"/>
      <w:r>
        <w:rPr>
          <w:rFonts w:hint="eastAsia" w:ascii="宋体" w:hAnsi="宋体"/>
          <w:color w:val="auto"/>
          <w:sz w:val="20"/>
          <w:highlight w:val="none"/>
        </w:rPr>
        <w:t xml:space="preserve"> </w:t>
      </w:r>
      <w:bookmarkEnd w:id="31"/>
    </w:p>
    <w:p w14:paraId="0110EAE0">
      <w:pPr>
        <w:pStyle w:val="3"/>
        <w:spacing w:before="160" w:after="160"/>
        <w:rPr>
          <w:rFonts w:hint="eastAsia" w:ascii="宋体" w:hAnsi="宋体" w:eastAsia="宋体"/>
          <w:color w:val="auto"/>
          <w:highlight w:val="none"/>
        </w:rPr>
      </w:pPr>
      <w:bookmarkStart w:id="32" w:name="_Toc14276"/>
      <w:r>
        <w:rPr>
          <w:rFonts w:hint="eastAsia" w:ascii="宋体" w:hAnsi="宋体" w:eastAsia="宋体"/>
          <w:color w:val="auto"/>
          <w:highlight w:val="none"/>
          <w:lang w:val="en-US" w:eastAsia="zh-CN"/>
        </w:rPr>
        <w:t>五</w:t>
      </w:r>
      <w:r>
        <w:rPr>
          <w:rFonts w:hint="eastAsia" w:ascii="宋体" w:hAnsi="宋体" w:eastAsia="宋体"/>
          <w:color w:val="auto"/>
          <w:highlight w:val="none"/>
        </w:rPr>
        <w:t>、磋商程序</w:t>
      </w:r>
      <w:bookmarkEnd w:id="32"/>
    </w:p>
    <w:p w14:paraId="63F84FF8">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22、磋商会议</w:t>
      </w:r>
    </w:p>
    <w:p w14:paraId="13154986">
      <w:pPr>
        <w:spacing w:line="480" w:lineRule="exact"/>
        <w:ind w:firstLine="480" w:firstLineChars="200"/>
        <w:rPr>
          <w:rFonts w:hint="eastAsia" w:ascii="宋体" w:hAnsi="宋体"/>
          <w:color w:val="auto"/>
          <w:highlight w:val="none"/>
        </w:rPr>
      </w:pPr>
      <w:r>
        <w:rPr>
          <w:rFonts w:hint="eastAsia" w:ascii="宋体" w:hAnsi="宋体"/>
          <w:color w:val="auto"/>
          <w:highlight w:val="none"/>
        </w:rPr>
        <w:t>22.1采购代理机构按磋商文件规定的时间、地点组织磋商。采购单位代表及有关工作人员参加，政府采购监管部门视情况参与监管。</w:t>
      </w:r>
    </w:p>
    <w:p w14:paraId="02129238">
      <w:pPr>
        <w:spacing w:line="500" w:lineRule="exact"/>
        <w:ind w:firstLine="480" w:firstLineChars="200"/>
        <w:rPr>
          <w:rFonts w:hint="eastAsia" w:ascii="宋体" w:hAnsi="宋体"/>
          <w:color w:val="auto"/>
          <w:highlight w:val="none"/>
        </w:rPr>
      </w:pPr>
      <w:r>
        <w:rPr>
          <w:rFonts w:hint="eastAsia" w:ascii="宋体" w:hAnsi="宋体"/>
          <w:color w:val="auto"/>
          <w:highlight w:val="none"/>
        </w:rPr>
        <w:t>22.2磋商会议由代理机构项目负责人主持。</w:t>
      </w:r>
    </w:p>
    <w:p w14:paraId="16B2DA81">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23、磋商小组</w:t>
      </w:r>
    </w:p>
    <w:p w14:paraId="6C845898">
      <w:pPr>
        <w:spacing w:line="480" w:lineRule="exact"/>
        <w:ind w:firstLine="480" w:firstLineChars="200"/>
        <w:rPr>
          <w:rFonts w:hint="eastAsia" w:ascii="宋体" w:hAnsi="宋体"/>
          <w:color w:val="auto"/>
          <w:highlight w:val="none"/>
        </w:rPr>
      </w:pPr>
      <w:r>
        <w:rPr>
          <w:rFonts w:hint="eastAsia" w:ascii="宋体" w:hAnsi="宋体"/>
          <w:color w:val="auto"/>
          <w:highlight w:val="none"/>
        </w:rPr>
        <w:t>采购单位应根据本项目的特点依法组建磋商小组。磋商小组独立完成磋商工作，负责对响应文件进行审查、质询、评审、磋商、推选成交候选人。</w:t>
      </w:r>
    </w:p>
    <w:p w14:paraId="1F34B8D7">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24、磋商原则</w:t>
      </w:r>
    </w:p>
    <w:p w14:paraId="07A7F762">
      <w:pPr>
        <w:spacing w:line="500" w:lineRule="exact"/>
        <w:ind w:firstLine="480" w:firstLineChars="200"/>
        <w:rPr>
          <w:rFonts w:hint="eastAsia" w:ascii="宋体" w:hAnsi="宋体"/>
          <w:color w:val="auto"/>
          <w:highlight w:val="none"/>
        </w:rPr>
      </w:pPr>
      <w:r>
        <w:rPr>
          <w:rFonts w:hint="eastAsia" w:ascii="宋体" w:hAnsi="宋体"/>
          <w:color w:val="auto"/>
          <w:highlight w:val="none"/>
        </w:rPr>
        <w:t>“公平、公正、客观、竞争”为磋商的基本原则，磋商小组将根据这一原则，公正、平等地对待各供应商。</w:t>
      </w:r>
    </w:p>
    <w:p w14:paraId="397D1585">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25、磋商程序</w:t>
      </w:r>
    </w:p>
    <w:p w14:paraId="53BFB11B">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25.1   磋商会议流程</w:t>
      </w:r>
    </w:p>
    <w:p w14:paraId="5F7A982C">
      <w:pPr>
        <w:spacing w:line="500" w:lineRule="exact"/>
        <w:ind w:firstLine="480" w:firstLineChars="200"/>
        <w:rPr>
          <w:rFonts w:hint="eastAsia" w:ascii="宋体" w:hAnsi="宋体"/>
          <w:color w:val="auto"/>
          <w:highlight w:val="none"/>
        </w:rPr>
      </w:pPr>
      <w:r>
        <w:rPr>
          <w:rFonts w:hint="eastAsia" w:ascii="宋体" w:hAnsi="宋体"/>
          <w:color w:val="auto"/>
          <w:highlight w:val="none"/>
        </w:rPr>
        <w:t>25.1.1播放会议纪律；</w:t>
      </w:r>
    </w:p>
    <w:p w14:paraId="6D2B5DF1">
      <w:pPr>
        <w:spacing w:line="500" w:lineRule="exact"/>
        <w:ind w:firstLine="480" w:firstLineChars="200"/>
        <w:rPr>
          <w:rFonts w:hint="eastAsia" w:ascii="宋体" w:hAnsi="宋体"/>
          <w:color w:val="auto"/>
          <w:highlight w:val="none"/>
        </w:rPr>
      </w:pPr>
      <w:r>
        <w:rPr>
          <w:rFonts w:hint="eastAsia" w:ascii="宋体" w:hAnsi="宋体"/>
          <w:color w:val="auto"/>
          <w:highlight w:val="none"/>
        </w:rPr>
        <w:t>25.1.2公布供应商名单；</w:t>
      </w:r>
    </w:p>
    <w:p w14:paraId="4D28FCC6">
      <w:pPr>
        <w:spacing w:line="500" w:lineRule="exact"/>
        <w:ind w:firstLine="480" w:firstLineChars="200"/>
        <w:rPr>
          <w:rFonts w:hint="eastAsia" w:ascii="宋体" w:hAnsi="宋体"/>
          <w:color w:val="auto"/>
          <w:highlight w:val="none"/>
        </w:rPr>
      </w:pPr>
      <w:r>
        <w:rPr>
          <w:rFonts w:hint="eastAsia" w:ascii="宋体" w:hAnsi="宋体"/>
          <w:color w:val="auto"/>
          <w:highlight w:val="none"/>
        </w:rPr>
        <w:t>25.1.3磋商会议结束。</w:t>
      </w:r>
    </w:p>
    <w:p w14:paraId="1D25B513">
      <w:pPr>
        <w:spacing w:line="500" w:lineRule="exact"/>
        <w:ind w:firstLine="480" w:firstLineChars="200"/>
        <w:rPr>
          <w:rFonts w:hint="eastAsia" w:ascii="宋体" w:hAnsi="宋体"/>
          <w:color w:val="auto"/>
          <w:highlight w:val="none"/>
        </w:rPr>
      </w:pPr>
      <w:r>
        <w:rPr>
          <w:rFonts w:hint="eastAsia" w:ascii="宋体" w:hAnsi="宋体"/>
          <w:color w:val="auto"/>
          <w:highlight w:val="none"/>
        </w:rPr>
        <w:t>25.2  磋商程序</w:t>
      </w:r>
    </w:p>
    <w:p w14:paraId="345A9611">
      <w:pPr>
        <w:spacing w:line="500" w:lineRule="exact"/>
        <w:ind w:firstLine="480" w:firstLineChars="200"/>
        <w:rPr>
          <w:rFonts w:hint="eastAsia" w:ascii="宋体" w:hAnsi="宋体"/>
          <w:color w:val="auto"/>
          <w:highlight w:val="none"/>
        </w:rPr>
      </w:pPr>
      <w:r>
        <w:rPr>
          <w:rFonts w:hint="eastAsia" w:ascii="宋体" w:hAnsi="宋体"/>
          <w:color w:val="auto"/>
          <w:highlight w:val="none"/>
        </w:rPr>
        <w:t>25.2.1磋商小组根据磋商文件要求，讨论、通过磋商工作流程和磋商要点。</w:t>
      </w:r>
    </w:p>
    <w:p w14:paraId="5BE2E991">
      <w:pPr>
        <w:spacing w:line="500" w:lineRule="exact"/>
        <w:ind w:firstLine="480" w:firstLineChars="200"/>
        <w:rPr>
          <w:rFonts w:hint="eastAsia" w:ascii="宋体" w:hAnsi="宋体"/>
          <w:color w:val="auto"/>
          <w:highlight w:val="none"/>
        </w:rPr>
      </w:pPr>
      <w:r>
        <w:rPr>
          <w:rFonts w:hint="eastAsia" w:ascii="宋体" w:hAnsi="宋体"/>
          <w:color w:val="auto"/>
          <w:highlight w:val="none"/>
        </w:rPr>
        <w:t>25.2.2磋商小组首先对各响应文件进行资格性审查和符合性审查，未通过审查的按无效处理。磋商小组判断响应文件的响应性，仅基于响应文件本身而不靠外部证据。对非实质性响应的响应文件，供应商不能通过修正或撤销不符之处，而使其成为实质性响应。</w:t>
      </w:r>
    </w:p>
    <w:p w14:paraId="2B757C3F">
      <w:pPr>
        <w:spacing w:line="500" w:lineRule="exact"/>
        <w:ind w:firstLine="480" w:firstLineChars="200"/>
        <w:rPr>
          <w:rFonts w:hint="eastAsia" w:ascii="宋体" w:hAnsi="宋体"/>
          <w:color w:val="auto"/>
          <w:highlight w:val="none"/>
        </w:rPr>
      </w:pPr>
      <w:r>
        <w:rPr>
          <w:rFonts w:hint="eastAsia" w:ascii="宋体" w:hAnsi="宋体"/>
          <w:color w:val="auto"/>
          <w:highlight w:val="none"/>
        </w:rPr>
        <w:t>25.2.3资格性检查：磋商小组根据法律法规和磋商文件的规定，对响应文件的资格证明文件进行审查，以确定供应商是否具备磋商资格。</w:t>
      </w:r>
    </w:p>
    <w:p w14:paraId="2CB6C8A7">
      <w:pPr>
        <w:spacing w:line="500" w:lineRule="exact"/>
        <w:ind w:firstLine="480" w:firstLineChars="200"/>
        <w:rPr>
          <w:rFonts w:hint="eastAsia" w:ascii="宋体" w:hAnsi="宋体"/>
          <w:color w:val="auto"/>
          <w:highlight w:val="none"/>
        </w:rPr>
      </w:pPr>
      <w:r>
        <w:rPr>
          <w:rFonts w:hint="eastAsia" w:ascii="宋体" w:hAnsi="宋体"/>
          <w:color w:val="auto"/>
          <w:highlight w:val="none"/>
        </w:rPr>
        <w:t>25.2.4符合性检查：依据磋商文件的规定，从响应文件的有效性、完整性和对磋商文件的响应程度进行审查，以确定是否对磋商文件的要求作出了实质性的响应，存在重大偏离的响应文件为无效标。</w:t>
      </w:r>
      <w:bookmarkStart w:id="33" w:name="EB2bdde8bb1f7a45ddb71363bf291decac"/>
      <w:r>
        <w:rPr>
          <w:rFonts w:hint="eastAsia" w:ascii="宋体" w:hAnsi="宋体" w:cs="仿宋_GB2312"/>
          <w:color w:val="auto"/>
          <w:highlight w:val="none"/>
        </w:rPr>
        <w:t>所谓重大偏离是指供应商响应文件中所述主要货物种类、规格、参数等明显不能满足磋商文件要求。</w:t>
      </w:r>
      <w:bookmarkEnd w:id="33"/>
      <w:r>
        <w:rPr>
          <w:rFonts w:hint="eastAsia" w:ascii="宋体" w:hAnsi="宋体"/>
          <w:color w:val="auto"/>
          <w:highlight w:val="none"/>
        </w:rPr>
        <w:t>重大偏离的认定须经</w:t>
      </w:r>
      <w:r>
        <w:rPr>
          <w:rFonts w:hint="eastAsia" w:ascii="宋体" w:hAnsi="宋体" w:eastAsia="宋体"/>
          <w:color w:val="auto"/>
          <w:highlight w:val="none"/>
          <w:lang w:eastAsia="zh-CN"/>
        </w:rPr>
        <w:t>磋商</w:t>
      </w:r>
      <w:r>
        <w:rPr>
          <w:rFonts w:hint="eastAsia" w:ascii="宋体" w:hAnsi="宋体"/>
          <w:color w:val="auto"/>
          <w:highlight w:val="none"/>
        </w:rPr>
        <w:t>小组三分之二以上组员同意。</w:t>
      </w:r>
    </w:p>
    <w:p w14:paraId="28C7EB2D">
      <w:pPr>
        <w:spacing w:line="500" w:lineRule="exact"/>
        <w:ind w:firstLine="480" w:firstLineChars="200"/>
        <w:rPr>
          <w:rFonts w:hint="eastAsia" w:ascii="宋体" w:hAnsi="宋体"/>
          <w:color w:val="auto"/>
          <w:highlight w:val="none"/>
        </w:rPr>
      </w:pPr>
      <w:r>
        <w:rPr>
          <w:rFonts w:hint="eastAsia" w:ascii="宋体" w:hAnsi="宋体"/>
          <w:color w:val="auto"/>
          <w:highlight w:val="none"/>
        </w:rPr>
        <w:t>25.2.5磋商小组可以以书面形式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由法定代表人或其授权代表签字或者加盖公章。</w:t>
      </w:r>
    </w:p>
    <w:p w14:paraId="26A12F25">
      <w:pPr>
        <w:spacing w:line="500" w:lineRule="exact"/>
        <w:ind w:firstLine="480" w:firstLineChars="200"/>
        <w:rPr>
          <w:rFonts w:hint="eastAsia" w:ascii="宋体" w:hAnsi="宋体"/>
          <w:color w:val="auto"/>
          <w:highlight w:val="none"/>
        </w:rPr>
      </w:pPr>
      <w:r>
        <w:rPr>
          <w:rFonts w:hint="eastAsia" w:ascii="宋体" w:hAnsi="宋体"/>
          <w:color w:val="auto"/>
          <w:highlight w:val="none"/>
        </w:rPr>
        <w:t>报价一览表中大、小写应一致，如出现不一致情况的，以大写为准。报价一览表内容与明细报价表内容应一致。如出现不一致情况，以报价一览表内容为准，修正明细报价表。</w:t>
      </w:r>
    </w:p>
    <w:p w14:paraId="2A6B70A3">
      <w:pPr>
        <w:spacing w:line="500" w:lineRule="exact"/>
        <w:ind w:firstLine="480" w:firstLineChars="200"/>
        <w:rPr>
          <w:rFonts w:hint="eastAsia" w:ascii="宋体" w:hAnsi="宋体"/>
          <w:color w:val="auto"/>
          <w:highlight w:val="none"/>
        </w:rPr>
      </w:pPr>
      <w:r>
        <w:rPr>
          <w:rFonts w:hint="eastAsia" w:ascii="宋体" w:hAnsi="宋体"/>
          <w:color w:val="auto"/>
          <w:highlight w:val="none"/>
        </w:rPr>
        <w:t>25.2.6磋商。围绕磋商要点，磋商小组全体成员集中与各个有效供应商分别进行磋商。逐家磋商一次为一个轮次，磋商轮次原则上为一轮，具体由磋商小组视情况决定；磋商文件有较大变动的，磋商小组将以书面形式通知所有参加磋商的供应商。供应商未及时参与磋商或多次报价的，视为自动放弃磋商资格。</w:t>
      </w:r>
    </w:p>
    <w:p w14:paraId="67C0B09E">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27、推荐成交候选人</w:t>
      </w:r>
    </w:p>
    <w:p w14:paraId="02099070">
      <w:pPr>
        <w:spacing w:line="500" w:lineRule="exact"/>
        <w:ind w:firstLine="480" w:firstLineChars="200"/>
        <w:rPr>
          <w:rFonts w:hint="eastAsia" w:ascii="宋体" w:hAnsi="宋体"/>
          <w:color w:val="auto"/>
          <w:highlight w:val="none"/>
        </w:rPr>
      </w:pPr>
      <w:r>
        <w:rPr>
          <w:rFonts w:hint="eastAsia" w:ascii="宋体" w:hAnsi="宋体"/>
          <w:color w:val="auto"/>
          <w:highlight w:val="none"/>
        </w:rPr>
        <w:t>在满足磋商文件全部实质性要求的前提下，磋商小组按磋商文件规定的评审办法推荐3名成交候选人（符合供应商须知19条情形的推荐2名成交候选人）。</w:t>
      </w:r>
    </w:p>
    <w:p w14:paraId="4F64AB3C">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28、磋商过程保密</w:t>
      </w:r>
    </w:p>
    <w:p w14:paraId="606B2660">
      <w:pPr>
        <w:spacing w:line="500" w:lineRule="exact"/>
        <w:ind w:firstLine="480" w:firstLineChars="200"/>
        <w:rPr>
          <w:rFonts w:hint="eastAsia" w:ascii="宋体" w:hAnsi="宋体"/>
          <w:color w:val="auto"/>
          <w:highlight w:val="none"/>
        </w:rPr>
      </w:pPr>
      <w:r>
        <w:rPr>
          <w:rFonts w:hint="eastAsia" w:ascii="宋体" w:hAnsi="宋体"/>
          <w:color w:val="auto"/>
          <w:highlight w:val="none"/>
        </w:rPr>
        <w:t>28.1在宣布成交结果之前，凡属于审查、澄清、评价、比较等有关信息，相关当事人均不得泄露。评审过程中获悉的国家秘密、商业秘密，磋商小组以及与评审工作有关的人员负有保密责任。</w:t>
      </w:r>
    </w:p>
    <w:p w14:paraId="268178FC">
      <w:pPr>
        <w:spacing w:line="500" w:lineRule="exact"/>
        <w:ind w:firstLine="480" w:firstLineChars="200"/>
        <w:rPr>
          <w:rFonts w:hint="eastAsia" w:ascii="宋体" w:hAnsi="宋体"/>
          <w:color w:val="auto"/>
          <w:highlight w:val="none"/>
        </w:rPr>
      </w:pPr>
      <w:r>
        <w:rPr>
          <w:rFonts w:hint="eastAsia" w:ascii="宋体" w:hAnsi="宋体"/>
          <w:color w:val="auto"/>
          <w:highlight w:val="none"/>
        </w:rPr>
        <w:t>28.2供应商不得探听上述信息，不得以任何行为影响磋商过程，否则其响应文件将按无效处理。</w:t>
      </w:r>
    </w:p>
    <w:p w14:paraId="65200198">
      <w:pPr>
        <w:spacing w:line="500" w:lineRule="exact"/>
        <w:ind w:firstLine="480" w:firstLineChars="200"/>
        <w:rPr>
          <w:rFonts w:hint="eastAsia" w:ascii="宋体" w:hAnsi="宋体"/>
          <w:color w:val="auto"/>
          <w:highlight w:val="none"/>
        </w:rPr>
      </w:pPr>
      <w:r>
        <w:rPr>
          <w:rFonts w:hint="eastAsia" w:ascii="宋体" w:hAnsi="宋体"/>
          <w:color w:val="auto"/>
          <w:highlight w:val="none"/>
        </w:rPr>
        <w:t>28.3在磋商期间，采购代理机构有专门工作人员与供应商进行联络。</w:t>
      </w:r>
    </w:p>
    <w:p w14:paraId="20574675">
      <w:pPr>
        <w:spacing w:line="500" w:lineRule="exact"/>
        <w:ind w:firstLine="480" w:firstLineChars="200"/>
        <w:rPr>
          <w:rFonts w:hint="eastAsia" w:ascii="宋体" w:hAnsi="宋体"/>
          <w:color w:val="auto"/>
          <w:highlight w:val="none"/>
        </w:rPr>
      </w:pPr>
      <w:r>
        <w:rPr>
          <w:rFonts w:hint="eastAsia" w:ascii="宋体" w:hAnsi="宋体"/>
          <w:color w:val="auto"/>
          <w:highlight w:val="none"/>
        </w:rPr>
        <w:t>28.4采购代理机构和磋商小组不向未成交的供应商解释未成交原因，也不对磋商过程中的细节问题进行公布。</w:t>
      </w:r>
    </w:p>
    <w:p w14:paraId="187776E7">
      <w:pPr>
        <w:spacing w:line="500" w:lineRule="exact"/>
        <w:rPr>
          <w:rFonts w:hint="eastAsia" w:ascii="宋体" w:hAnsi="宋体"/>
          <w:color w:val="auto"/>
          <w:highlight w:val="none"/>
        </w:rPr>
      </w:pPr>
      <w:bookmarkStart w:id="34" w:name="EBc833af1256b54b54a5b37c156d946632"/>
      <w:r>
        <w:rPr>
          <w:rFonts w:ascii="宋体" w:hAnsi="宋体"/>
          <w:color w:val="auto"/>
          <w:sz w:val="20"/>
          <w:highlight w:val="none"/>
        </w:rPr>
        <w:t xml:space="preserve"> </w:t>
      </w:r>
      <w:bookmarkEnd w:id="34"/>
      <w:bookmarkStart w:id="35" w:name="EB6840b9225ce0463885aeb685b9696b9e"/>
      <w:r>
        <w:rPr>
          <w:rFonts w:ascii="宋体" w:hAnsi="宋体"/>
          <w:color w:val="auto"/>
          <w:sz w:val="20"/>
          <w:highlight w:val="none"/>
        </w:rPr>
        <w:t xml:space="preserve"> </w:t>
      </w:r>
      <w:bookmarkEnd w:id="35"/>
      <w:bookmarkStart w:id="36" w:name="EB1588344f1fbe4082a9e66c03ea7683dc"/>
      <w:r>
        <w:rPr>
          <w:rFonts w:ascii="宋体" w:hAnsi="宋体"/>
          <w:color w:val="auto"/>
          <w:sz w:val="20"/>
          <w:highlight w:val="none"/>
        </w:rPr>
        <w:t xml:space="preserve"> </w:t>
      </w:r>
      <w:bookmarkEnd w:id="36"/>
    </w:p>
    <w:p w14:paraId="79128018">
      <w:pPr>
        <w:pStyle w:val="3"/>
        <w:spacing w:before="160" w:after="160"/>
        <w:rPr>
          <w:rFonts w:hint="eastAsia" w:ascii="宋体" w:hAnsi="宋体" w:eastAsia="宋体"/>
          <w:color w:val="auto"/>
          <w:highlight w:val="none"/>
        </w:rPr>
      </w:pPr>
      <w:bookmarkStart w:id="37" w:name="_Toc31754"/>
      <w:r>
        <w:rPr>
          <w:rFonts w:hint="eastAsia" w:ascii="宋体" w:hAnsi="宋体" w:eastAsia="宋体"/>
          <w:color w:val="auto"/>
          <w:highlight w:val="none"/>
          <w:lang w:val="en-US" w:eastAsia="zh-CN"/>
        </w:rPr>
        <w:t>六</w:t>
      </w:r>
      <w:r>
        <w:rPr>
          <w:rFonts w:hint="eastAsia" w:ascii="宋体" w:hAnsi="宋体" w:eastAsia="宋体"/>
          <w:color w:val="auto"/>
          <w:highlight w:val="none"/>
        </w:rPr>
        <w:t>、成交及合同签订</w:t>
      </w:r>
      <w:bookmarkEnd w:id="37"/>
    </w:p>
    <w:p w14:paraId="7083282E">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29、确认成交供应商</w:t>
      </w:r>
    </w:p>
    <w:p w14:paraId="773F74F3">
      <w:pPr>
        <w:spacing w:line="480" w:lineRule="exact"/>
        <w:ind w:firstLine="480" w:firstLineChars="200"/>
        <w:rPr>
          <w:rFonts w:hint="eastAsia" w:ascii="宋体" w:hAnsi="宋体"/>
          <w:color w:val="auto"/>
          <w:highlight w:val="none"/>
        </w:rPr>
      </w:pPr>
      <w:r>
        <w:rPr>
          <w:rFonts w:hint="eastAsia" w:ascii="宋体" w:hAnsi="宋体"/>
          <w:color w:val="auto"/>
          <w:highlight w:val="none"/>
        </w:rPr>
        <w:t>磋商小组根据本磋商文件规定的标准推荐成交候选人，采购人应当自收到评审报告之日起5个工作日内在评审报告推荐的成交候选人中按顺序确定成交供应商。</w:t>
      </w:r>
    </w:p>
    <w:p w14:paraId="13FBC52E">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30、标后审查</w:t>
      </w:r>
    </w:p>
    <w:p w14:paraId="6CC3CB40">
      <w:pPr>
        <w:spacing w:line="480" w:lineRule="exact"/>
        <w:ind w:firstLine="480" w:firstLineChars="200"/>
        <w:rPr>
          <w:rFonts w:hint="eastAsia" w:ascii="宋体" w:hAnsi="宋体"/>
          <w:color w:val="auto"/>
          <w:highlight w:val="none"/>
        </w:rPr>
      </w:pPr>
      <w:r>
        <w:rPr>
          <w:rFonts w:hint="eastAsia" w:ascii="宋体" w:hAnsi="宋体"/>
          <w:color w:val="auto"/>
          <w:highlight w:val="none"/>
        </w:rPr>
        <w:t>30.1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14:paraId="3165F306">
      <w:pPr>
        <w:spacing w:line="480" w:lineRule="exact"/>
        <w:ind w:firstLine="480" w:firstLineChars="200"/>
        <w:rPr>
          <w:rFonts w:hint="eastAsia" w:ascii="宋体" w:hAnsi="宋体"/>
          <w:color w:val="auto"/>
          <w:highlight w:val="none"/>
        </w:rPr>
      </w:pPr>
      <w:r>
        <w:rPr>
          <w:rFonts w:hint="eastAsia" w:ascii="宋体" w:hAnsi="宋体"/>
          <w:color w:val="auto"/>
          <w:highlight w:val="none"/>
        </w:rPr>
        <w:t>30.2采购人若发现成交候选人在磋商过程中提供虚假证明文件，故意隐瞒公司不良信誉和财务状况，以及存在可能对合同圆满履行造成风险的其他因素等，则报经监管部门按规定取消其成交资格，监管部门依法进行处理。</w:t>
      </w:r>
    </w:p>
    <w:p w14:paraId="04E8CD57">
      <w:pPr>
        <w:spacing w:line="480" w:lineRule="exact"/>
        <w:ind w:firstLine="480" w:firstLineChars="200"/>
        <w:rPr>
          <w:rFonts w:hint="eastAsia" w:ascii="宋体" w:hAnsi="宋体"/>
          <w:color w:val="auto"/>
          <w:highlight w:val="none"/>
        </w:rPr>
      </w:pPr>
      <w:r>
        <w:rPr>
          <w:rFonts w:hint="eastAsia" w:ascii="宋体" w:hAnsi="宋体"/>
          <w:color w:val="auto"/>
          <w:highlight w:val="none"/>
        </w:rPr>
        <w:t>30.3采购人不得通过对样品进行检测、对供应商进行考察等方式改变评审结果。</w:t>
      </w:r>
    </w:p>
    <w:p w14:paraId="6AC32552">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31、成交通知书</w:t>
      </w:r>
    </w:p>
    <w:p w14:paraId="7F9BEC5A">
      <w:pPr>
        <w:spacing w:line="480" w:lineRule="exact"/>
        <w:ind w:firstLine="480" w:firstLineChars="200"/>
        <w:rPr>
          <w:rFonts w:hint="eastAsia" w:ascii="宋体" w:hAnsi="宋体"/>
          <w:color w:val="auto"/>
          <w:highlight w:val="none"/>
        </w:rPr>
      </w:pPr>
      <w:r>
        <w:rPr>
          <w:rFonts w:hint="eastAsia" w:ascii="宋体" w:hAnsi="宋体"/>
          <w:color w:val="auto"/>
          <w:highlight w:val="none"/>
        </w:rPr>
        <w:t>31.1成交结果在</w:t>
      </w:r>
      <w:r>
        <w:rPr>
          <w:rFonts w:hint="eastAsia" w:ascii="宋体" w:hAnsi="宋体" w:eastAsia="宋体"/>
          <w:color w:val="auto"/>
          <w:highlight w:val="none"/>
          <w:lang w:eastAsia="zh-CN"/>
        </w:rPr>
        <w:t>公开</w:t>
      </w:r>
      <w:r>
        <w:rPr>
          <w:rFonts w:hint="eastAsia" w:ascii="宋体" w:hAnsi="宋体"/>
          <w:color w:val="auto"/>
          <w:highlight w:val="none"/>
        </w:rPr>
        <w:t>信息</w:t>
      </w:r>
      <w:r>
        <w:rPr>
          <w:rFonts w:hint="eastAsia" w:ascii="宋体" w:hAnsi="宋体" w:eastAsia="宋体"/>
          <w:color w:val="auto"/>
          <w:highlight w:val="none"/>
          <w:lang w:eastAsia="zh-CN"/>
        </w:rPr>
        <w:t>网络</w:t>
      </w:r>
      <w:r>
        <w:rPr>
          <w:rFonts w:hint="eastAsia" w:ascii="宋体" w:hAnsi="宋体"/>
          <w:color w:val="auto"/>
          <w:highlight w:val="none"/>
        </w:rPr>
        <w:t>媒体上发布后，采购单位（采购代理机构）将向成交供应商发出成交通知书。</w:t>
      </w:r>
    </w:p>
    <w:p w14:paraId="6F0BBD60">
      <w:pPr>
        <w:spacing w:line="480" w:lineRule="exact"/>
        <w:ind w:firstLine="480" w:firstLineChars="200"/>
        <w:rPr>
          <w:rFonts w:hint="eastAsia" w:ascii="宋体" w:hAnsi="宋体"/>
          <w:color w:val="auto"/>
          <w:highlight w:val="none"/>
        </w:rPr>
      </w:pPr>
      <w:r>
        <w:rPr>
          <w:rFonts w:hint="eastAsia" w:ascii="宋体" w:hAnsi="宋体"/>
          <w:color w:val="auto"/>
          <w:highlight w:val="none"/>
        </w:rPr>
        <w:t>31.2成交供应商应及时到采购代理机构处领取成交通知书，成交通知书是签订合同的依据和组成部分。</w:t>
      </w:r>
    </w:p>
    <w:p w14:paraId="513EDAE9">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32、签订合同</w:t>
      </w:r>
    </w:p>
    <w:p w14:paraId="31FBBFAB">
      <w:pPr>
        <w:spacing w:line="480" w:lineRule="exact"/>
        <w:ind w:firstLine="480" w:firstLineChars="200"/>
        <w:rPr>
          <w:rFonts w:hint="eastAsia" w:ascii="宋体" w:hAnsi="宋体"/>
          <w:color w:val="auto"/>
          <w:highlight w:val="none"/>
        </w:rPr>
      </w:pPr>
      <w:r>
        <w:rPr>
          <w:rFonts w:hint="eastAsia" w:ascii="宋体" w:hAnsi="宋体"/>
          <w:color w:val="auto"/>
          <w:highlight w:val="none"/>
        </w:rPr>
        <w:t>32.1成交供应商与采购人应当在成交通知书发出之日起</w:t>
      </w:r>
      <w:r>
        <w:rPr>
          <w:rFonts w:hint="eastAsia" w:ascii="宋体" w:hAnsi="宋体" w:eastAsia="宋体"/>
          <w:color w:val="auto"/>
          <w:highlight w:val="none"/>
          <w:lang w:val="en-US" w:eastAsia="zh-CN"/>
        </w:rPr>
        <w:t>30</w:t>
      </w:r>
      <w:r>
        <w:rPr>
          <w:rFonts w:hint="eastAsia" w:ascii="宋体" w:hAnsi="宋体"/>
          <w:color w:val="auto"/>
          <w:highlight w:val="none"/>
        </w:rPr>
        <w:t>日内签订采购合同，磋商文件、成交供应商的响应文件、分次报价及服务承诺文件以及磋商过程中有关澄清文件均作为合同附件。</w:t>
      </w:r>
    </w:p>
    <w:p w14:paraId="619A97D4">
      <w:pPr>
        <w:spacing w:line="480" w:lineRule="exact"/>
        <w:ind w:firstLine="480" w:firstLineChars="200"/>
        <w:rPr>
          <w:rFonts w:hint="eastAsia" w:ascii="宋体" w:hAnsi="宋体"/>
          <w:color w:val="auto"/>
          <w:highlight w:val="none"/>
        </w:rPr>
      </w:pPr>
      <w:r>
        <w:rPr>
          <w:rFonts w:hint="eastAsia" w:ascii="宋体" w:hAnsi="宋体"/>
          <w:color w:val="auto"/>
          <w:highlight w:val="none"/>
        </w:rPr>
        <w:t>32.2成交供应商无正当理由拒绝在规定时间内签订合同的，采购人有权建议取消其成交资格，监管部门将对其依法处理。拒绝签订合同的成交供应商不得参加对该项目重新开展的采购活动。</w:t>
      </w:r>
    </w:p>
    <w:p w14:paraId="671190AA">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33、履约保证金</w:t>
      </w:r>
    </w:p>
    <w:p w14:paraId="53BE61ED">
      <w:pPr>
        <w:spacing w:line="500" w:lineRule="exact"/>
        <w:ind w:firstLine="480" w:firstLineChars="200"/>
        <w:rPr>
          <w:rFonts w:hint="eastAsia" w:ascii="宋体" w:hAnsi="宋体"/>
          <w:color w:val="auto"/>
          <w:highlight w:val="none"/>
        </w:rPr>
      </w:pPr>
      <w:bookmarkStart w:id="38" w:name="EB3763f434c2cd48e4be68abe556297737"/>
      <w:r>
        <w:rPr>
          <w:rFonts w:hint="eastAsia" w:ascii="宋体" w:hAnsi="宋体" w:eastAsia="宋体" w:cs="仿宋_GB2312"/>
          <w:color w:val="auto"/>
          <w:highlight w:val="none"/>
          <w:lang w:val="en-US" w:eastAsia="zh-CN"/>
        </w:rPr>
        <w:t>本项目不适用</w:t>
      </w:r>
      <w:r>
        <w:rPr>
          <w:rFonts w:hint="eastAsia" w:ascii="宋体" w:hAnsi="宋体"/>
          <w:color w:val="auto"/>
          <w:sz w:val="20"/>
          <w:highlight w:val="none"/>
        </w:rPr>
        <w:t xml:space="preserve"> </w:t>
      </w:r>
      <w:bookmarkEnd w:id="38"/>
      <w:bookmarkStart w:id="39" w:name="EBa57f88961e814fe19f134aeab129be08"/>
      <w:r>
        <w:rPr>
          <w:rFonts w:hint="eastAsia" w:ascii="宋体" w:hAnsi="宋体"/>
          <w:color w:val="auto"/>
          <w:sz w:val="20"/>
          <w:highlight w:val="none"/>
        </w:rPr>
        <w:t xml:space="preserve"> </w:t>
      </w:r>
      <w:bookmarkEnd w:id="39"/>
    </w:p>
    <w:p w14:paraId="6804FAD3">
      <w:pPr>
        <w:pStyle w:val="3"/>
        <w:spacing w:before="160" w:after="160"/>
        <w:rPr>
          <w:rFonts w:hint="eastAsia" w:ascii="宋体" w:hAnsi="宋体" w:eastAsia="宋体"/>
          <w:color w:val="auto"/>
          <w:highlight w:val="none"/>
        </w:rPr>
      </w:pPr>
      <w:bookmarkStart w:id="40" w:name="_Toc30372"/>
      <w:r>
        <w:rPr>
          <w:rFonts w:hint="eastAsia" w:ascii="宋体" w:hAnsi="宋体" w:eastAsia="宋体"/>
          <w:color w:val="auto"/>
          <w:highlight w:val="none"/>
          <w:lang w:val="en-US" w:eastAsia="zh-CN"/>
        </w:rPr>
        <w:t>七</w:t>
      </w:r>
      <w:r>
        <w:rPr>
          <w:rFonts w:hint="eastAsia" w:ascii="宋体" w:hAnsi="宋体" w:eastAsia="宋体"/>
          <w:color w:val="auto"/>
          <w:highlight w:val="none"/>
        </w:rPr>
        <w:t>、验收及付款</w:t>
      </w:r>
      <w:bookmarkEnd w:id="40"/>
    </w:p>
    <w:p w14:paraId="51D9C624">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34、验收</w:t>
      </w:r>
    </w:p>
    <w:p w14:paraId="587BF965">
      <w:pPr>
        <w:spacing w:line="500" w:lineRule="exact"/>
        <w:ind w:firstLine="480" w:firstLineChars="200"/>
        <w:rPr>
          <w:rFonts w:hint="eastAsia" w:ascii="宋体" w:hAnsi="宋体"/>
          <w:color w:val="auto"/>
          <w:highlight w:val="none"/>
        </w:rPr>
      </w:pPr>
      <w:bookmarkStart w:id="41" w:name="EBa4d958cb194f4ec3accc4ce74417f851"/>
      <w:r>
        <w:rPr>
          <w:rFonts w:hint="eastAsia" w:ascii="宋体" w:hAnsi="宋体" w:cs="仿宋_GB2312"/>
          <w:bCs/>
          <w:color w:val="auto"/>
          <w:highlight w:val="none"/>
        </w:rPr>
        <w:t>采购人应当根据采购项目的具体情况，邀请专家成立验收小组，按照采购合同的约定对供应商履约情况进行验收，并出具验收意见。</w:t>
      </w:r>
      <w:bookmarkEnd w:id="41"/>
    </w:p>
    <w:p w14:paraId="55CA2895">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35、付款</w:t>
      </w:r>
    </w:p>
    <w:p w14:paraId="08693EDB">
      <w:pPr>
        <w:spacing w:line="500" w:lineRule="exact"/>
        <w:ind w:firstLine="400" w:firstLineChars="200"/>
        <w:rPr>
          <w:rFonts w:hint="eastAsia" w:ascii="宋体" w:hAnsi="宋体"/>
          <w:color w:val="auto"/>
          <w:highlight w:val="none"/>
        </w:rPr>
      </w:pPr>
      <w:r>
        <w:rPr>
          <w:rFonts w:hint="eastAsia" w:ascii="宋体" w:hAnsi="宋体"/>
          <w:color w:val="auto"/>
          <w:sz w:val="20"/>
          <w:highlight w:val="none"/>
        </w:rPr>
        <w:t xml:space="preserve"> </w:t>
      </w:r>
      <w:bookmarkStart w:id="42" w:name="EBb9c2b26e48524e5c9bcacebef5174118"/>
      <w:r>
        <w:rPr>
          <w:rFonts w:hint="eastAsia" w:ascii="宋体" w:hAnsi="宋体" w:cs="仿宋_GB2312"/>
          <w:color w:val="auto"/>
          <w:highlight w:val="none"/>
        </w:rPr>
        <w:t>按照</w:t>
      </w:r>
      <w:r>
        <w:rPr>
          <w:rFonts w:hint="eastAsia" w:ascii="宋体" w:hAnsi="宋体" w:eastAsia="宋体" w:cs="仿宋_GB2312"/>
          <w:color w:val="auto"/>
          <w:highlight w:val="none"/>
          <w:lang w:eastAsia="zh-CN"/>
        </w:rPr>
        <w:t>磋商</w:t>
      </w:r>
      <w:r>
        <w:rPr>
          <w:rFonts w:hint="eastAsia" w:ascii="宋体" w:hAnsi="宋体" w:cs="仿宋_GB2312"/>
          <w:color w:val="auto"/>
          <w:highlight w:val="none"/>
        </w:rPr>
        <w:t>文件和合同约定的付款方式，采购人及时办理付款手续。</w:t>
      </w:r>
      <w:bookmarkEnd w:id="42"/>
    </w:p>
    <w:p w14:paraId="0D082CA5">
      <w:pPr>
        <w:pStyle w:val="3"/>
        <w:spacing w:before="160" w:after="160"/>
        <w:rPr>
          <w:rFonts w:hint="eastAsia" w:ascii="宋体" w:hAnsi="宋体" w:eastAsia="宋体"/>
          <w:color w:val="auto"/>
          <w:highlight w:val="none"/>
        </w:rPr>
      </w:pPr>
      <w:bookmarkStart w:id="43" w:name="_Toc17350"/>
      <w:r>
        <w:rPr>
          <w:rFonts w:hint="eastAsia" w:ascii="宋体" w:hAnsi="宋体" w:eastAsia="宋体"/>
          <w:color w:val="auto"/>
          <w:highlight w:val="none"/>
          <w:lang w:val="en-US" w:eastAsia="zh-CN"/>
        </w:rPr>
        <w:t>八</w:t>
      </w:r>
      <w:r>
        <w:rPr>
          <w:rFonts w:hint="eastAsia" w:ascii="宋体" w:hAnsi="宋体" w:eastAsia="宋体"/>
          <w:color w:val="auto"/>
          <w:highlight w:val="none"/>
        </w:rPr>
        <w:t>、质疑</w:t>
      </w:r>
      <w:bookmarkEnd w:id="43"/>
    </w:p>
    <w:p w14:paraId="35BA94FD">
      <w:pPr>
        <w:spacing w:line="500" w:lineRule="exact"/>
        <w:ind w:firstLine="480" w:firstLineChars="200"/>
        <w:rPr>
          <w:rFonts w:hint="eastAsia" w:ascii="宋体" w:hAnsi="宋体"/>
          <w:b/>
          <w:color w:val="auto"/>
          <w:highlight w:val="none"/>
        </w:rPr>
      </w:pPr>
      <w:r>
        <w:rPr>
          <w:rFonts w:hint="eastAsia" w:ascii="宋体" w:hAnsi="宋体"/>
          <w:b/>
          <w:color w:val="auto"/>
          <w:highlight w:val="none"/>
        </w:rPr>
        <w:t>36、质疑</w:t>
      </w:r>
    </w:p>
    <w:p w14:paraId="18363D04">
      <w:pPr>
        <w:spacing w:line="500" w:lineRule="exact"/>
        <w:ind w:firstLine="480" w:firstLineChars="200"/>
        <w:rPr>
          <w:rFonts w:hint="eastAsia" w:ascii="宋体" w:hAnsi="宋体"/>
          <w:color w:val="auto"/>
          <w:highlight w:val="none"/>
        </w:rPr>
      </w:pPr>
      <w:r>
        <w:rPr>
          <w:rFonts w:hint="eastAsia" w:ascii="宋体" w:hAnsi="宋体"/>
          <w:color w:val="auto"/>
          <w:highlight w:val="none"/>
        </w:rPr>
        <w:t>36.1供应商认为</w:t>
      </w:r>
      <w:r>
        <w:rPr>
          <w:rFonts w:hint="eastAsia" w:ascii="宋体" w:hAnsi="宋体" w:eastAsia="宋体"/>
          <w:color w:val="auto"/>
          <w:highlight w:val="none"/>
          <w:lang w:eastAsia="zh-CN"/>
        </w:rPr>
        <w:t>磋商文件</w:t>
      </w:r>
      <w:r>
        <w:rPr>
          <w:rFonts w:hint="eastAsia" w:ascii="宋体" w:hAnsi="宋体"/>
          <w:color w:val="auto"/>
          <w:highlight w:val="none"/>
        </w:rPr>
        <w:t>、采购过程和中标结果使自己的权益受到损害的，可以在知道或者应知其权益受到损害之日起七个工作日内（具体起算时间见36.2），以书面形式向采购人、采购代理机构提出质疑。质疑超出采购机构代理范围的，供应商应当向采购人提出。</w:t>
      </w:r>
    </w:p>
    <w:p w14:paraId="5C757377">
      <w:pPr>
        <w:spacing w:line="500" w:lineRule="exact"/>
        <w:ind w:firstLine="480" w:firstLineChars="200"/>
        <w:rPr>
          <w:rFonts w:hint="eastAsia" w:ascii="宋体" w:hAnsi="宋体"/>
          <w:color w:val="auto"/>
          <w:highlight w:val="none"/>
        </w:rPr>
      </w:pPr>
      <w:r>
        <w:rPr>
          <w:rFonts w:hint="eastAsia" w:ascii="宋体" w:hAnsi="宋体"/>
          <w:color w:val="auto"/>
          <w:highlight w:val="none"/>
        </w:rPr>
        <w:t>36.2供应商应知其权益受到损害之日，是指：</w:t>
      </w:r>
    </w:p>
    <w:p w14:paraId="1521D26D">
      <w:pPr>
        <w:spacing w:line="500" w:lineRule="exact"/>
        <w:ind w:firstLine="480" w:firstLineChars="200"/>
        <w:rPr>
          <w:rFonts w:hint="eastAsia" w:ascii="宋体" w:hAnsi="宋体"/>
          <w:color w:val="auto"/>
          <w:highlight w:val="none"/>
        </w:rPr>
      </w:pPr>
      <w:r>
        <w:rPr>
          <w:rFonts w:hint="eastAsia" w:ascii="宋体" w:hAnsi="宋体"/>
          <w:color w:val="auto"/>
          <w:highlight w:val="none"/>
        </w:rPr>
        <w:t>（1）对本项目</w:t>
      </w:r>
      <w:r>
        <w:rPr>
          <w:rFonts w:hint="eastAsia" w:ascii="宋体" w:hAnsi="宋体" w:eastAsia="宋体"/>
          <w:color w:val="auto"/>
          <w:highlight w:val="none"/>
          <w:lang w:eastAsia="zh-CN"/>
        </w:rPr>
        <w:t>磋商文件</w:t>
      </w:r>
      <w:r>
        <w:rPr>
          <w:rFonts w:hint="eastAsia" w:ascii="宋体" w:hAnsi="宋体"/>
          <w:color w:val="auto"/>
          <w:highlight w:val="none"/>
        </w:rPr>
        <w:t>提出质疑的，</w:t>
      </w:r>
      <w:r>
        <w:rPr>
          <w:rFonts w:hint="eastAsia" w:ascii="宋体" w:hAnsi="宋体" w:eastAsia="宋体"/>
          <w:color w:val="auto"/>
          <w:highlight w:val="none"/>
          <w:lang w:eastAsia="zh-CN"/>
        </w:rPr>
        <w:t>磋商文件</w:t>
      </w:r>
      <w:r>
        <w:rPr>
          <w:rFonts w:hint="eastAsia" w:ascii="宋体" w:hAnsi="宋体"/>
          <w:color w:val="auto"/>
          <w:highlight w:val="none"/>
        </w:rPr>
        <w:t>公告期限届满之日；</w:t>
      </w:r>
    </w:p>
    <w:p w14:paraId="102FF99E">
      <w:pPr>
        <w:spacing w:line="500" w:lineRule="exact"/>
        <w:ind w:firstLine="480" w:firstLineChars="200"/>
        <w:rPr>
          <w:rFonts w:hint="eastAsia" w:ascii="宋体" w:hAnsi="宋体"/>
          <w:color w:val="auto"/>
          <w:highlight w:val="none"/>
        </w:rPr>
      </w:pPr>
      <w:r>
        <w:rPr>
          <w:rFonts w:hint="eastAsia" w:ascii="宋体" w:hAnsi="宋体"/>
          <w:color w:val="auto"/>
          <w:highlight w:val="none"/>
        </w:rPr>
        <w:t>（2）对本项目采购过程提出质疑的，为各采购程序环节结束之日；</w:t>
      </w:r>
    </w:p>
    <w:p w14:paraId="40BB5A3C">
      <w:pPr>
        <w:spacing w:line="500" w:lineRule="exact"/>
        <w:ind w:firstLine="480" w:firstLineChars="200"/>
        <w:rPr>
          <w:rFonts w:hint="eastAsia" w:ascii="宋体" w:hAnsi="宋体"/>
          <w:color w:val="auto"/>
          <w:highlight w:val="none"/>
        </w:rPr>
      </w:pPr>
      <w:r>
        <w:rPr>
          <w:rFonts w:hint="eastAsia" w:ascii="宋体" w:hAnsi="宋体"/>
          <w:color w:val="auto"/>
          <w:highlight w:val="none"/>
        </w:rPr>
        <w:t>（3）对本项目中标或者成交结果提出质疑的，为中标或者成交结果公告期限届满之日。</w:t>
      </w:r>
    </w:p>
    <w:p w14:paraId="43B39622">
      <w:pPr>
        <w:spacing w:line="500" w:lineRule="exact"/>
        <w:ind w:firstLine="480" w:firstLineChars="200"/>
        <w:rPr>
          <w:rFonts w:hint="eastAsia" w:ascii="宋体" w:hAnsi="宋体"/>
          <w:color w:val="auto"/>
          <w:highlight w:val="none"/>
        </w:rPr>
      </w:pPr>
      <w:r>
        <w:rPr>
          <w:rFonts w:hint="eastAsia" w:ascii="宋体" w:hAnsi="宋体"/>
          <w:color w:val="auto"/>
          <w:highlight w:val="none"/>
        </w:rPr>
        <w:t>36.3质疑供应商应当是参与所质疑项目采购活动的供应商。潜在供应商已依法获取其可质疑的</w:t>
      </w:r>
      <w:r>
        <w:rPr>
          <w:rFonts w:hint="eastAsia" w:ascii="宋体" w:hAnsi="宋体" w:eastAsia="宋体"/>
          <w:color w:val="auto"/>
          <w:highlight w:val="none"/>
          <w:lang w:eastAsia="zh-CN"/>
        </w:rPr>
        <w:t>磋商文件</w:t>
      </w:r>
      <w:r>
        <w:rPr>
          <w:rFonts w:hint="eastAsia" w:ascii="宋体" w:hAnsi="宋体"/>
          <w:color w:val="auto"/>
          <w:highlight w:val="none"/>
        </w:rPr>
        <w:t>的，方可对该文件提出质疑。供应商在法定质疑期内应一次性提出针对同一采购程序环节的质疑。</w:t>
      </w:r>
    </w:p>
    <w:p w14:paraId="79DEE800">
      <w:pPr>
        <w:spacing w:line="500" w:lineRule="exact"/>
        <w:ind w:firstLine="480" w:firstLineChars="200"/>
        <w:rPr>
          <w:rFonts w:hint="eastAsia" w:ascii="宋体" w:hAnsi="宋体"/>
          <w:color w:val="auto"/>
          <w:highlight w:val="none"/>
        </w:rPr>
      </w:pPr>
      <w:r>
        <w:rPr>
          <w:rFonts w:hint="eastAsia" w:ascii="宋体" w:hAnsi="宋体"/>
          <w:color w:val="auto"/>
          <w:highlight w:val="none"/>
        </w:rPr>
        <w:t>36.4供应商提出质疑应当提交质疑函和必要的证明材料。质疑函的必备内容：</w:t>
      </w:r>
    </w:p>
    <w:p w14:paraId="6FB69B57">
      <w:pPr>
        <w:spacing w:line="500" w:lineRule="exact"/>
        <w:ind w:firstLine="480" w:firstLineChars="200"/>
        <w:rPr>
          <w:rFonts w:hint="eastAsia" w:ascii="宋体" w:hAnsi="宋体"/>
          <w:color w:val="auto"/>
          <w:highlight w:val="none"/>
        </w:rPr>
      </w:pPr>
      <w:r>
        <w:rPr>
          <w:rFonts w:hint="eastAsia" w:ascii="宋体" w:hAnsi="宋体"/>
          <w:color w:val="auto"/>
          <w:highlight w:val="none"/>
        </w:rPr>
        <w:t>（1）供应商的姓名或者名称、地址、邮编、联系人及联系电话；</w:t>
      </w:r>
    </w:p>
    <w:p w14:paraId="3848DD9A">
      <w:pPr>
        <w:spacing w:line="500" w:lineRule="exact"/>
        <w:ind w:firstLine="480" w:firstLineChars="200"/>
        <w:rPr>
          <w:rFonts w:hint="eastAsia" w:ascii="宋体" w:hAnsi="宋体"/>
          <w:color w:val="auto"/>
          <w:highlight w:val="none"/>
        </w:rPr>
      </w:pPr>
      <w:r>
        <w:rPr>
          <w:rFonts w:hint="eastAsia" w:ascii="宋体" w:hAnsi="宋体"/>
          <w:color w:val="auto"/>
          <w:highlight w:val="none"/>
        </w:rPr>
        <w:t>（2）质疑项目的名称、编号；</w:t>
      </w:r>
    </w:p>
    <w:p w14:paraId="73D3F8D5">
      <w:pPr>
        <w:spacing w:line="500" w:lineRule="exact"/>
        <w:ind w:firstLine="480" w:firstLineChars="200"/>
        <w:rPr>
          <w:rFonts w:hint="eastAsia" w:ascii="宋体" w:hAnsi="宋体"/>
          <w:color w:val="auto"/>
          <w:highlight w:val="none"/>
        </w:rPr>
      </w:pPr>
      <w:r>
        <w:rPr>
          <w:rFonts w:hint="eastAsia" w:ascii="宋体" w:hAnsi="宋体"/>
          <w:color w:val="auto"/>
          <w:highlight w:val="none"/>
        </w:rPr>
        <w:t>（3）具体、明确的质疑事项和质疑事项相关的请求；</w:t>
      </w:r>
    </w:p>
    <w:p w14:paraId="4B3F2CB6">
      <w:pPr>
        <w:spacing w:line="500" w:lineRule="exact"/>
        <w:ind w:firstLine="480" w:firstLineChars="200"/>
        <w:rPr>
          <w:rFonts w:hint="eastAsia" w:ascii="宋体" w:hAnsi="宋体"/>
          <w:color w:val="auto"/>
          <w:highlight w:val="none"/>
        </w:rPr>
      </w:pPr>
      <w:r>
        <w:rPr>
          <w:rFonts w:hint="eastAsia" w:ascii="宋体" w:hAnsi="宋体"/>
          <w:color w:val="auto"/>
          <w:highlight w:val="none"/>
        </w:rPr>
        <w:t>（4）事实依据；</w:t>
      </w:r>
    </w:p>
    <w:p w14:paraId="57BF2A75">
      <w:pPr>
        <w:spacing w:line="500" w:lineRule="exact"/>
        <w:ind w:firstLine="480" w:firstLineChars="200"/>
        <w:rPr>
          <w:rFonts w:hint="eastAsia" w:ascii="宋体" w:hAnsi="宋体"/>
          <w:color w:val="auto"/>
          <w:highlight w:val="none"/>
        </w:rPr>
      </w:pPr>
      <w:r>
        <w:rPr>
          <w:rFonts w:hint="eastAsia" w:ascii="宋体" w:hAnsi="宋体"/>
          <w:color w:val="auto"/>
          <w:highlight w:val="none"/>
        </w:rPr>
        <w:t>（5）必要的法律依据；</w:t>
      </w:r>
    </w:p>
    <w:p w14:paraId="7697564E">
      <w:pPr>
        <w:spacing w:line="500" w:lineRule="exact"/>
        <w:ind w:firstLine="480" w:firstLineChars="200"/>
        <w:rPr>
          <w:rFonts w:hint="eastAsia" w:ascii="宋体" w:hAnsi="宋体"/>
          <w:color w:val="auto"/>
          <w:highlight w:val="none"/>
        </w:rPr>
      </w:pPr>
      <w:r>
        <w:rPr>
          <w:rFonts w:hint="eastAsia" w:ascii="宋体" w:hAnsi="宋体"/>
          <w:color w:val="auto"/>
          <w:highlight w:val="none"/>
        </w:rPr>
        <w:t>（6）提出质疑的日期；</w:t>
      </w:r>
    </w:p>
    <w:p w14:paraId="2CC4B870">
      <w:pPr>
        <w:spacing w:line="500" w:lineRule="exact"/>
        <w:ind w:firstLine="480" w:firstLineChars="200"/>
        <w:rPr>
          <w:rFonts w:hint="eastAsia" w:ascii="宋体" w:hAnsi="宋体"/>
          <w:color w:val="auto"/>
          <w:highlight w:val="none"/>
        </w:rPr>
      </w:pPr>
      <w:r>
        <w:rPr>
          <w:rFonts w:hint="eastAsia" w:ascii="宋体" w:hAnsi="宋体"/>
          <w:color w:val="auto"/>
          <w:highlight w:val="none"/>
        </w:rPr>
        <w:t>（7）供应商为自然人的，由本人签字；供应商为法人或者其他组织的，应当由法定代表人、主要负责人，或者其授权代表签字或者盖章，并加盖公章。</w:t>
      </w:r>
    </w:p>
    <w:p w14:paraId="1D7FA291">
      <w:pPr>
        <w:spacing w:line="500" w:lineRule="exact"/>
        <w:ind w:firstLine="480" w:firstLineChars="200"/>
        <w:rPr>
          <w:rFonts w:hint="eastAsia" w:ascii="宋体" w:hAnsi="宋体"/>
          <w:color w:val="auto"/>
          <w:highlight w:val="none"/>
        </w:rPr>
      </w:pPr>
      <w:r>
        <w:rPr>
          <w:rFonts w:hint="eastAsia" w:ascii="宋体" w:hAnsi="宋体"/>
          <w:color w:val="auto"/>
          <w:highlight w:val="none"/>
        </w:rPr>
        <w:t>（8）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加盖单位公章。</w:t>
      </w:r>
    </w:p>
    <w:p w14:paraId="5F142144">
      <w:pPr>
        <w:spacing w:line="500" w:lineRule="exact"/>
        <w:ind w:firstLine="480" w:firstLineChars="200"/>
        <w:rPr>
          <w:rFonts w:hint="eastAsia" w:ascii="宋体" w:hAnsi="宋体"/>
          <w:color w:val="auto"/>
          <w:highlight w:val="none"/>
        </w:rPr>
      </w:pPr>
      <w:r>
        <w:rPr>
          <w:rFonts w:hint="eastAsia" w:ascii="宋体" w:hAnsi="宋体"/>
          <w:color w:val="auto"/>
          <w:highlight w:val="none"/>
        </w:rPr>
        <w:t>36.5以联合体形式参加</w:t>
      </w:r>
      <w:r>
        <w:rPr>
          <w:rFonts w:hint="eastAsia" w:ascii="宋体" w:hAnsi="宋体" w:eastAsia="宋体"/>
          <w:color w:val="auto"/>
          <w:highlight w:val="none"/>
          <w:lang w:eastAsia="zh-CN"/>
        </w:rPr>
        <w:t>采购</w:t>
      </w:r>
      <w:r>
        <w:rPr>
          <w:rFonts w:hint="eastAsia" w:ascii="宋体" w:hAnsi="宋体"/>
          <w:color w:val="auto"/>
          <w:highlight w:val="none"/>
        </w:rPr>
        <w:t>活动的，其质疑应当由组成联合体的所有供应商共同提出。</w:t>
      </w:r>
    </w:p>
    <w:p w14:paraId="4C960298">
      <w:pPr>
        <w:spacing w:line="500" w:lineRule="exact"/>
        <w:ind w:firstLine="480" w:firstLineChars="200"/>
        <w:rPr>
          <w:rFonts w:hint="eastAsia" w:ascii="宋体" w:hAnsi="宋体"/>
          <w:color w:val="auto"/>
          <w:highlight w:val="none"/>
        </w:rPr>
      </w:pPr>
      <w:r>
        <w:rPr>
          <w:rFonts w:hint="eastAsia" w:ascii="宋体" w:hAnsi="宋体"/>
          <w:color w:val="auto"/>
          <w:highlight w:val="none"/>
        </w:rPr>
        <w:t>36.6采购人、采购代理机构在收到质疑函后，认为质疑函不符合本规定的，一次性书面告知质疑人进行补正。质疑人应当在法定质疑期限内进行补正并重新提交质疑函，未按照补正期限进行补正或者补正后仍不符合规定的，质疑不成立。</w:t>
      </w:r>
    </w:p>
    <w:p w14:paraId="28AFC9EE">
      <w:pPr>
        <w:spacing w:line="500" w:lineRule="exact"/>
        <w:ind w:firstLine="480" w:firstLineChars="200"/>
        <w:rPr>
          <w:rFonts w:hint="eastAsia" w:ascii="宋体" w:hAnsi="宋体"/>
          <w:color w:val="auto"/>
          <w:highlight w:val="none"/>
        </w:rPr>
      </w:pPr>
      <w:r>
        <w:rPr>
          <w:rFonts w:hint="eastAsia" w:ascii="宋体" w:hAnsi="宋体"/>
          <w:color w:val="auto"/>
          <w:highlight w:val="none"/>
        </w:rPr>
        <w:t>36.7采购人、采购代理机构在收到质疑函后7个工作日内作出答复，并以书面形式通知质疑供应商和其他有关供应商，但质疑答复的内容不涉及商业秘密。</w:t>
      </w:r>
    </w:p>
    <w:p w14:paraId="2ED5B16F">
      <w:pPr>
        <w:rPr>
          <w:rFonts w:hint="eastAsia" w:ascii="宋体" w:hAnsi="宋体"/>
          <w:color w:val="auto"/>
          <w:highlight w:val="none"/>
        </w:rPr>
      </w:pPr>
      <w:r>
        <w:rPr>
          <w:rFonts w:hint="eastAsia" w:ascii="宋体" w:hAnsi="宋体"/>
          <w:color w:val="auto"/>
          <w:highlight w:val="none"/>
        </w:rPr>
        <w:br w:type="page"/>
      </w:r>
    </w:p>
    <w:p w14:paraId="7EDCE998">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color w:val="auto"/>
          <w:highlight w:val="none"/>
          <w:lang w:eastAsia="zh-CN"/>
        </w:rPr>
      </w:pPr>
      <w:bookmarkStart w:id="44" w:name="_Toc11265"/>
      <w:r>
        <w:rPr>
          <w:rFonts w:hint="eastAsia"/>
          <w:color w:val="auto"/>
          <w:highlight w:val="none"/>
        </w:rPr>
        <w:t xml:space="preserve">第三部分 </w:t>
      </w:r>
      <w:r>
        <w:rPr>
          <w:rFonts w:hint="eastAsia"/>
          <w:color w:val="auto"/>
          <w:highlight w:val="none"/>
          <w:lang w:eastAsia="zh-CN"/>
        </w:rPr>
        <w:t>评审办法</w:t>
      </w:r>
      <w:bookmarkEnd w:id="44"/>
    </w:p>
    <w:p w14:paraId="62EDCF14">
      <w:pPr>
        <w:spacing w:before="156" w:beforeLines="50" w:after="156" w:afterLines="50"/>
        <w:ind w:firstLine="640" w:firstLineChars="200"/>
        <w:outlineLvl w:val="1"/>
        <w:rPr>
          <w:b/>
          <w:color w:val="auto"/>
          <w:sz w:val="32"/>
          <w:szCs w:val="32"/>
          <w:highlight w:val="none"/>
        </w:rPr>
      </w:pPr>
      <w:r>
        <w:rPr>
          <w:rFonts w:hint="eastAsia"/>
          <w:b/>
          <w:color w:val="auto"/>
          <w:sz w:val="32"/>
          <w:szCs w:val="32"/>
          <w:highlight w:val="none"/>
        </w:rPr>
        <w:t>一、资格审查</w:t>
      </w:r>
    </w:p>
    <w:p w14:paraId="3AE0F110">
      <w:pPr>
        <w:spacing w:line="500" w:lineRule="exact"/>
        <w:ind w:firstLine="48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资审人员按照下列指标对各</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的资格进行审查，未通过审查的为无效标，不参与</w:t>
      </w:r>
      <w:r>
        <w:rPr>
          <w:rFonts w:hint="eastAsia" w:ascii="宋体" w:hAnsi="宋体" w:eastAsia="宋体" w:cs="宋体"/>
          <w:color w:val="auto"/>
          <w:highlight w:val="none"/>
          <w:lang w:eastAsia="zh-CN"/>
        </w:rPr>
        <w:t>评审</w:t>
      </w:r>
      <w:r>
        <w:rPr>
          <w:rFonts w:hint="eastAsia" w:ascii="宋体" w:hAnsi="宋体" w:eastAsia="宋体" w:cs="宋体"/>
          <w:color w:val="auto"/>
          <w:highlight w:val="none"/>
        </w:rPr>
        <w:t>。</w:t>
      </w:r>
    </w:p>
    <w:tbl>
      <w:tblPr>
        <w:tblStyle w:val="63"/>
        <w:tblW w:w="9163" w:type="dxa"/>
        <w:tblInd w:w="-8"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4828"/>
        <w:gridCol w:w="4335"/>
      </w:tblGrid>
      <w:tr w14:paraId="649E06F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57441968">
            <w:pPr>
              <w:jc w:val="center"/>
              <w:rPr>
                <w:rFonts w:hint="eastAsia" w:ascii="宋体" w:hAnsi="宋体" w:cs="宋体"/>
                <w:color w:val="auto"/>
                <w:highlight w:val="none"/>
              </w:rPr>
            </w:pPr>
            <w:r>
              <w:rPr>
                <w:rFonts w:hint="eastAsia" w:ascii="宋体" w:hAnsi="宋体" w:cs="宋体"/>
                <w:color w:val="auto"/>
                <w:highlight w:val="none"/>
              </w:rPr>
              <w:t>资格审查因素</w:t>
            </w:r>
          </w:p>
        </w:tc>
        <w:tc>
          <w:tcPr>
            <w:tcW w:w="4335" w:type="dxa"/>
            <w:tcBorders>
              <w:top w:val="outset" w:color="auto" w:sz="6" w:space="0"/>
              <w:left w:val="outset" w:color="auto" w:sz="6" w:space="0"/>
              <w:bottom w:val="outset" w:color="auto" w:sz="6" w:space="0"/>
              <w:right w:val="outset" w:color="auto" w:sz="6" w:space="0"/>
            </w:tcBorders>
            <w:vAlign w:val="center"/>
          </w:tcPr>
          <w:p w14:paraId="2C5FEF75">
            <w:pPr>
              <w:jc w:val="center"/>
              <w:rPr>
                <w:rFonts w:hint="eastAsia" w:ascii="宋体" w:hAnsi="宋体" w:cs="宋体"/>
                <w:color w:val="auto"/>
                <w:highlight w:val="none"/>
              </w:rPr>
            </w:pPr>
            <w:r>
              <w:rPr>
                <w:rFonts w:hint="eastAsia" w:ascii="宋体" w:hAnsi="宋体" w:cs="宋体"/>
                <w:color w:val="auto"/>
                <w:highlight w:val="none"/>
              </w:rPr>
              <w:t>审查标准</w:t>
            </w:r>
          </w:p>
        </w:tc>
      </w:tr>
      <w:tr w14:paraId="57CBE2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88" w:hRule="atLeast"/>
        </w:trPr>
        <w:tc>
          <w:tcPr>
            <w:tcW w:w="4828" w:type="dxa"/>
            <w:tcBorders>
              <w:top w:val="outset" w:color="auto" w:sz="6" w:space="0"/>
              <w:left w:val="outset" w:color="auto" w:sz="6" w:space="0"/>
              <w:bottom w:val="outset" w:color="auto" w:sz="6" w:space="0"/>
              <w:right w:val="outset" w:color="auto" w:sz="6" w:space="0"/>
            </w:tcBorders>
            <w:vAlign w:val="center"/>
          </w:tcPr>
          <w:p w14:paraId="7C91ECE2">
            <w:pPr>
              <w:jc w:val="left"/>
              <w:rPr>
                <w:rFonts w:hint="eastAsia" w:ascii="宋体" w:hAnsi="宋体" w:cs="宋体"/>
                <w:color w:val="auto"/>
                <w:highlight w:val="none"/>
              </w:rPr>
            </w:pPr>
            <w:r>
              <w:rPr>
                <w:rFonts w:hint="eastAsia" w:ascii="宋体" w:hAnsi="宋体" w:cs="Arial"/>
                <w:bCs/>
                <w:color w:val="auto"/>
                <w:highlight w:val="none"/>
              </w:rPr>
              <w:t>具有独立承担民事责任的能力</w:t>
            </w:r>
          </w:p>
        </w:tc>
        <w:tc>
          <w:tcPr>
            <w:tcW w:w="4335" w:type="dxa"/>
            <w:vMerge w:val="restart"/>
            <w:tcBorders>
              <w:top w:val="outset" w:color="auto" w:sz="6" w:space="0"/>
              <w:left w:val="outset" w:color="auto" w:sz="6" w:space="0"/>
              <w:bottom w:val="outset" w:color="auto" w:sz="6" w:space="0"/>
              <w:right w:val="outset" w:color="auto" w:sz="6" w:space="0"/>
            </w:tcBorders>
            <w:vAlign w:val="center"/>
          </w:tcPr>
          <w:p w14:paraId="79B515A6">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第1</w:t>
            </w:r>
            <w:r>
              <w:rPr>
                <w:rFonts w:hint="eastAsia" w:ascii="宋体" w:hAnsi="宋体" w:eastAsia="宋体" w:cs="宋体"/>
                <w:color w:val="auto"/>
                <w:highlight w:val="none"/>
                <w:lang w:val="en-US" w:eastAsia="zh-CN"/>
              </w:rPr>
              <w:t>0</w:t>
            </w:r>
            <w:r>
              <w:rPr>
                <w:rFonts w:hint="eastAsia" w:ascii="宋体" w:hAnsi="宋体" w:cs="宋体"/>
                <w:color w:val="auto"/>
                <w:highlight w:val="none"/>
              </w:rPr>
              <w:t>条“</w:t>
            </w:r>
            <w:r>
              <w:rPr>
                <w:rFonts w:hint="eastAsia" w:ascii="宋体" w:hAnsi="宋体" w:eastAsia="宋体" w:cs="宋体"/>
                <w:color w:val="auto"/>
                <w:highlight w:val="none"/>
                <w:lang w:eastAsia="zh-CN"/>
              </w:rPr>
              <w:t>响应文件</w:t>
            </w:r>
            <w:r>
              <w:rPr>
                <w:rFonts w:hint="eastAsia" w:ascii="宋体" w:hAnsi="宋体" w:cs="宋体"/>
                <w:color w:val="auto"/>
                <w:highlight w:val="none"/>
              </w:rPr>
              <w:t>构成”的要求</w:t>
            </w:r>
          </w:p>
        </w:tc>
      </w:tr>
      <w:tr w14:paraId="65D1AD9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03967245">
            <w:pPr>
              <w:jc w:val="left"/>
              <w:rPr>
                <w:rFonts w:hint="eastAsia" w:ascii="宋体" w:hAnsi="宋体" w:cs="宋体"/>
                <w:color w:val="auto"/>
                <w:highlight w:val="none"/>
              </w:rPr>
            </w:pPr>
            <w:r>
              <w:rPr>
                <w:rFonts w:hint="eastAsia" w:ascii="宋体" w:hAnsi="宋体" w:cs="Arial"/>
                <w:bCs/>
                <w:color w:val="auto"/>
                <w:highlight w:val="none"/>
              </w:rPr>
              <w:t>具有良好的商业信誉和健全的财务会计制度</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65DF0647">
            <w:pPr>
              <w:jc w:val="left"/>
              <w:rPr>
                <w:rFonts w:hint="eastAsia" w:ascii="宋体" w:hAnsi="宋体" w:cs="宋体"/>
                <w:color w:val="auto"/>
                <w:highlight w:val="none"/>
              </w:rPr>
            </w:pPr>
          </w:p>
        </w:tc>
      </w:tr>
      <w:tr w14:paraId="6A063D4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56BB2DCE">
            <w:pPr>
              <w:jc w:val="left"/>
              <w:rPr>
                <w:rFonts w:hint="eastAsia" w:ascii="宋体" w:hAnsi="宋体" w:cs="宋体"/>
                <w:color w:val="auto"/>
                <w:highlight w:val="none"/>
              </w:rPr>
            </w:pPr>
            <w:r>
              <w:rPr>
                <w:rFonts w:hint="eastAsia" w:ascii="宋体" w:hAnsi="宋体" w:cs="Arial"/>
                <w:bCs/>
                <w:color w:val="auto"/>
                <w:highlight w:val="none"/>
              </w:rPr>
              <w:t>具有履行合同所必需的设备和专业技术能力</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26972C65">
            <w:pPr>
              <w:jc w:val="left"/>
              <w:rPr>
                <w:rFonts w:hint="eastAsia" w:ascii="宋体" w:hAnsi="宋体" w:cs="宋体"/>
                <w:color w:val="auto"/>
                <w:highlight w:val="none"/>
              </w:rPr>
            </w:pPr>
          </w:p>
        </w:tc>
      </w:tr>
      <w:tr w14:paraId="6A77CA7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10081B3F">
            <w:pPr>
              <w:jc w:val="left"/>
              <w:rPr>
                <w:rFonts w:hint="eastAsia" w:ascii="宋体" w:hAnsi="宋体" w:cs="宋体"/>
                <w:color w:val="auto"/>
                <w:highlight w:val="none"/>
              </w:rPr>
            </w:pPr>
            <w:r>
              <w:rPr>
                <w:rFonts w:hint="eastAsia" w:ascii="宋体" w:hAnsi="宋体" w:cs="Arial"/>
                <w:bCs/>
                <w:color w:val="auto"/>
                <w:highlight w:val="none"/>
              </w:rPr>
              <w:t>有依法缴纳税收和社会保障资金的良好记录</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3B47EEEB">
            <w:pPr>
              <w:jc w:val="left"/>
              <w:rPr>
                <w:rFonts w:hint="eastAsia" w:ascii="宋体" w:hAnsi="宋体" w:cs="宋体"/>
                <w:color w:val="auto"/>
                <w:highlight w:val="none"/>
              </w:rPr>
            </w:pPr>
          </w:p>
        </w:tc>
      </w:tr>
      <w:tr w14:paraId="6EA79F8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12" w:hRule="atLeast"/>
        </w:trPr>
        <w:tc>
          <w:tcPr>
            <w:tcW w:w="4828" w:type="dxa"/>
            <w:tcBorders>
              <w:top w:val="outset" w:color="auto" w:sz="6" w:space="0"/>
              <w:left w:val="outset" w:color="auto" w:sz="6" w:space="0"/>
              <w:bottom w:val="outset" w:color="auto" w:sz="6" w:space="0"/>
              <w:right w:val="outset" w:color="auto" w:sz="6" w:space="0"/>
            </w:tcBorders>
            <w:vAlign w:val="center"/>
          </w:tcPr>
          <w:p w14:paraId="1C666A3C">
            <w:pPr>
              <w:jc w:val="left"/>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0924912E">
            <w:pPr>
              <w:jc w:val="left"/>
              <w:rPr>
                <w:rFonts w:hint="eastAsia" w:ascii="宋体" w:hAnsi="宋体" w:cs="宋体"/>
                <w:color w:val="auto"/>
                <w:highlight w:val="none"/>
              </w:rPr>
            </w:pPr>
          </w:p>
        </w:tc>
      </w:tr>
      <w:tr w14:paraId="74CB53F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87" w:hRule="atLeast"/>
        </w:trPr>
        <w:tc>
          <w:tcPr>
            <w:tcW w:w="4828" w:type="dxa"/>
            <w:tcBorders>
              <w:top w:val="outset" w:color="auto" w:sz="6" w:space="0"/>
              <w:left w:val="outset" w:color="auto" w:sz="6" w:space="0"/>
              <w:bottom w:val="outset" w:color="auto" w:sz="6" w:space="0"/>
              <w:right w:val="outset" w:color="auto" w:sz="6" w:space="0"/>
            </w:tcBorders>
            <w:vAlign w:val="center"/>
          </w:tcPr>
          <w:p w14:paraId="336AB921">
            <w:pPr>
              <w:jc w:val="left"/>
              <w:rPr>
                <w:rFonts w:hint="eastAsia" w:ascii="宋体" w:hAnsi="宋体" w:cs="宋体"/>
                <w:color w:val="auto"/>
                <w:highlight w:val="none"/>
              </w:rPr>
            </w:pPr>
            <w:r>
              <w:rPr>
                <w:rFonts w:hint="eastAsia" w:ascii="宋体" w:hAnsi="宋体" w:cs="宋体"/>
                <w:color w:val="auto"/>
                <w:highlight w:val="none"/>
              </w:rPr>
              <w:t>法律、行政法规规定的其他条件</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7BFB7BC5">
            <w:pPr>
              <w:jc w:val="left"/>
              <w:rPr>
                <w:rFonts w:hint="eastAsia" w:ascii="宋体" w:hAnsi="宋体" w:cs="宋体"/>
                <w:color w:val="auto"/>
                <w:highlight w:val="none"/>
              </w:rPr>
            </w:pPr>
          </w:p>
        </w:tc>
      </w:tr>
      <w:tr w14:paraId="5A2E0BF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4828" w:type="dxa"/>
            <w:tcBorders>
              <w:top w:val="outset" w:color="auto" w:sz="6" w:space="0"/>
              <w:left w:val="outset" w:color="auto" w:sz="6" w:space="0"/>
              <w:bottom w:val="outset" w:color="auto" w:sz="6" w:space="0"/>
              <w:right w:val="outset" w:color="auto" w:sz="6" w:space="0"/>
            </w:tcBorders>
            <w:vAlign w:val="center"/>
          </w:tcPr>
          <w:p w14:paraId="705D27BA">
            <w:pPr>
              <w:jc w:val="left"/>
              <w:rPr>
                <w:rFonts w:ascii="宋体" w:hAnsi="宋体" w:cs="宋体"/>
                <w:color w:val="auto"/>
                <w:highlight w:val="none"/>
              </w:rPr>
            </w:pPr>
            <w:r>
              <w:rPr>
                <w:rFonts w:hint="eastAsia" w:ascii="宋体" w:hAnsi="宋体" w:cs="宋体"/>
                <w:color w:val="auto"/>
                <w:highlight w:val="none"/>
              </w:rPr>
              <w:t>信用信息</w:t>
            </w:r>
          </w:p>
        </w:tc>
        <w:tc>
          <w:tcPr>
            <w:tcW w:w="4335" w:type="dxa"/>
            <w:vMerge w:val="continue"/>
            <w:tcBorders>
              <w:top w:val="outset" w:color="auto" w:sz="6" w:space="0"/>
              <w:left w:val="outset" w:color="auto" w:sz="6" w:space="0"/>
              <w:bottom w:val="outset" w:color="auto" w:sz="6" w:space="0"/>
              <w:right w:val="outset" w:color="auto" w:sz="6" w:space="0"/>
            </w:tcBorders>
            <w:vAlign w:val="center"/>
          </w:tcPr>
          <w:p w14:paraId="7D2A7B63">
            <w:pPr>
              <w:jc w:val="left"/>
              <w:rPr>
                <w:rFonts w:hint="eastAsia" w:ascii="宋体" w:hAnsi="宋体" w:cs="宋体"/>
                <w:color w:val="auto"/>
                <w:highlight w:val="none"/>
              </w:rPr>
            </w:pPr>
          </w:p>
        </w:tc>
      </w:tr>
      <w:tr w14:paraId="48A17DC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48A92608">
            <w:pPr>
              <w:jc w:val="left"/>
              <w:rPr>
                <w:rFonts w:hint="eastAsia" w:ascii="宋体" w:hAnsi="宋体" w:cs="宋体"/>
                <w:color w:val="auto"/>
                <w:highlight w:val="none"/>
              </w:rPr>
            </w:pPr>
            <w:r>
              <w:rPr>
                <w:rFonts w:hint="eastAsia" w:ascii="宋体" w:hAnsi="宋体" w:cs="宋体"/>
                <w:color w:val="auto"/>
                <w:highlight w:val="none"/>
              </w:rPr>
              <w:t>供应商的关联性要求</w:t>
            </w:r>
          </w:p>
        </w:tc>
        <w:tc>
          <w:tcPr>
            <w:tcW w:w="4335" w:type="dxa"/>
            <w:tcBorders>
              <w:top w:val="outset" w:color="auto" w:sz="6" w:space="0"/>
              <w:left w:val="outset" w:color="auto" w:sz="6" w:space="0"/>
              <w:bottom w:val="outset" w:color="auto" w:sz="6" w:space="0"/>
              <w:right w:val="outset" w:color="auto" w:sz="6" w:space="0"/>
            </w:tcBorders>
            <w:vAlign w:val="center"/>
          </w:tcPr>
          <w:p w14:paraId="0BCFF1C6">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规定</w:t>
            </w:r>
          </w:p>
        </w:tc>
      </w:tr>
      <w:tr w14:paraId="10D75C2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828" w:type="dxa"/>
            <w:tcBorders>
              <w:top w:val="outset" w:color="auto" w:sz="6" w:space="0"/>
              <w:left w:val="outset" w:color="auto" w:sz="6" w:space="0"/>
              <w:bottom w:val="outset" w:color="auto" w:sz="6" w:space="0"/>
              <w:right w:val="outset" w:color="auto" w:sz="6" w:space="0"/>
            </w:tcBorders>
            <w:vAlign w:val="center"/>
          </w:tcPr>
          <w:p w14:paraId="52031887">
            <w:pPr>
              <w:jc w:val="left"/>
              <w:rPr>
                <w:rFonts w:ascii="宋体" w:hAnsi="宋体" w:cs="宋体"/>
                <w:color w:val="auto"/>
                <w:highlight w:val="none"/>
              </w:rPr>
            </w:pPr>
            <w:r>
              <w:rPr>
                <w:rFonts w:hint="eastAsia" w:ascii="宋体" w:hAnsi="宋体" w:cs="宋体"/>
                <w:color w:val="auto"/>
                <w:highlight w:val="none"/>
              </w:rPr>
              <w:t>本项目不接受联合体投标</w:t>
            </w:r>
          </w:p>
        </w:tc>
        <w:tc>
          <w:tcPr>
            <w:tcW w:w="4335" w:type="dxa"/>
            <w:tcBorders>
              <w:top w:val="outset" w:color="auto" w:sz="6" w:space="0"/>
              <w:left w:val="outset" w:color="auto" w:sz="6" w:space="0"/>
              <w:bottom w:val="outset" w:color="auto" w:sz="6" w:space="0"/>
              <w:right w:val="outset" w:color="auto" w:sz="6" w:space="0"/>
            </w:tcBorders>
            <w:vAlign w:val="center"/>
          </w:tcPr>
          <w:p w14:paraId="41A3DF46">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规定</w:t>
            </w:r>
          </w:p>
        </w:tc>
      </w:tr>
    </w:tbl>
    <w:p w14:paraId="23B19A0B">
      <w:pPr>
        <w:outlineLvl w:val="1"/>
        <w:rPr>
          <w:rFonts w:hint="eastAsia" w:ascii="宋体" w:hAnsi="宋体" w:eastAsia="宋体" w:cs="宋体"/>
          <w:color w:val="auto"/>
          <w:sz w:val="32"/>
          <w:szCs w:val="32"/>
          <w:highlight w:val="none"/>
        </w:rPr>
      </w:pPr>
      <w:r>
        <w:rPr>
          <w:rFonts w:hint="eastAsia"/>
          <w:b/>
          <w:color w:val="auto"/>
          <w:sz w:val="32"/>
          <w:szCs w:val="32"/>
          <w:highlight w:val="none"/>
        </w:rPr>
        <w:t>二、</w:t>
      </w:r>
      <w:r>
        <w:rPr>
          <w:rFonts w:hint="eastAsia" w:eastAsia="宋体"/>
          <w:b/>
          <w:color w:val="auto"/>
          <w:sz w:val="32"/>
          <w:szCs w:val="32"/>
          <w:highlight w:val="none"/>
          <w:lang w:val="en-US" w:eastAsia="zh-CN"/>
        </w:rPr>
        <w:t>评审</w:t>
      </w:r>
      <w:r>
        <w:rPr>
          <w:rFonts w:hint="eastAsia"/>
          <w:b/>
          <w:color w:val="auto"/>
          <w:sz w:val="32"/>
          <w:szCs w:val="32"/>
          <w:highlight w:val="none"/>
        </w:rPr>
        <w:t>办法—综合评分法</w:t>
      </w:r>
    </w:p>
    <w:p w14:paraId="2E0CF70D">
      <w:pPr>
        <w:spacing w:line="500" w:lineRule="exact"/>
        <w:ind w:firstLine="482" w:firstLineChars="200"/>
        <w:jc w:val="left"/>
        <w:rPr>
          <w:rFonts w:hint="eastAsia" w:ascii="宋体" w:hAnsi="宋体" w:eastAsia="宋体" w:cs="宋体"/>
          <w:color w:val="auto"/>
          <w:highlight w:val="none"/>
        </w:rPr>
      </w:pPr>
      <w:r>
        <w:rPr>
          <w:rFonts w:hint="eastAsia" w:ascii="宋体" w:hAnsi="宋体" w:eastAsia="宋体" w:cs="宋体"/>
          <w:b/>
          <w:color w:val="auto"/>
          <w:highlight w:val="none"/>
        </w:rPr>
        <w:t>1、</w:t>
      </w:r>
      <w:r>
        <w:rPr>
          <w:rFonts w:hint="eastAsia" w:ascii="宋体" w:hAnsi="宋体" w:eastAsia="宋体" w:cs="宋体"/>
          <w:b/>
          <w:color w:val="auto"/>
          <w:highlight w:val="none"/>
          <w:lang w:eastAsia="zh-CN"/>
        </w:rPr>
        <w:t>评审</w:t>
      </w:r>
      <w:r>
        <w:rPr>
          <w:rFonts w:hint="eastAsia" w:ascii="宋体" w:hAnsi="宋体" w:eastAsia="宋体" w:cs="宋体"/>
          <w:b/>
          <w:color w:val="auto"/>
          <w:highlight w:val="none"/>
        </w:rPr>
        <w:t>办法：</w:t>
      </w:r>
      <w:r>
        <w:rPr>
          <w:rFonts w:hint="eastAsia" w:ascii="宋体" w:hAnsi="宋体" w:eastAsia="宋体" w:cs="宋体"/>
          <w:color w:val="auto"/>
          <w:highlight w:val="none"/>
        </w:rPr>
        <w:t>本项目采用综合评分办法，磋商小组严格按照</w:t>
      </w:r>
      <w:r>
        <w:rPr>
          <w:rFonts w:hint="eastAsia" w:ascii="宋体" w:hAnsi="宋体" w:eastAsia="宋体" w:cs="宋体"/>
          <w:color w:val="auto"/>
          <w:highlight w:val="none"/>
          <w:lang w:eastAsia="zh-CN"/>
        </w:rPr>
        <w:t>磋商文件</w:t>
      </w:r>
      <w:r>
        <w:rPr>
          <w:rFonts w:hint="eastAsia" w:ascii="宋体" w:hAnsi="宋体" w:eastAsia="宋体" w:cs="宋体"/>
          <w:color w:val="auto"/>
          <w:highlight w:val="none"/>
        </w:rPr>
        <w:t>规定的评分标准和要求，对各响应文件进行综合评审，按得分高低顺序推荐成交候选人。得分相同的，按报价从低到高顺序排列；得分且报价相同的，按技术指标优劣顺序排列。</w:t>
      </w:r>
    </w:p>
    <w:p w14:paraId="7F1611A4">
      <w:pPr>
        <w:spacing w:line="500" w:lineRule="exact"/>
        <w:ind w:firstLine="482" w:firstLineChars="200"/>
        <w:jc w:val="left"/>
        <w:rPr>
          <w:rFonts w:hint="eastAsia" w:ascii="宋体" w:hAnsi="宋体" w:eastAsia="宋体" w:cs="宋体"/>
          <w:color w:val="auto"/>
          <w:highlight w:val="none"/>
        </w:rPr>
      </w:pPr>
      <w:r>
        <w:rPr>
          <w:rFonts w:hint="eastAsia" w:ascii="宋体" w:hAnsi="宋体" w:eastAsia="宋体" w:cs="宋体"/>
          <w:b/>
          <w:color w:val="auto"/>
          <w:highlight w:val="none"/>
        </w:rPr>
        <w:t>2、初步评审。</w:t>
      </w:r>
      <w:r>
        <w:rPr>
          <w:rFonts w:hint="eastAsia" w:ascii="宋体" w:hAnsi="宋体" w:eastAsia="宋体" w:cs="宋体"/>
          <w:color w:val="auto"/>
          <w:highlight w:val="none"/>
        </w:rPr>
        <w:t>磋商小组首先按照下列指标对各供应商进行初步评审，未通过评审的为</w:t>
      </w:r>
      <w:r>
        <w:rPr>
          <w:rFonts w:hint="eastAsia" w:ascii="宋体" w:hAnsi="宋体" w:eastAsia="宋体" w:cs="宋体"/>
          <w:color w:val="auto"/>
          <w:highlight w:val="none"/>
          <w:lang w:eastAsia="zh-CN"/>
        </w:rPr>
        <w:t>无效文件</w:t>
      </w:r>
      <w:r>
        <w:rPr>
          <w:rFonts w:hint="eastAsia" w:ascii="宋体" w:hAnsi="宋体" w:eastAsia="宋体" w:cs="宋体"/>
          <w:color w:val="auto"/>
          <w:highlight w:val="none"/>
        </w:rPr>
        <w:t>，不再参与评审。</w:t>
      </w:r>
    </w:p>
    <w:tbl>
      <w:tblPr>
        <w:tblStyle w:val="63"/>
        <w:tblW w:w="9172" w:type="dxa"/>
        <w:tblInd w:w="-8"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4140"/>
        <w:gridCol w:w="5032"/>
      </w:tblGrid>
      <w:tr w14:paraId="11CEBAD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140" w:type="dxa"/>
            <w:tcBorders>
              <w:top w:val="outset" w:color="auto" w:sz="6" w:space="0"/>
              <w:left w:val="outset" w:color="auto" w:sz="6" w:space="0"/>
              <w:bottom w:val="outset" w:color="auto" w:sz="6" w:space="0"/>
              <w:right w:val="outset" w:color="auto" w:sz="6" w:space="0"/>
            </w:tcBorders>
            <w:vAlign w:val="center"/>
          </w:tcPr>
          <w:p w14:paraId="2146E7B5">
            <w:pPr>
              <w:jc w:val="center"/>
              <w:rPr>
                <w:rFonts w:hint="eastAsia" w:ascii="宋体" w:hAnsi="宋体" w:cs="宋体"/>
                <w:color w:val="auto"/>
                <w:highlight w:val="none"/>
              </w:rPr>
            </w:pPr>
            <w:r>
              <w:rPr>
                <w:rFonts w:hint="eastAsia" w:ascii="宋体" w:hAnsi="宋体" w:cs="宋体"/>
                <w:color w:val="auto"/>
                <w:highlight w:val="none"/>
              </w:rPr>
              <w:t>符合性审查因素</w:t>
            </w:r>
          </w:p>
        </w:tc>
        <w:tc>
          <w:tcPr>
            <w:tcW w:w="5032" w:type="dxa"/>
            <w:tcBorders>
              <w:top w:val="outset" w:color="auto" w:sz="6" w:space="0"/>
              <w:left w:val="outset" w:color="auto" w:sz="6" w:space="0"/>
              <w:bottom w:val="outset" w:color="auto" w:sz="6" w:space="0"/>
              <w:right w:val="outset" w:color="auto" w:sz="6" w:space="0"/>
            </w:tcBorders>
            <w:vAlign w:val="center"/>
          </w:tcPr>
          <w:p w14:paraId="2A9C5499">
            <w:pPr>
              <w:jc w:val="center"/>
              <w:rPr>
                <w:rFonts w:hint="eastAsia" w:ascii="宋体" w:hAnsi="宋体" w:cs="宋体"/>
                <w:color w:val="auto"/>
                <w:highlight w:val="none"/>
              </w:rPr>
            </w:pPr>
            <w:r>
              <w:rPr>
                <w:rFonts w:hint="eastAsia" w:ascii="宋体" w:hAnsi="宋体" w:cs="宋体"/>
                <w:color w:val="auto"/>
                <w:highlight w:val="none"/>
              </w:rPr>
              <w:t>审查标准</w:t>
            </w:r>
          </w:p>
        </w:tc>
      </w:tr>
      <w:tr w14:paraId="7060980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4140" w:type="dxa"/>
            <w:tcBorders>
              <w:top w:val="outset" w:color="auto" w:sz="6" w:space="0"/>
              <w:left w:val="outset" w:color="auto" w:sz="6" w:space="0"/>
              <w:bottom w:val="outset" w:color="auto" w:sz="6" w:space="0"/>
              <w:right w:val="outset" w:color="auto" w:sz="6" w:space="0"/>
            </w:tcBorders>
            <w:vAlign w:val="center"/>
          </w:tcPr>
          <w:p w14:paraId="78740BC4">
            <w:pPr>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磋商申请及声明</w:t>
            </w:r>
          </w:p>
        </w:tc>
        <w:tc>
          <w:tcPr>
            <w:tcW w:w="5032" w:type="dxa"/>
            <w:tcBorders>
              <w:top w:val="outset" w:color="auto" w:sz="6" w:space="0"/>
              <w:left w:val="outset" w:color="auto" w:sz="6" w:space="0"/>
              <w:bottom w:val="outset" w:color="auto" w:sz="6" w:space="0"/>
              <w:right w:val="outset" w:color="auto" w:sz="6" w:space="0"/>
            </w:tcBorders>
            <w:vAlign w:val="center"/>
          </w:tcPr>
          <w:p w14:paraId="40B1B27D">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第1</w:t>
            </w:r>
            <w:r>
              <w:rPr>
                <w:rFonts w:hint="eastAsia" w:ascii="宋体" w:hAnsi="宋体" w:eastAsia="宋体" w:cs="宋体"/>
                <w:color w:val="auto"/>
                <w:highlight w:val="none"/>
                <w:lang w:val="en-US" w:eastAsia="zh-CN"/>
              </w:rPr>
              <w:t>0</w:t>
            </w:r>
            <w:r>
              <w:rPr>
                <w:rFonts w:hint="eastAsia" w:ascii="宋体" w:hAnsi="宋体" w:cs="宋体"/>
                <w:color w:val="auto"/>
                <w:highlight w:val="none"/>
              </w:rPr>
              <w:t>.2条款的要求</w:t>
            </w:r>
          </w:p>
        </w:tc>
      </w:tr>
      <w:tr w14:paraId="7B48D95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87" w:hRule="atLeast"/>
        </w:trPr>
        <w:tc>
          <w:tcPr>
            <w:tcW w:w="4140" w:type="dxa"/>
            <w:tcBorders>
              <w:top w:val="outset" w:color="auto" w:sz="6" w:space="0"/>
              <w:left w:val="outset" w:color="auto" w:sz="6" w:space="0"/>
              <w:bottom w:val="outset" w:color="auto" w:sz="6" w:space="0"/>
              <w:right w:val="outset" w:color="auto" w:sz="6" w:space="0"/>
            </w:tcBorders>
            <w:vAlign w:val="center"/>
          </w:tcPr>
          <w:p w14:paraId="22E586E0">
            <w:pPr>
              <w:jc w:val="left"/>
              <w:rPr>
                <w:rFonts w:hint="eastAsia" w:ascii="宋体" w:hAnsi="宋体" w:cs="宋体"/>
                <w:color w:val="auto"/>
                <w:highlight w:val="none"/>
              </w:rPr>
            </w:pPr>
            <w:r>
              <w:rPr>
                <w:rFonts w:hint="eastAsia" w:ascii="宋体" w:hAnsi="宋体" w:cs="宋体"/>
                <w:color w:val="auto"/>
                <w:highlight w:val="none"/>
              </w:rPr>
              <w:t>法定代表人身份证明或授权委托书</w:t>
            </w:r>
          </w:p>
        </w:tc>
        <w:tc>
          <w:tcPr>
            <w:tcW w:w="5032" w:type="dxa"/>
            <w:tcBorders>
              <w:top w:val="outset" w:color="auto" w:sz="6" w:space="0"/>
              <w:left w:val="outset" w:color="auto" w:sz="6" w:space="0"/>
              <w:bottom w:val="outset" w:color="auto" w:sz="6" w:space="0"/>
              <w:right w:val="outset" w:color="auto" w:sz="6" w:space="0"/>
            </w:tcBorders>
            <w:vAlign w:val="center"/>
          </w:tcPr>
          <w:p w14:paraId="5CE43AFE">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第1</w:t>
            </w:r>
            <w:r>
              <w:rPr>
                <w:rFonts w:hint="eastAsia" w:ascii="宋体" w:hAnsi="宋体" w:eastAsia="宋体" w:cs="宋体"/>
                <w:color w:val="auto"/>
                <w:highlight w:val="none"/>
                <w:lang w:val="en-US" w:eastAsia="zh-CN"/>
              </w:rPr>
              <w:t>0</w:t>
            </w:r>
            <w:r>
              <w:rPr>
                <w:rFonts w:hint="eastAsia" w:ascii="宋体" w:hAnsi="宋体" w:cs="宋体"/>
                <w:color w:val="auto"/>
                <w:highlight w:val="none"/>
              </w:rPr>
              <w:t>.3条款的要求</w:t>
            </w:r>
          </w:p>
        </w:tc>
      </w:tr>
      <w:tr w14:paraId="1846066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87" w:hRule="atLeast"/>
        </w:trPr>
        <w:tc>
          <w:tcPr>
            <w:tcW w:w="4140" w:type="dxa"/>
            <w:tcBorders>
              <w:top w:val="outset" w:color="auto" w:sz="6" w:space="0"/>
              <w:left w:val="outset" w:color="auto" w:sz="6" w:space="0"/>
              <w:bottom w:val="outset" w:color="auto" w:sz="6" w:space="0"/>
              <w:right w:val="outset" w:color="auto" w:sz="6" w:space="0"/>
            </w:tcBorders>
            <w:vAlign w:val="center"/>
          </w:tcPr>
          <w:p w14:paraId="3BF4BA73">
            <w:pPr>
              <w:jc w:val="left"/>
              <w:rPr>
                <w:rFonts w:hint="eastAsia" w:ascii="宋体" w:hAnsi="宋体" w:cs="宋体"/>
                <w:color w:val="auto"/>
                <w:highlight w:val="none"/>
              </w:rPr>
            </w:pPr>
            <w:r>
              <w:rPr>
                <w:rFonts w:hint="eastAsia" w:ascii="宋体" w:hAnsi="宋体" w:cs="宋体"/>
                <w:color w:val="auto"/>
                <w:highlight w:val="none"/>
              </w:rPr>
              <w:t>签署和盖章符合要求</w:t>
            </w:r>
          </w:p>
        </w:tc>
        <w:tc>
          <w:tcPr>
            <w:tcW w:w="5032" w:type="dxa"/>
            <w:tcBorders>
              <w:top w:val="outset" w:color="auto" w:sz="6" w:space="0"/>
              <w:left w:val="outset" w:color="auto" w:sz="6" w:space="0"/>
              <w:bottom w:val="outset" w:color="auto" w:sz="6" w:space="0"/>
              <w:right w:val="outset" w:color="auto" w:sz="6" w:space="0"/>
            </w:tcBorders>
            <w:vAlign w:val="center"/>
          </w:tcPr>
          <w:p w14:paraId="680E9DD2">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规定</w:t>
            </w:r>
          </w:p>
        </w:tc>
      </w:tr>
      <w:tr w14:paraId="147D32F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4140" w:type="dxa"/>
            <w:tcBorders>
              <w:top w:val="outset" w:color="auto" w:sz="6" w:space="0"/>
              <w:left w:val="outset" w:color="auto" w:sz="6" w:space="0"/>
              <w:bottom w:val="outset" w:color="auto" w:sz="6" w:space="0"/>
              <w:right w:val="outset" w:color="auto" w:sz="6" w:space="0"/>
            </w:tcBorders>
            <w:vAlign w:val="center"/>
          </w:tcPr>
          <w:p w14:paraId="328C44E2">
            <w:pPr>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首轮报价表</w:t>
            </w:r>
            <w:r>
              <w:rPr>
                <w:rFonts w:hint="eastAsia" w:ascii="宋体" w:hAnsi="宋体" w:cs="宋体"/>
                <w:color w:val="auto"/>
                <w:highlight w:val="none"/>
              </w:rPr>
              <w:t>及投标报价</w:t>
            </w:r>
          </w:p>
        </w:tc>
        <w:tc>
          <w:tcPr>
            <w:tcW w:w="5032" w:type="dxa"/>
            <w:tcBorders>
              <w:top w:val="outset" w:color="auto" w:sz="6" w:space="0"/>
              <w:left w:val="outset" w:color="auto" w:sz="6" w:space="0"/>
              <w:bottom w:val="outset" w:color="auto" w:sz="6" w:space="0"/>
              <w:right w:val="outset" w:color="auto" w:sz="6" w:space="0"/>
            </w:tcBorders>
            <w:vAlign w:val="center"/>
          </w:tcPr>
          <w:p w14:paraId="191F322D">
            <w:pPr>
              <w:jc w:val="left"/>
              <w:rPr>
                <w:rFonts w:hint="eastAsia" w:ascii="宋体" w:hAnsi="宋体" w:cs="宋体"/>
                <w:color w:val="auto"/>
                <w:highlight w:val="none"/>
              </w:rPr>
            </w:pPr>
            <w:r>
              <w:rPr>
                <w:rFonts w:hint="eastAsia" w:ascii="宋体" w:hAnsi="宋体" w:cs="宋体"/>
                <w:color w:val="auto"/>
                <w:highlight w:val="none"/>
              </w:rPr>
              <w:t>格式、填写要求符合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规定（报价未超过预算或最高限价）</w:t>
            </w:r>
          </w:p>
        </w:tc>
      </w:tr>
      <w:tr w14:paraId="5567854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4140" w:type="dxa"/>
            <w:tcBorders>
              <w:top w:val="outset" w:color="auto" w:sz="6" w:space="0"/>
              <w:left w:val="outset" w:color="auto" w:sz="6" w:space="0"/>
              <w:bottom w:val="outset" w:color="auto" w:sz="6" w:space="0"/>
              <w:right w:val="outset" w:color="auto" w:sz="6" w:space="0"/>
            </w:tcBorders>
            <w:vAlign w:val="center"/>
          </w:tcPr>
          <w:p w14:paraId="40621926">
            <w:pPr>
              <w:jc w:val="left"/>
              <w:rPr>
                <w:rFonts w:ascii="宋体" w:hAnsi="宋体" w:cs="宋体"/>
                <w:color w:val="auto"/>
                <w:highlight w:val="none"/>
              </w:rPr>
            </w:pPr>
            <w:r>
              <w:rPr>
                <w:rFonts w:hint="eastAsia" w:ascii="宋体" w:hAnsi="宋体" w:eastAsia="宋体" w:cs="宋体"/>
                <w:color w:val="auto"/>
                <w:highlight w:val="none"/>
                <w:lang w:eastAsia="zh-CN"/>
              </w:rPr>
              <w:t>响应文件</w:t>
            </w:r>
            <w:r>
              <w:rPr>
                <w:rFonts w:hint="eastAsia" w:ascii="宋体" w:hAnsi="宋体" w:cs="宋体"/>
                <w:color w:val="auto"/>
                <w:highlight w:val="none"/>
              </w:rPr>
              <w:t>对</w:t>
            </w:r>
            <w:r>
              <w:rPr>
                <w:rFonts w:hint="eastAsia" w:ascii="宋体" w:hAnsi="宋体" w:eastAsia="宋体" w:cs="宋体"/>
                <w:color w:val="auto"/>
                <w:highlight w:val="none"/>
                <w:lang w:eastAsia="zh-CN"/>
              </w:rPr>
              <w:t>磋商文件</w:t>
            </w:r>
            <w:r>
              <w:rPr>
                <w:rFonts w:hint="eastAsia" w:ascii="宋体" w:hAnsi="宋体" w:cs="宋体"/>
                <w:color w:val="auto"/>
                <w:highlight w:val="none"/>
              </w:rPr>
              <w:t>的实质性条款的响应性</w:t>
            </w:r>
          </w:p>
        </w:tc>
        <w:tc>
          <w:tcPr>
            <w:tcW w:w="5032" w:type="dxa"/>
            <w:tcBorders>
              <w:top w:val="outset" w:color="auto" w:sz="6" w:space="0"/>
              <w:left w:val="outset" w:color="auto" w:sz="6" w:space="0"/>
              <w:bottom w:val="outset" w:color="auto" w:sz="6" w:space="0"/>
              <w:right w:val="outset" w:color="auto" w:sz="6" w:space="0"/>
            </w:tcBorders>
            <w:vAlign w:val="center"/>
          </w:tcPr>
          <w:p w14:paraId="69B06955">
            <w:pPr>
              <w:jc w:val="left"/>
              <w:rPr>
                <w:rFonts w:hint="eastAsia" w:ascii="宋体" w:hAnsi="宋体" w:cs="宋体"/>
                <w:color w:val="auto"/>
                <w:highlight w:val="none"/>
              </w:rPr>
            </w:pPr>
            <w:r>
              <w:rPr>
                <w:rFonts w:hint="eastAsia" w:ascii="宋体" w:hAnsi="宋体" w:cs="宋体"/>
                <w:color w:val="auto"/>
                <w:highlight w:val="none"/>
              </w:rPr>
              <w:t>符合</w:t>
            </w:r>
            <w:r>
              <w:rPr>
                <w:rFonts w:hint="eastAsia" w:ascii="宋体" w:hAnsi="宋体" w:eastAsia="宋体" w:cs="宋体"/>
                <w:color w:val="auto"/>
                <w:highlight w:val="none"/>
                <w:lang w:eastAsia="zh-CN"/>
              </w:rPr>
              <w:t>磋商文件</w:t>
            </w:r>
            <w:r>
              <w:rPr>
                <w:rFonts w:hint="eastAsia" w:ascii="宋体" w:hAnsi="宋体" w:cs="宋体"/>
                <w:color w:val="auto"/>
                <w:highlight w:val="none"/>
              </w:rPr>
              <w:t>规定</w:t>
            </w:r>
          </w:p>
        </w:tc>
      </w:tr>
    </w:tbl>
    <w:p w14:paraId="4CC6EE4E">
      <w:pPr>
        <w:numPr>
          <w:ilvl w:val="0"/>
          <w:numId w:val="5"/>
        </w:numPr>
        <w:spacing w:line="500" w:lineRule="exact"/>
        <w:ind w:firstLine="420"/>
        <w:rPr>
          <w:rFonts w:hint="eastAsia" w:ascii="宋体" w:hAnsi="宋体" w:eastAsia="宋体" w:cs="宋体"/>
          <w:b/>
          <w:bCs/>
          <w:color w:val="auto"/>
          <w:highlight w:val="none"/>
        </w:rPr>
      </w:pPr>
      <w:r>
        <w:rPr>
          <w:rFonts w:hint="eastAsia" w:ascii="宋体" w:hAnsi="宋体" w:eastAsia="宋体" w:cs="宋体"/>
          <w:b/>
          <w:color w:val="auto"/>
          <w:highlight w:val="none"/>
        </w:rPr>
        <w:t>详细评审。</w:t>
      </w:r>
      <w:r>
        <w:rPr>
          <w:rFonts w:hint="eastAsia" w:ascii="宋体" w:hAnsi="宋体" w:eastAsia="宋体" w:cs="宋体"/>
          <w:bCs/>
          <w:color w:val="auto"/>
          <w:highlight w:val="none"/>
        </w:rPr>
        <w:t>磋商小组按照</w:t>
      </w:r>
      <w:r>
        <w:rPr>
          <w:rFonts w:hint="eastAsia" w:ascii="宋体" w:hAnsi="宋体" w:eastAsia="宋体" w:cs="宋体"/>
          <w:bCs/>
          <w:color w:val="auto"/>
          <w:highlight w:val="none"/>
          <w:lang w:eastAsia="zh-CN"/>
        </w:rPr>
        <w:t>磋商文件</w:t>
      </w:r>
      <w:r>
        <w:rPr>
          <w:rFonts w:hint="eastAsia" w:ascii="宋体" w:hAnsi="宋体" w:eastAsia="宋体" w:cs="宋体"/>
          <w:bCs/>
          <w:color w:val="auto"/>
          <w:highlight w:val="none"/>
        </w:rPr>
        <w:t>规定的评分标准，对各响应文件进行详细评审打分。磋商小组组长对各评审专家的打分情况进行复核无误后汇总。</w:t>
      </w:r>
    </w:p>
    <w:p w14:paraId="7E38318C">
      <w:pPr>
        <w:rPr>
          <w:rFonts w:hint="eastAsia" w:ascii="宋体" w:hAnsi="宋体" w:eastAsia="宋体" w:cs="宋体"/>
          <w:b/>
          <w:bCs w:val="0"/>
          <w:color w:val="auto"/>
          <w:highlight w:val="none"/>
        </w:rPr>
      </w:pPr>
      <w:r>
        <w:rPr>
          <w:rFonts w:hint="eastAsia" w:ascii="宋体" w:hAnsi="宋体" w:eastAsia="宋体" w:cs="宋体"/>
          <w:b/>
          <w:bCs w:val="0"/>
          <w:color w:val="auto"/>
          <w:highlight w:val="none"/>
        </w:rPr>
        <w:br w:type="page"/>
      </w:r>
    </w:p>
    <w:tbl>
      <w:tblPr>
        <w:tblStyle w:val="63"/>
        <w:tblW w:w="9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4"/>
        <w:gridCol w:w="1860"/>
        <w:gridCol w:w="6504"/>
      </w:tblGrid>
      <w:tr w14:paraId="3B12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1144" w:type="dxa"/>
            <w:tcMar>
              <w:top w:w="10" w:type="dxa"/>
              <w:left w:w="10" w:type="dxa"/>
              <w:right w:w="10" w:type="dxa"/>
            </w:tcMar>
            <w:vAlign w:val="center"/>
          </w:tcPr>
          <w:p w14:paraId="5BAE1FAD">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评分因素</w:t>
            </w:r>
          </w:p>
        </w:tc>
        <w:tc>
          <w:tcPr>
            <w:tcW w:w="8364" w:type="dxa"/>
            <w:gridSpan w:val="2"/>
            <w:tcMar>
              <w:top w:w="10" w:type="dxa"/>
              <w:left w:w="10" w:type="dxa"/>
              <w:right w:w="10" w:type="dxa"/>
            </w:tcMar>
            <w:vAlign w:val="center"/>
          </w:tcPr>
          <w:p w14:paraId="041C8957">
            <w:pPr>
              <w:widowControl/>
              <w:jc w:val="center"/>
              <w:textAlignment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bidi="ar"/>
              </w:rPr>
              <w:t>评 分 标 准</w:t>
            </w:r>
          </w:p>
        </w:tc>
      </w:tr>
      <w:tr w14:paraId="2C1D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9508" w:type="dxa"/>
            <w:gridSpan w:val="3"/>
            <w:tcMar>
              <w:top w:w="10" w:type="dxa"/>
              <w:left w:w="10" w:type="dxa"/>
              <w:right w:w="10" w:type="dxa"/>
            </w:tcMar>
            <w:vAlign w:val="center"/>
          </w:tcPr>
          <w:p w14:paraId="5D030B33">
            <w:pPr>
              <w:widowControl/>
              <w:jc w:val="center"/>
              <w:textAlignment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一、价格部分（</w:t>
            </w:r>
            <w:r>
              <w:rPr>
                <w:rFonts w:hint="eastAsia" w:ascii="宋体" w:hAnsi="宋体" w:eastAsia="宋体" w:cs="宋体"/>
                <w:b/>
                <w:color w:val="auto"/>
                <w:sz w:val="24"/>
                <w:szCs w:val="24"/>
                <w:highlight w:val="none"/>
                <w:lang w:val="en-US" w:eastAsia="zh-CN" w:bidi="ar"/>
              </w:rPr>
              <w:t>10</w:t>
            </w:r>
            <w:r>
              <w:rPr>
                <w:rFonts w:hint="eastAsia" w:ascii="宋体" w:hAnsi="宋体" w:eastAsia="宋体" w:cs="宋体"/>
                <w:b/>
                <w:color w:val="auto"/>
                <w:sz w:val="24"/>
                <w:szCs w:val="24"/>
                <w:highlight w:val="none"/>
                <w:lang w:bidi="ar"/>
              </w:rPr>
              <w:t>分）</w:t>
            </w:r>
          </w:p>
        </w:tc>
      </w:tr>
      <w:tr w14:paraId="3AA7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144" w:type="dxa"/>
            <w:tcMar>
              <w:top w:w="10" w:type="dxa"/>
              <w:left w:w="10" w:type="dxa"/>
              <w:right w:w="10" w:type="dxa"/>
            </w:tcMar>
            <w:vAlign w:val="center"/>
          </w:tcPr>
          <w:p w14:paraId="129B7C88">
            <w:pPr>
              <w:widowControl/>
              <w:jc w:val="center"/>
              <w:textAlignment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价格分</w:t>
            </w:r>
          </w:p>
          <w:p w14:paraId="503DB39F">
            <w:pPr>
              <w:widowControl/>
              <w:jc w:val="center"/>
              <w:textAlignment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w:t>
            </w:r>
            <w:r>
              <w:rPr>
                <w:rFonts w:hint="eastAsia" w:ascii="宋体" w:hAnsi="宋体" w:eastAsia="宋体" w:cs="宋体"/>
                <w:b/>
                <w:color w:val="auto"/>
                <w:sz w:val="24"/>
                <w:szCs w:val="24"/>
                <w:highlight w:val="none"/>
                <w:lang w:val="en-US" w:eastAsia="zh-CN" w:bidi="ar"/>
              </w:rPr>
              <w:t>10</w:t>
            </w:r>
            <w:r>
              <w:rPr>
                <w:rFonts w:hint="eastAsia" w:ascii="宋体" w:hAnsi="宋体" w:eastAsia="宋体" w:cs="宋体"/>
                <w:b/>
                <w:color w:val="auto"/>
                <w:sz w:val="24"/>
                <w:szCs w:val="24"/>
                <w:highlight w:val="none"/>
                <w:lang w:bidi="ar"/>
              </w:rPr>
              <w:t>分）</w:t>
            </w:r>
          </w:p>
        </w:tc>
        <w:tc>
          <w:tcPr>
            <w:tcW w:w="8364" w:type="dxa"/>
            <w:gridSpan w:val="2"/>
            <w:tcMar>
              <w:top w:w="10" w:type="dxa"/>
              <w:left w:w="10" w:type="dxa"/>
              <w:right w:w="10" w:type="dxa"/>
            </w:tcMar>
          </w:tcPr>
          <w:p w14:paraId="24801736">
            <w:pPr>
              <w:textAlignment w:val="top"/>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价格分采用低价优先法计算，即满足招标文件要求且报价最低的供应商报价为评标基准价，其价格分为满分</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分，其它供应商的价格分统一按照以下公式计算：投标报价得分=(评标基准价/该供应商的投标报价)×</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分。</w:t>
            </w:r>
          </w:p>
        </w:tc>
      </w:tr>
      <w:tr w14:paraId="27B7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9508" w:type="dxa"/>
            <w:gridSpan w:val="3"/>
            <w:tcMar>
              <w:top w:w="10" w:type="dxa"/>
              <w:left w:w="10" w:type="dxa"/>
              <w:right w:w="10" w:type="dxa"/>
            </w:tcMar>
            <w:vAlign w:val="center"/>
          </w:tcPr>
          <w:p w14:paraId="1138F6F7">
            <w:pPr>
              <w:widowControl/>
              <w:jc w:val="center"/>
              <w:textAlignment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二、技术部分（</w:t>
            </w:r>
            <w:r>
              <w:rPr>
                <w:rFonts w:hint="eastAsia" w:ascii="宋体" w:hAnsi="宋体" w:eastAsia="宋体" w:cs="宋体"/>
                <w:b/>
                <w:color w:val="auto"/>
                <w:sz w:val="24"/>
                <w:szCs w:val="24"/>
                <w:highlight w:val="none"/>
                <w:lang w:val="en-US" w:eastAsia="zh-CN" w:bidi="ar"/>
              </w:rPr>
              <w:t>74</w:t>
            </w:r>
            <w:r>
              <w:rPr>
                <w:rFonts w:hint="eastAsia" w:ascii="宋体" w:hAnsi="宋体" w:eastAsia="宋体" w:cs="宋体"/>
                <w:b/>
                <w:color w:val="auto"/>
                <w:sz w:val="24"/>
                <w:szCs w:val="24"/>
                <w:highlight w:val="none"/>
                <w:lang w:bidi="ar"/>
              </w:rPr>
              <w:t>分）</w:t>
            </w:r>
          </w:p>
        </w:tc>
      </w:tr>
      <w:tr w14:paraId="3D33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144" w:type="dxa"/>
            <w:vMerge w:val="restart"/>
            <w:tcMar>
              <w:top w:w="10" w:type="dxa"/>
              <w:left w:w="10" w:type="dxa"/>
              <w:right w:w="10" w:type="dxa"/>
            </w:tcMar>
            <w:vAlign w:val="center"/>
          </w:tcPr>
          <w:p w14:paraId="518BB919">
            <w:pPr>
              <w:widowControl/>
              <w:jc w:val="center"/>
              <w:textAlignment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技术方案（</w:t>
            </w:r>
            <w:r>
              <w:rPr>
                <w:rFonts w:hint="eastAsia" w:ascii="宋体" w:hAnsi="宋体" w:eastAsia="宋体" w:cs="宋体"/>
                <w:b/>
                <w:color w:val="auto"/>
                <w:sz w:val="24"/>
                <w:szCs w:val="24"/>
                <w:highlight w:val="none"/>
                <w:lang w:val="en-US" w:eastAsia="zh-CN" w:bidi="ar"/>
              </w:rPr>
              <w:t>74</w:t>
            </w:r>
            <w:r>
              <w:rPr>
                <w:rFonts w:hint="eastAsia" w:ascii="宋体" w:hAnsi="宋体" w:eastAsia="宋体" w:cs="宋体"/>
                <w:b/>
                <w:color w:val="auto"/>
                <w:sz w:val="24"/>
                <w:szCs w:val="24"/>
                <w:highlight w:val="none"/>
                <w:lang w:bidi="ar"/>
              </w:rPr>
              <w:t>分）</w:t>
            </w:r>
          </w:p>
          <w:p w14:paraId="6494DBE1">
            <w:pPr>
              <w:widowControl/>
              <w:jc w:val="center"/>
              <w:textAlignment w:val="center"/>
              <w:rPr>
                <w:rFonts w:hint="eastAsia" w:ascii="宋体" w:hAnsi="宋体" w:eastAsia="宋体" w:cs="宋体"/>
                <w:b/>
                <w:color w:val="auto"/>
                <w:sz w:val="24"/>
                <w:szCs w:val="24"/>
                <w:highlight w:val="none"/>
                <w:lang w:bidi="ar"/>
              </w:rPr>
            </w:pPr>
          </w:p>
        </w:tc>
        <w:tc>
          <w:tcPr>
            <w:tcW w:w="1860" w:type="dxa"/>
            <w:tcMar>
              <w:top w:w="10" w:type="dxa"/>
              <w:left w:w="10" w:type="dxa"/>
              <w:right w:w="10" w:type="dxa"/>
            </w:tcMar>
            <w:vAlign w:val="center"/>
          </w:tcPr>
          <w:p w14:paraId="1251BBBA">
            <w:pPr>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技术响应</w:t>
            </w:r>
          </w:p>
          <w:p w14:paraId="53CD3149">
            <w:pPr>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rPr>
              <w:t>44.5</w:t>
            </w:r>
            <w:r>
              <w:rPr>
                <w:rFonts w:hint="eastAsia" w:ascii="宋体" w:hAnsi="宋体" w:eastAsia="宋体" w:cs="宋体"/>
                <w:color w:val="auto"/>
                <w:sz w:val="24"/>
                <w:szCs w:val="24"/>
                <w:highlight w:val="none"/>
                <w:lang w:bidi="ar"/>
              </w:rPr>
              <w:t>分）</w:t>
            </w:r>
          </w:p>
        </w:tc>
        <w:tc>
          <w:tcPr>
            <w:tcW w:w="6504" w:type="dxa"/>
            <w:vAlign w:val="center"/>
          </w:tcPr>
          <w:p w14:paraId="41C75DD7">
            <w:pPr>
              <w:textAlignment w:val="center"/>
              <w:rPr>
                <w:rFonts w:hint="eastAsia" w:ascii="宋体" w:hAnsi="宋体" w:eastAsia="宋体" w:cs="宋体"/>
                <w:color w:val="auto"/>
                <w:sz w:val="24"/>
                <w:szCs w:val="24"/>
                <w:highlight w:val="none"/>
              </w:rPr>
            </w:pPr>
            <w:r>
              <w:rPr>
                <w:rFonts w:hint="eastAsia" w:ascii="宋体" w:hAnsi="宋体" w:eastAsia="宋体" w:cs="宋体"/>
                <w:color w:val="auto"/>
                <w:szCs w:val="24"/>
                <w:highlight w:val="none"/>
                <w:lang w:bidi="ar"/>
              </w:rPr>
              <w:t>根据投标产品对</w:t>
            </w:r>
            <w:r>
              <w:rPr>
                <w:rFonts w:hint="eastAsia" w:ascii="宋体" w:hAnsi="宋体" w:eastAsia="宋体" w:cs="宋体"/>
                <w:color w:val="auto"/>
                <w:szCs w:val="24"/>
                <w:highlight w:val="none"/>
                <w:lang w:val="en-US" w:eastAsia="zh-CN" w:bidi="ar"/>
              </w:rPr>
              <w:t>磋商</w:t>
            </w:r>
            <w:r>
              <w:rPr>
                <w:rFonts w:hint="eastAsia" w:ascii="宋体" w:hAnsi="宋体" w:eastAsia="宋体" w:cs="宋体"/>
                <w:color w:val="auto"/>
                <w:szCs w:val="24"/>
                <w:highlight w:val="none"/>
                <w:lang w:bidi="ar"/>
              </w:rPr>
              <w:t>文件技术参数的响应程度：全部响应即满足</w:t>
            </w:r>
            <w:r>
              <w:rPr>
                <w:rFonts w:hint="eastAsia" w:ascii="宋体" w:hAnsi="宋体" w:eastAsia="宋体" w:cs="宋体"/>
                <w:color w:val="auto"/>
                <w:szCs w:val="24"/>
                <w:highlight w:val="none"/>
                <w:lang w:val="en-US" w:eastAsia="zh-CN" w:bidi="ar"/>
              </w:rPr>
              <w:t>磋商</w:t>
            </w:r>
            <w:r>
              <w:rPr>
                <w:rFonts w:hint="eastAsia" w:ascii="宋体" w:hAnsi="宋体" w:eastAsia="宋体" w:cs="宋体"/>
                <w:color w:val="auto"/>
                <w:szCs w:val="24"/>
                <w:highlight w:val="none"/>
                <w:lang w:bidi="ar"/>
              </w:rPr>
              <w:t>文件技术参数要求的得</w:t>
            </w:r>
            <w:r>
              <w:rPr>
                <w:rFonts w:hint="eastAsia" w:ascii="宋体" w:hAnsi="宋体" w:eastAsia="宋体" w:cs="宋体"/>
                <w:color w:val="auto"/>
                <w:szCs w:val="24"/>
                <w:highlight w:val="none"/>
                <w:lang w:val="en-US" w:eastAsia="zh-CN" w:bidi="ar"/>
              </w:rPr>
              <w:t>44.5</w:t>
            </w:r>
            <w:r>
              <w:rPr>
                <w:rFonts w:hint="eastAsia" w:ascii="宋体" w:hAnsi="宋体" w:eastAsia="宋体" w:cs="宋体"/>
                <w:color w:val="auto"/>
                <w:szCs w:val="24"/>
                <w:highlight w:val="none"/>
                <w:lang w:bidi="ar"/>
              </w:rPr>
              <w:t>分，带▲（即重要参数）的参数负偏离的每项扣</w:t>
            </w:r>
            <w:r>
              <w:rPr>
                <w:rFonts w:hint="eastAsia" w:ascii="宋体" w:hAnsi="宋体" w:eastAsia="宋体" w:cs="宋体"/>
                <w:color w:val="auto"/>
                <w:szCs w:val="24"/>
                <w:highlight w:val="none"/>
                <w:lang w:val="en-US" w:eastAsia="zh-CN" w:bidi="ar"/>
              </w:rPr>
              <w:t>0.5</w:t>
            </w:r>
            <w:r>
              <w:rPr>
                <w:rFonts w:hint="eastAsia" w:ascii="宋体" w:hAnsi="宋体" w:eastAsia="宋体" w:cs="宋体"/>
                <w:color w:val="auto"/>
                <w:szCs w:val="24"/>
                <w:highlight w:val="none"/>
                <w:lang w:bidi="ar"/>
              </w:rPr>
              <w:t>分，一般参数有负偏离的每项扣</w:t>
            </w:r>
            <w:r>
              <w:rPr>
                <w:rFonts w:hint="eastAsia" w:ascii="宋体" w:hAnsi="宋体" w:eastAsia="宋体" w:cs="宋体"/>
                <w:color w:val="auto"/>
                <w:szCs w:val="24"/>
                <w:highlight w:val="none"/>
                <w:lang w:val="en-US" w:eastAsia="zh-CN" w:bidi="ar"/>
              </w:rPr>
              <w:t>0.1</w:t>
            </w:r>
            <w:r>
              <w:rPr>
                <w:rFonts w:hint="eastAsia" w:ascii="宋体" w:hAnsi="宋体" w:eastAsia="宋体" w:cs="宋体"/>
                <w:color w:val="auto"/>
                <w:szCs w:val="24"/>
                <w:highlight w:val="none"/>
                <w:lang w:bidi="ar"/>
              </w:rPr>
              <w:t>分，扣完为止。</w:t>
            </w:r>
          </w:p>
        </w:tc>
      </w:tr>
      <w:tr w14:paraId="7308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144" w:type="dxa"/>
            <w:vMerge w:val="continue"/>
            <w:tcMar>
              <w:top w:w="10" w:type="dxa"/>
              <w:left w:w="10" w:type="dxa"/>
              <w:right w:w="10" w:type="dxa"/>
            </w:tcMar>
            <w:vAlign w:val="center"/>
          </w:tcPr>
          <w:p w14:paraId="0608D67F">
            <w:pPr>
              <w:widowControl/>
              <w:jc w:val="center"/>
              <w:textAlignment w:val="center"/>
              <w:rPr>
                <w:rFonts w:hint="eastAsia" w:ascii="宋体" w:hAnsi="宋体" w:eastAsia="宋体" w:cs="宋体"/>
                <w:b/>
                <w:color w:val="auto"/>
                <w:sz w:val="24"/>
                <w:szCs w:val="24"/>
                <w:highlight w:val="none"/>
                <w:lang w:bidi="ar"/>
              </w:rPr>
            </w:pPr>
          </w:p>
        </w:tc>
        <w:tc>
          <w:tcPr>
            <w:tcW w:w="1860" w:type="dxa"/>
            <w:tcMar>
              <w:top w:w="10" w:type="dxa"/>
              <w:left w:w="10" w:type="dxa"/>
              <w:right w:w="10" w:type="dxa"/>
            </w:tcMar>
            <w:vAlign w:val="center"/>
          </w:tcPr>
          <w:p w14:paraId="288F4B39">
            <w:pPr>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整体设计方案</w:t>
            </w:r>
          </w:p>
          <w:p w14:paraId="38A01232">
            <w:pPr>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w:t>
            </w:r>
            <w:r>
              <w:rPr>
                <w:rFonts w:hint="default"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c>
          <w:tcPr>
            <w:tcW w:w="6504" w:type="dxa"/>
            <w:vAlign w:val="center"/>
          </w:tcPr>
          <w:p w14:paraId="2806A02F">
            <w:pPr>
              <w:textAlignment w:val="center"/>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评委根据</w:t>
            </w:r>
            <w:r>
              <w:rPr>
                <w:rFonts w:hint="eastAsia" w:ascii="宋体" w:hAnsi="宋体" w:eastAsia="宋体" w:cs="宋体"/>
                <w:color w:val="auto"/>
                <w:sz w:val="24"/>
                <w:szCs w:val="24"/>
                <w:highlight w:val="none"/>
                <w:lang w:bidi="ar"/>
              </w:rPr>
              <w:t>供应</w:t>
            </w:r>
            <w:r>
              <w:rPr>
                <w:rFonts w:hint="eastAsia" w:ascii="宋体" w:hAnsi="宋体" w:eastAsia="宋体" w:cs="宋体"/>
                <w:color w:val="auto"/>
                <w:sz w:val="24"/>
                <w:szCs w:val="24"/>
                <w:highlight w:val="none"/>
                <w:lang w:val="en-US" w:eastAsia="zh-CN" w:bidi="ar"/>
              </w:rPr>
              <w:t>提供</w:t>
            </w:r>
            <w:r>
              <w:rPr>
                <w:rFonts w:hint="eastAsia" w:ascii="宋体" w:hAnsi="宋体" w:eastAsia="宋体" w:cs="宋体"/>
                <w:color w:val="auto"/>
                <w:sz w:val="24"/>
                <w:szCs w:val="24"/>
                <w:highlight w:val="none"/>
                <w:lang w:eastAsia="zh-CN" w:bidi="ar"/>
              </w:rPr>
              <w:t>的</w:t>
            </w:r>
            <w:r>
              <w:rPr>
                <w:rFonts w:hint="eastAsia" w:ascii="宋体" w:hAnsi="宋体" w:eastAsia="宋体" w:cs="宋体"/>
                <w:color w:val="auto"/>
                <w:sz w:val="24"/>
                <w:szCs w:val="24"/>
                <w:highlight w:val="none"/>
                <w:lang w:bidi="ar"/>
              </w:rPr>
              <w:t>项目总体目标、项目需求制定的总体设计</w:t>
            </w:r>
            <w:r>
              <w:rPr>
                <w:rFonts w:hint="eastAsia" w:ascii="宋体" w:hAnsi="宋体" w:eastAsia="宋体" w:cs="宋体"/>
                <w:color w:val="auto"/>
                <w:sz w:val="24"/>
                <w:szCs w:val="24"/>
                <w:highlight w:val="none"/>
                <w:lang w:val="en-US" w:eastAsia="zh-CN" w:bidi="ar"/>
              </w:rPr>
              <w:t>进行评审：</w:t>
            </w:r>
          </w:p>
          <w:p w14:paraId="18FE53A2">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设计方案科学、完整、合理，符合有关技术架构、技术标准规范技术方案合理得</w:t>
            </w:r>
            <w:r>
              <w:rPr>
                <w:rFonts w:hint="default" w:ascii="宋体" w:hAnsi="宋体" w:eastAsia="宋体" w:cs="宋体"/>
                <w:color w:val="auto"/>
                <w:sz w:val="24"/>
                <w:szCs w:val="24"/>
                <w:highlight w:val="none"/>
                <w:lang w:val="en-US" w:bidi="ar"/>
              </w:rPr>
              <w:t>10</w:t>
            </w:r>
            <w:r>
              <w:rPr>
                <w:rFonts w:hint="eastAsia" w:ascii="宋体" w:hAnsi="宋体" w:eastAsia="宋体" w:cs="宋体"/>
                <w:color w:val="auto"/>
                <w:sz w:val="24"/>
                <w:szCs w:val="24"/>
                <w:highlight w:val="none"/>
                <w:lang w:bidi="ar"/>
              </w:rPr>
              <w:t>分；</w:t>
            </w:r>
          </w:p>
          <w:p w14:paraId="5F339BE0">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总体设计方案较为完整、合理，符合有关技术架构、技术标准规范得</w:t>
            </w:r>
            <w:r>
              <w:rPr>
                <w:rFonts w:hint="default" w:ascii="宋体" w:hAnsi="宋体" w:eastAsia="宋体" w:cs="宋体"/>
                <w:color w:val="auto"/>
                <w:sz w:val="24"/>
                <w:szCs w:val="24"/>
                <w:highlight w:val="none"/>
                <w:lang w:val="en-US" w:bidi="ar"/>
              </w:rPr>
              <w:t>7</w:t>
            </w:r>
            <w:r>
              <w:rPr>
                <w:rFonts w:hint="eastAsia" w:ascii="宋体" w:hAnsi="宋体" w:eastAsia="宋体" w:cs="宋体"/>
                <w:color w:val="auto"/>
                <w:sz w:val="24"/>
                <w:szCs w:val="24"/>
                <w:highlight w:val="none"/>
                <w:lang w:bidi="ar"/>
              </w:rPr>
              <w:t>分；</w:t>
            </w:r>
          </w:p>
          <w:p w14:paraId="00AE30DF">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Cs w:val="24"/>
                <w:highlight w:val="none"/>
                <w:lang w:bidi="ar"/>
              </w:rPr>
              <w:t>设计方案</w:t>
            </w:r>
            <w:r>
              <w:rPr>
                <w:rFonts w:hint="eastAsia"/>
                <w:color w:val="auto"/>
                <w:sz w:val="24"/>
                <w:szCs w:val="24"/>
                <w:highlight w:val="none"/>
              </w:rPr>
              <w:t>基本合理</w:t>
            </w:r>
            <w:r>
              <w:rPr>
                <w:rFonts w:hint="eastAsia" w:ascii="宋体" w:hAnsi="宋体" w:eastAsia="宋体" w:cs="宋体"/>
                <w:color w:val="auto"/>
                <w:szCs w:val="24"/>
                <w:highlight w:val="none"/>
                <w:lang w:bidi="ar"/>
              </w:rPr>
              <w:t>，</w:t>
            </w:r>
            <w:r>
              <w:rPr>
                <w:rFonts w:hint="eastAsia" w:eastAsia="宋体"/>
                <w:color w:val="auto"/>
                <w:sz w:val="24"/>
                <w:szCs w:val="24"/>
                <w:highlight w:val="none"/>
                <w:lang w:val="en-US" w:eastAsia="zh-CN"/>
              </w:rPr>
              <w:t>基本</w:t>
            </w:r>
            <w:r>
              <w:rPr>
                <w:rFonts w:hint="eastAsia" w:ascii="宋体" w:hAnsi="宋体" w:eastAsia="宋体" w:cs="宋体"/>
                <w:color w:val="auto"/>
                <w:szCs w:val="24"/>
                <w:highlight w:val="none"/>
                <w:lang w:bidi="ar"/>
              </w:rPr>
              <w:t>符合有关技术架构、技术标准规范得</w:t>
            </w:r>
            <w:r>
              <w:rPr>
                <w:rFonts w:hint="eastAsia" w:ascii="宋体" w:hAnsi="宋体" w:eastAsia="宋体" w:cs="宋体"/>
                <w:color w:val="auto"/>
                <w:szCs w:val="24"/>
                <w:highlight w:val="none"/>
                <w:lang w:val="en-US" w:eastAsia="zh-CN" w:bidi="ar"/>
              </w:rPr>
              <w:t>4</w:t>
            </w:r>
            <w:r>
              <w:rPr>
                <w:rFonts w:hint="eastAsia" w:ascii="宋体" w:hAnsi="宋体" w:eastAsia="宋体" w:cs="宋体"/>
                <w:color w:val="auto"/>
                <w:szCs w:val="24"/>
                <w:highlight w:val="none"/>
                <w:lang w:bidi="ar"/>
              </w:rPr>
              <w:t>分；</w:t>
            </w:r>
          </w:p>
          <w:p w14:paraId="10446BBC">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总体设计方案一般，不符合有关技术架构、技术标准规范得</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分；</w:t>
            </w:r>
          </w:p>
          <w:p w14:paraId="7235F07B">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未提供不得分。</w:t>
            </w:r>
          </w:p>
        </w:tc>
      </w:tr>
      <w:tr w14:paraId="001A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144" w:type="dxa"/>
            <w:vMerge w:val="continue"/>
            <w:tcMar>
              <w:top w:w="10" w:type="dxa"/>
              <w:left w:w="10" w:type="dxa"/>
              <w:right w:w="10" w:type="dxa"/>
            </w:tcMar>
            <w:vAlign w:val="center"/>
          </w:tcPr>
          <w:p w14:paraId="4558170D">
            <w:pPr>
              <w:widowControl/>
              <w:jc w:val="center"/>
              <w:textAlignment w:val="center"/>
              <w:rPr>
                <w:rFonts w:hint="eastAsia" w:ascii="宋体" w:hAnsi="宋体" w:eastAsia="宋体" w:cs="宋体"/>
                <w:b/>
                <w:color w:val="auto"/>
                <w:sz w:val="24"/>
                <w:szCs w:val="24"/>
                <w:highlight w:val="none"/>
                <w:lang w:bidi="ar"/>
              </w:rPr>
            </w:pPr>
          </w:p>
        </w:tc>
        <w:tc>
          <w:tcPr>
            <w:tcW w:w="1860" w:type="dxa"/>
            <w:tcMar>
              <w:top w:w="10" w:type="dxa"/>
              <w:left w:w="10" w:type="dxa"/>
              <w:right w:w="10" w:type="dxa"/>
            </w:tcMar>
            <w:vAlign w:val="center"/>
          </w:tcPr>
          <w:p w14:paraId="29C2B5E4">
            <w:pPr>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平滑升级方案</w:t>
            </w:r>
          </w:p>
          <w:p w14:paraId="192F9E6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分）</w:t>
            </w:r>
          </w:p>
        </w:tc>
        <w:tc>
          <w:tcPr>
            <w:tcW w:w="6504" w:type="dxa"/>
            <w:vAlign w:val="center"/>
          </w:tcPr>
          <w:p w14:paraId="27F46906">
            <w:pP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升级过程需确保平滑升级，不造成业务重点、数据丢失</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考察其系统</w:t>
            </w:r>
            <w:r>
              <w:rPr>
                <w:rFonts w:hint="eastAsia" w:ascii="宋体" w:hAnsi="宋体" w:eastAsia="宋体" w:cs="宋体"/>
                <w:color w:val="auto"/>
                <w:sz w:val="24"/>
                <w:szCs w:val="24"/>
                <w:highlight w:val="none"/>
                <w:lang w:val="en-US" w:eastAsia="zh-CN" w:bidi="ar"/>
              </w:rPr>
              <w:t>平滑升级</w:t>
            </w:r>
            <w:r>
              <w:rPr>
                <w:rFonts w:hint="eastAsia" w:ascii="宋体" w:hAnsi="宋体" w:eastAsia="宋体" w:cs="宋体"/>
                <w:color w:val="auto"/>
                <w:sz w:val="24"/>
                <w:szCs w:val="24"/>
                <w:highlight w:val="none"/>
                <w:lang w:bidi="ar"/>
              </w:rPr>
              <w:t>方案是否具有完整性、科学性、合理性和可执行性等，评委会根据上述要求进行综合评定</w:t>
            </w:r>
            <w:r>
              <w:rPr>
                <w:rFonts w:hint="eastAsia" w:ascii="宋体" w:hAnsi="宋体" w:eastAsia="宋体" w:cs="宋体"/>
                <w:color w:val="auto"/>
                <w:sz w:val="24"/>
                <w:szCs w:val="24"/>
                <w:highlight w:val="none"/>
                <w:lang w:eastAsia="zh-CN" w:bidi="ar"/>
              </w:rPr>
              <w:t>：</w:t>
            </w:r>
          </w:p>
          <w:p w14:paraId="20FB2151">
            <w:pP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方案完整、针对性强、可行性强的</w:t>
            </w:r>
            <w:r>
              <w:rPr>
                <w:rFonts w:hint="eastAsia" w:ascii="宋体" w:hAnsi="宋体" w:eastAsia="宋体" w:cs="宋体"/>
                <w:color w:val="auto"/>
                <w:sz w:val="24"/>
                <w:szCs w:val="24"/>
                <w:highlight w:val="none"/>
                <w:lang w:bidi="ar"/>
              </w:rPr>
              <w:t>得</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分</w:t>
            </w:r>
            <w:r>
              <w:rPr>
                <w:rFonts w:hint="eastAsia" w:ascii="宋体" w:hAnsi="宋体" w:eastAsia="宋体" w:cs="宋体"/>
                <w:color w:val="auto"/>
                <w:sz w:val="24"/>
                <w:szCs w:val="24"/>
                <w:highlight w:val="none"/>
                <w:lang w:eastAsia="zh-CN" w:bidi="ar"/>
              </w:rPr>
              <w:t>；</w:t>
            </w:r>
          </w:p>
          <w:p w14:paraId="6859183D">
            <w:pP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方案较完整、针对性较强、可行性较强的</w:t>
            </w:r>
            <w:r>
              <w:rPr>
                <w:rFonts w:hint="eastAsia" w:ascii="宋体" w:hAnsi="宋体" w:eastAsia="宋体" w:cs="宋体"/>
                <w:color w:val="auto"/>
                <w:sz w:val="24"/>
                <w:szCs w:val="24"/>
                <w:highlight w:val="none"/>
                <w:lang w:bidi="ar"/>
              </w:rPr>
              <w:t>得</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分</w:t>
            </w:r>
            <w:r>
              <w:rPr>
                <w:rFonts w:hint="eastAsia" w:ascii="宋体" w:hAnsi="宋体" w:eastAsia="宋体" w:cs="宋体"/>
                <w:color w:val="auto"/>
                <w:sz w:val="24"/>
                <w:szCs w:val="24"/>
                <w:highlight w:val="none"/>
                <w:lang w:eastAsia="zh-CN" w:bidi="ar"/>
              </w:rPr>
              <w:t>；</w:t>
            </w:r>
          </w:p>
          <w:p w14:paraId="19E4713F">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方案不完整、针对性不强、可行性不强的</w:t>
            </w:r>
            <w:r>
              <w:rPr>
                <w:rFonts w:hint="eastAsia" w:ascii="宋体" w:hAnsi="宋体" w:eastAsia="宋体" w:cs="宋体"/>
                <w:color w:val="auto"/>
                <w:sz w:val="24"/>
                <w:szCs w:val="24"/>
                <w:highlight w:val="none"/>
                <w:lang w:bidi="ar"/>
              </w:rPr>
              <w:t>得</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分</w:t>
            </w:r>
            <w:r>
              <w:rPr>
                <w:rFonts w:hint="eastAsia" w:ascii="宋体" w:hAnsi="宋体" w:eastAsia="宋体" w:cs="宋体"/>
                <w:color w:val="auto"/>
                <w:sz w:val="24"/>
                <w:szCs w:val="24"/>
                <w:highlight w:val="none"/>
                <w:lang w:eastAsia="zh-CN" w:bidi="ar"/>
              </w:rPr>
              <w:t>；</w:t>
            </w:r>
          </w:p>
          <w:p w14:paraId="6B237199">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未提供不得分。</w:t>
            </w:r>
          </w:p>
        </w:tc>
      </w:tr>
      <w:tr w14:paraId="7251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1144" w:type="dxa"/>
            <w:vMerge w:val="continue"/>
            <w:tcMar>
              <w:top w:w="10" w:type="dxa"/>
              <w:left w:w="10" w:type="dxa"/>
              <w:right w:w="10" w:type="dxa"/>
            </w:tcMar>
            <w:vAlign w:val="center"/>
          </w:tcPr>
          <w:p w14:paraId="0F738A00">
            <w:pPr>
              <w:widowControl/>
              <w:jc w:val="center"/>
              <w:textAlignment w:val="center"/>
              <w:rPr>
                <w:rFonts w:hint="eastAsia" w:ascii="宋体" w:hAnsi="宋体" w:eastAsia="宋体" w:cs="宋体"/>
                <w:b/>
                <w:color w:val="auto"/>
                <w:sz w:val="24"/>
                <w:szCs w:val="24"/>
                <w:highlight w:val="none"/>
                <w:lang w:bidi="ar"/>
              </w:rPr>
            </w:pPr>
          </w:p>
        </w:tc>
        <w:tc>
          <w:tcPr>
            <w:tcW w:w="1860" w:type="dxa"/>
            <w:tcMar>
              <w:top w:w="10" w:type="dxa"/>
              <w:left w:w="10" w:type="dxa"/>
              <w:right w:w="10" w:type="dxa"/>
            </w:tcMar>
            <w:vAlign w:val="center"/>
          </w:tcPr>
          <w:p w14:paraId="4F149F7F">
            <w:pPr>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售后服务方案</w:t>
            </w:r>
          </w:p>
          <w:p w14:paraId="6ADE1E54">
            <w:pPr>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9.5</w:t>
            </w:r>
            <w:r>
              <w:rPr>
                <w:rFonts w:hint="eastAsia" w:ascii="宋体" w:hAnsi="宋体" w:eastAsia="宋体" w:cs="宋体"/>
                <w:color w:val="auto"/>
                <w:sz w:val="24"/>
                <w:szCs w:val="24"/>
                <w:highlight w:val="none"/>
                <w:lang w:bidi="ar"/>
              </w:rPr>
              <w:t>分）</w:t>
            </w:r>
          </w:p>
        </w:tc>
        <w:tc>
          <w:tcPr>
            <w:tcW w:w="6504" w:type="dxa"/>
            <w:vAlign w:val="center"/>
          </w:tcPr>
          <w:p w14:paraId="526C632C">
            <w:pPr>
              <w:textAlignment w:val="center"/>
              <w:rPr>
                <w:rFonts w:hint="eastAsia" w:ascii="宋体" w:hAnsi="宋体" w:eastAsia="宋体" w:cs="宋体"/>
                <w:color w:val="auto"/>
                <w:kern w:val="2"/>
                <w:sz w:val="24"/>
                <w:szCs w:val="24"/>
                <w:highlight w:val="none"/>
                <w:lang w:val="zh-TW" w:eastAsia="zh-TW" w:bidi="ar"/>
              </w:rPr>
            </w:pPr>
            <w:r>
              <w:rPr>
                <w:rFonts w:hint="eastAsia" w:ascii="宋体" w:hAnsi="宋体" w:eastAsia="宋体" w:cs="宋体"/>
                <w:color w:val="auto"/>
                <w:kern w:val="2"/>
                <w:sz w:val="24"/>
                <w:szCs w:val="24"/>
                <w:highlight w:val="none"/>
                <w:lang w:val="en-US" w:eastAsia="zh-CN" w:bidi="ar"/>
              </w:rPr>
              <w:t>评委根据供应商</w:t>
            </w:r>
            <w:r>
              <w:rPr>
                <w:rFonts w:hint="eastAsia" w:ascii="宋体" w:hAnsi="宋体" w:eastAsia="宋体" w:cs="宋体"/>
                <w:color w:val="auto"/>
                <w:kern w:val="2"/>
                <w:sz w:val="24"/>
                <w:szCs w:val="24"/>
                <w:highlight w:val="none"/>
                <w:lang w:val="zh-TW" w:eastAsia="zh-TW" w:bidi="ar"/>
              </w:rPr>
              <w:t>提供</w:t>
            </w:r>
            <w:r>
              <w:rPr>
                <w:rFonts w:hint="eastAsia" w:ascii="宋体" w:hAnsi="宋体" w:eastAsia="宋体" w:cs="宋体"/>
                <w:color w:val="auto"/>
                <w:kern w:val="2"/>
                <w:sz w:val="24"/>
                <w:szCs w:val="24"/>
                <w:highlight w:val="none"/>
                <w:lang w:val="zh-TW" w:eastAsia="zh-CN" w:bidi="ar"/>
              </w:rPr>
              <w:t>的</w:t>
            </w:r>
            <w:r>
              <w:rPr>
                <w:rFonts w:hint="eastAsia" w:ascii="宋体" w:hAnsi="宋体" w:eastAsia="宋体" w:cs="宋体"/>
                <w:color w:val="auto"/>
                <w:kern w:val="2"/>
                <w:sz w:val="24"/>
                <w:szCs w:val="24"/>
                <w:highlight w:val="none"/>
                <w:lang w:val="zh-TW" w:eastAsia="zh-TW" w:bidi="ar"/>
              </w:rPr>
              <w:t>售后服务方案（如培训方案、管理制度、服务内容、专业技术人员保障等）</w:t>
            </w:r>
            <w:r>
              <w:rPr>
                <w:rFonts w:hint="eastAsia" w:ascii="宋体" w:hAnsi="宋体" w:eastAsia="宋体" w:cs="宋体"/>
                <w:color w:val="auto"/>
                <w:sz w:val="24"/>
                <w:szCs w:val="24"/>
                <w:highlight w:val="none"/>
                <w:lang w:val="en-US" w:eastAsia="zh-CN" w:bidi="ar"/>
              </w:rPr>
              <w:t>进行评审：</w:t>
            </w:r>
          </w:p>
          <w:p w14:paraId="0068E3B5">
            <w:pPr>
              <w:textAlignment w:val="center"/>
              <w:rPr>
                <w:rFonts w:hint="eastAsia" w:ascii="宋体" w:hAnsi="宋体" w:eastAsia="宋体" w:cs="宋体"/>
                <w:color w:val="auto"/>
                <w:kern w:val="2"/>
                <w:sz w:val="24"/>
                <w:szCs w:val="24"/>
                <w:highlight w:val="none"/>
                <w:lang w:val="zh-TW" w:eastAsia="zh-TW" w:bidi="ar"/>
              </w:rPr>
            </w:pPr>
            <w:r>
              <w:rPr>
                <w:rFonts w:hint="eastAsia" w:ascii="宋体" w:hAnsi="宋体" w:eastAsia="宋体" w:cs="宋体"/>
                <w:color w:val="auto"/>
                <w:kern w:val="2"/>
                <w:sz w:val="24"/>
                <w:szCs w:val="24"/>
                <w:highlight w:val="none"/>
                <w:lang w:val="zh-TW" w:eastAsia="zh-TW" w:bidi="ar"/>
              </w:rPr>
              <w:t>方案完整严谨，要素齐全的得</w:t>
            </w:r>
            <w:r>
              <w:rPr>
                <w:rFonts w:hint="eastAsia" w:ascii="宋体" w:hAnsi="宋体" w:eastAsia="宋体" w:cs="宋体"/>
                <w:color w:val="auto"/>
                <w:kern w:val="2"/>
                <w:sz w:val="24"/>
                <w:szCs w:val="24"/>
                <w:highlight w:val="none"/>
                <w:lang w:val="en-US" w:eastAsia="zh-CN" w:bidi="ar"/>
              </w:rPr>
              <w:t>9.5</w:t>
            </w:r>
            <w:r>
              <w:rPr>
                <w:rFonts w:hint="eastAsia" w:ascii="宋体" w:hAnsi="宋体" w:eastAsia="宋体" w:cs="宋体"/>
                <w:color w:val="auto"/>
                <w:kern w:val="2"/>
                <w:sz w:val="24"/>
                <w:szCs w:val="24"/>
                <w:highlight w:val="none"/>
                <w:lang w:val="zh-TW" w:eastAsia="zh-TW" w:bidi="ar"/>
              </w:rPr>
              <w:t>分；</w:t>
            </w:r>
          </w:p>
          <w:p w14:paraId="7A942290">
            <w:pPr>
              <w:textAlignment w:val="center"/>
              <w:rPr>
                <w:rFonts w:hint="eastAsia" w:ascii="宋体" w:hAnsi="宋体" w:eastAsia="宋体" w:cs="宋体"/>
                <w:color w:val="auto"/>
                <w:kern w:val="2"/>
                <w:sz w:val="24"/>
                <w:szCs w:val="24"/>
                <w:highlight w:val="none"/>
                <w:lang w:val="zh-TW" w:eastAsia="zh-TW" w:bidi="ar"/>
              </w:rPr>
            </w:pPr>
            <w:r>
              <w:rPr>
                <w:rFonts w:hint="eastAsia" w:ascii="宋体" w:hAnsi="宋体" w:eastAsia="宋体" w:cs="宋体"/>
                <w:color w:val="auto"/>
                <w:kern w:val="2"/>
                <w:sz w:val="24"/>
                <w:szCs w:val="24"/>
                <w:highlight w:val="none"/>
                <w:lang w:val="zh-TW" w:eastAsia="zh-TW" w:bidi="ar"/>
              </w:rPr>
              <w:t>方案较为完整严谨，要素基本齐全的得</w:t>
            </w:r>
            <w:r>
              <w:rPr>
                <w:rFonts w:hint="eastAsia" w:ascii="宋体" w:hAnsi="宋体" w:eastAsia="宋体" w:cs="宋体"/>
                <w:color w:val="auto"/>
                <w:kern w:val="2"/>
                <w:sz w:val="24"/>
                <w:szCs w:val="24"/>
                <w:highlight w:val="none"/>
                <w:lang w:val="en-US" w:eastAsia="zh-CN" w:bidi="ar"/>
              </w:rPr>
              <w:t>7.5</w:t>
            </w:r>
            <w:r>
              <w:rPr>
                <w:rFonts w:hint="eastAsia" w:ascii="宋体" w:hAnsi="宋体" w:eastAsia="宋体" w:cs="宋体"/>
                <w:color w:val="auto"/>
                <w:kern w:val="2"/>
                <w:sz w:val="24"/>
                <w:szCs w:val="24"/>
                <w:highlight w:val="none"/>
                <w:lang w:val="zh-TW" w:eastAsia="zh-TW" w:bidi="ar"/>
              </w:rPr>
              <w:t>分；</w:t>
            </w:r>
          </w:p>
          <w:p w14:paraId="6BBE43B7">
            <w:pPr>
              <w:textAlignment w:val="center"/>
              <w:rPr>
                <w:rFonts w:hint="eastAsia" w:ascii="宋体" w:hAnsi="宋体" w:eastAsia="宋体" w:cs="宋体"/>
                <w:color w:val="auto"/>
                <w:kern w:val="2"/>
                <w:sz w:val="24"/>
                <w:szCs w:val="24"/>
                <w:highlight w:val="none"/>
                <w:lang w:val="zh-TW" w:eastAsia="zh-CN" w:bidi="ar"/>
              </w:rPr>
            </w:pPr>
            <w:r>
              <w:rPr>
                <w:rFonts w:hint="eastAsia" w:ascii="宋体" w:hAnsi="宋体" w:eastAsia="宋体" w:cs="宋体"/>
                <w:color w:val="auto"/>
                <w:kern w:val="2"/>
                <w:sz w:val="24"/>
                <w:szCs w:val="24"/>
                <w:highlight w:val="none"/>
                <w:lang w:val="zh-TW" w:eastAsia="zh-TW" w:bidi="ar"/>
              </w:rPr>
              <w:t>方案要素有遗漏得</w:t>
            </w:r>
            <w:r>
              <w:rPr>
                <w:rFonts w:hint="eastAsia" w:ascii="宋体" w:hAnsi="宋体" w:eastAsia="宋体" w:cs="宋体"/>
                <w:color w:val="auto"/>
                <w:kern w:val="2"/>
                <w:sz w:val="24"/>
                <w:szCs w:val="24"/>
                <w:highlight w:val="none"/>
                <w:lang w:val="en-US" w:eastAsia="zh-CN" w:bidi="ar"/>
              </w:rPr>
              <w:t>5.5</w:t>
            </w:r>
            <w:r>
              <w:rPr>
                <w:rFonts w:hint="eastAsia" w:ascii="宋体" w:hAnsi="宋体" w:eastAsia="宋体" w:cs="宋体"/>
                <w:color w:val="auto"/>
                <w:kern w:val="2"/>
                <w:sz w:val="24"/>
                <w:szCs w:val="24"/>
                <w:highlight w:val="none"/>
                <w:lang w:val="zh-TW" w:eastAsia="zh-TW" w:bidi="ar"/>
              </w:rPr>
              <w:t>分</w:t>
            </w:r>
            <w:r>
              <w:rPr>
                <w:rFonts w:hint="eastAsia" w:ascii="宋体" w:hAnsi="宋体" w:eastAsia="宋体" w:cs="宋体"/>
                <w:color w:val="auto"/>
                <w:kern w:val="2"/>
                <w:sz w:val="24"/>
                <w:szCs w:val="24"/>
                <w:highlight w:val="none"/>
                <w:lang w:val="zh-TW" w:eastAsia="zh-CN" w:bidi="ar"/>
              </w:rPr>
              <w:t>；</w:t>
            </w:r>
          </w:p>
          <w:p w14:paraId="4A6165ED">
            <w:pP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未提供不得分。</w:t>
            </w:r>
          </w:p>
        </w:tc>
      </w:tr>
      <w:tr w14:paraId="2B69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9508" w:type="dxa"/>
            <w:gridSpan w:val="3"/>
            <w:noWrap/>
            <w:tcMar>
              <w:top w:w="10" w:type="dxa"/>
              <w:left w:w="10" w:type="dxa"/>
              <w:right w:w="10" w:type="dxa"/>
            </w:tcMar>
            <w:vAlign w:val="center"/>
          </w:tcPr>
          <w:p w14:paraId="1CB2D25D">
            <w:pPr>
              <w:jc w:val="center"/>
              <w:textAlignment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三、商务部分（</w:t>
            </w:r>
            <w:r>
              <w:rPr>
                <w:rFonts w:hint="eastAsia" w:ascii="宋体" w:hAnsi="宋体" w:eastAsia="宋体" w:cs="宋体"/>
                <w:b/>
                <w:color w:val="auto"/>
                <w:sz w:val="24"/>
                <w:szCs w:val="24"/>
                <w:highlight w:val="none"/>
                <w:lang w:val="en-US" w:eastAsia="zh-CN" w:bidi="ar"/>
              </w:rPr>
              <w:t>16</w:t>
            </w:r>
            <w:r>
              <w:rPr>
                <w:rFonts w:hint="eastAsia" w:ascii="宋体" w:hAnsi="宋体" w:eastAsia="宋体" w:cs="宋体"/>
                <w:b/>
                <w:color w:val="auto"/>
                <w:sz w:val="24"/>
                <w:szCs w:val="24"/>
                <w:highlight w:val="none"/>
                <w:lang w:bidi="ar"/>
              </w:rPr>
              <w:t>分）</w:t>
            </w:r>
          </w:p>
        </w:tc>
      </w:tr>
      <w:tr w14:paraId="75C0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1144" w:type="dxa"/>
            <w:noWrap/>
            <w:tcMar>
              <w:top w:w="10" w:type="dxa"/>
              <w:left w:w="10" w:type="dxa"/>
              <w:right w:w="10" w:type="dxa"/>
            </w:tcMar>
            <w:vAlign w:val="center"/>
          </w:tcPr>
          <w:p w14:paraId="4F914B8F">
            <w:pPr>
              <w:widowControl/>
              <w:jc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知识产权和研发能力</w:t>
            </w:r>
          </w:p>
          <w:p w14:paraId="2D38D349">
            <w:pPr>
              <w:jc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r>
              <w:rPr>
                <w:rFonts w:hint="eastAsia" w:ascii="宋体" w:hAnsi="宋体" w:eastAsia="宋体" w:cs="宋体"/>
                <w:b/>
                <w:color w:val="auto"/>
                <w:sz w:val="24"/>
                <w:szCs w:val="24"/>
                <w:highlight w:val="none"/>
                <w:lang w:val="en-US" w:eastAsia="zh-CN" w:bidi="ar"/>
              </w:rPr>
              <w:t>4</w:t>
            </w:r>
            <w:r>
              <w:rPr>
                <w:rFonts w:hint="eastAsia" w:ascii="宋体" w:hAnsi="宋体" w:eastAsia="宋体" w:cs="宋体"/>
                <w:b/>
                <w:color w:val="auto"/>
                <w:sz w:val="24"/>
                <w:szCs w:val="24"/>
                <w:highlight w:val="none"/>
                <w:lang w:bidi="ar"/>
              </w:rPr>
              <w:t>分）</w:t>
            </w:r>
          </w:p>
        </w:tc>
        <w:tc>
          <w:tcPr>
            <w:tcW w:w="8364" w:type="dxa"/>
            <w:gridSpan w:val="2"/>
            <w:tcMar>
              <w:top w:w="10" w:type="dxa"/>
              <w:left w:w="10" w:type="dxa"/>
              <w:right w:w="10" w:type="dxa"/>
            </w:tcMar>
            <w:vAlign w:val="center"/>
          </w:tcPr>
          <w:p w14:paraId="3A8E90D1">
            <w:pPr>
              <w:widowControl/>
              <w:spacing w:line="240" w:lineRule="auto"/>
              <w:jc w:val="left"/>
              <w:rPr>
                <w:rFonts w:hint="eastAsia" w:ascii="宋体" w:hAnsi="宋体" w:eastAsia="宋体" w:cs="宋体"/>
                <w:color w:val="auto"/>
                <w:kern w:val="0"/>
                <w:sz w:val="24"/>
                <w:szCs w:val="24"/>
                <w:highlight w:val="none"/>
                <w:u w:color="1E1E1E"/>
              </w:rPr>
            </w:pPr>
            <w:r>
              <w:rPr>
                <w:rFonts w:hint="eastAsia" w:ascii="宋体" w:hAnsi="宋体" w:eastAsia="宋体" w:cs="宋体"/>
                <w:color w:val="auto"/>
                <w:kern w:val="0"/>
                <w:sz w:val="24"/>
                <w:szCs w:val="24"/>
                <w:highlight w:val="none"/>
                <w:u w:color="1E1E1E"/>
                <w:lang w:val="zh-TW" w:bidi="ar"/>
              </w:rPr>
              <w:t>具备本项目相关的专利或软件著作权等。投标文件中提供有效的证明文件或平台截图复印件加盖单位公章，每提供一项得</w:t>
            </w:r>
            <w:r>
              <w:rPr>
                <w:rFonts w:hint="eastAsia" w:ascii="宋体" w:hAnsi="宋体" w:eastAsia="宋体" w:cs="宋体"/>
                <w:color w:val="auto"/>
                <w:kern w:val="0"/>
                <w:sz w:val="24"/>
                <w:szCs w:val="24"/>
                <w:highlight w:val="none"/>
                <w:u w:color="1E1E1E"/>
                <w:lang w:val="en-US" w:eastAsia="zh-CN" w:bidi="ar"/>
              </w:rPr>
              <w:t>2</w:t>
            </w:r>
            <w:r>
              <w:rPr>
                <w:rFonts w:hint="eastAsia" w:ascii="宋体" w:hAnsi="宋体" w:eastAsia="宋体" w:cs="宋体"/>
                <w:color w:val="auto"/>
                <w:kern w:val="0"/>
                <w:sz w:val="24"/>
                <w:szCs w:val="24"/>
                <w:highlight w:val="none"/>
                <w:u w:color="1E1E1E"/>
                <w:lang w:val="zh-TW" w:bidi="ar"/>
              </w:rPr>
              <w:t>分</w:t>
            </w:r>
            <w:r>
              <w:rPr>
                <w:rFonts w:hint="eastAsia" w:ascii="宋体" w:hAnsi="宋体" w:eastAsia="宋体" w:cs="宋体"/>
                <w:color w:val="auto"/>
                <w:kern w:val="0"/>
                <w:sz w:val="24"/>
                <w:szCs w:val="24"/>
                <w:highlight w:val="none"/>
                <w:u w:color="1E1E1E"/>
                <w:lang w:val="zh-TW" w:eastAsia="zh-TW" w:bidi="ar"/>
              </w:rPr>
              <w:t>，最多得</w:t>
            </w:r>
            <w:r>
              <w:rPr>
                <w:rFonts w:hint="eastAsia" w:ascii="宋体" w:hAnsi="宋体" w:eastAsia="宋体" w:cs="宋体"/>
                <w:color w:val="auto"/>
                <w:kern w:val="0"/>
                <w:sz w:val="24"/>
                <w:szCs w:val="24"/>
                <w:highlight w:val="none"/>
                <w:u w:color="1E1E1E"/>
                <w:lang w:val="en-US" w:eastAsia="zh-CN" w:bidi="ar"/>
              </w:rPr>
              <w:t>4</w:t>
            </w:r>
            <w:r>
              <w:rPr>
                <w:rFonts w:hint="eastAsia" w:ascii="宋体" w:hAnsi="宋体" w:eastAsia="宋体" w:cs="宋体"/>
                <w:color w:val="auto"/>
                <w:kern w:val="0"/>
                <w:sz w:val="24"/>
                <w:szCs w:val="24"/>
                <w:highlight w:val="none"/>
                <w:u w:color="1E1E1E"/>
                <w:lang w:val="zh-TW" w:eastAsia="zh-TW" w:bidi="ar"/>
              </w:rPr>
              <w:t>分。</w:t>
            </w:r>
          </w:p>
        </w:tc>
      </w:tr>
      <w:tr w14:paraId="4177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1144" w:type="dxa"/>
            <w:noWrap/>
            <w:tcMar>
              <w:top w:w="10" w:type="dxa"/>
              <w:left w:w="10" w:type="dxa"/>
              <w:right w:w="10" w:type="dxa"/>
            </w:tcMar>
            <w:vAlign w:val="center"/>
          </w:tcPr>
          <w:p w14:paraId="7F212F71">
            <w:pPr>
              <w:jc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业绩案例</w:t>
            </w:r>
          </w:p>
          <w:p w14:paraId="7092C77D">
            <w:pPr>
              <w:jc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r>
              <w:rPr>
                <w:rFonts w:hint="eastAsia" w:ascii="宋体" w:hAnsi="宋体" w:eastAsia="宋体" w:cs="宋体"/>
                <w:b/>
                <w:color w:val="auto"/>
                <w:sz w:val="24"/>
                <w:szCs w:val="24"/>
                <w:highlight w:val="none"/>
                <w:lang w:val="en-US" w:eastAsia="zh-CN" w:bidi="ar"/>
              </w:rPr>
              <w:t>6</w:t>
            </w:r>
            <w:r>
              <w:rPr>
                <w:rFonts w:hint="eastAsia" w:ascii="宋体" w:hAnsi="宋体" w:eastAsia="宋体" w:cs="宋体"/>
                <w:b/>
                <w:color w:val="auto"/>
                <w:sz w:val="24"/>
                <w:szCs w:val="24"/>
                <w:highlight w:val="none"/>
                <w:lang w:bidi="ar"/>
              </w:rPr>
              <w:t>分）</w:t>
            </w:r>
          </w:p>
        </w:tc>
        <w:tc>
          <w:tcPr>
            <w:tcW w:w="8364" w:type="dxa"/>
            <w:gridSpan w:val="2"/>
            <w:tcMar>
              <w:top w:w="10" w:type="dxa"/>
              <w:left w:w="10" w:type="dxa"/>
              <w:right w:w="10" w:type="dxa"/>
            </w:tcMar>
            <w:vAlign w:val="center"/>
          </w:tcPr>
          <w:p w14:paraId="610960D2">
            <w:pPr>
              <w:widowControl/>
              <w:spacing w:line="320" w:lineRule="exact"/>
              <w:jc w:val="left"/>
              <w:rPr>
                <w:rFonts w:hint="eastAsia" w:ascii="宋体" w:hAnsi="宋体" w:eastAsia="宋体" w:cs="宋体"/>
                <w:color w:val="auto"/>
                <w:sz w:val="24"/>
                <w:szCs w:val="24"/>
                <w:highlight w:val="none"/>
                <w:u w:color="1E1E1E"/>
                <w:lang w:val="zh-TW"/>
              </w:rPr>
            </w:pPr>
            <w:r>
              <w:rPr>
                <w:rFonts w:hint="eastAsia" w:ascii="宋体" w:hAnsi="宋体" w:eastAsia="宋体" w:cs="宋体"/>
                <w:color w:val="auto"/>
                <w:kern w:val="0"/>
                <w:sz w:val="24"/>
                <w:szCs w:val="24"/>
                <w:highlight w:val="none"/>
                <w:u w:color="1E1E1E"/>
                <w:lang w:val="zh-TW" w:eastAsia="zh-TW" w:bidi="ar"/>
              </w:rPr>
              <w:t>20</w:t>
            </w:r>
            <w:r>
              <w:rPr>
                <w:rFonts w:hint="eastAsia" w:ascii="宋体" w:hAnsi="宋体" w:eastAsia="宋体" w:cs="宋体"/>
                <w:color w:val="auto"/>
                <w:kern w:val="0"/>
                <w:sz w:val="24"/>
                <w:szCs w:val="24"/>
                <w:highlight w:val="none"/>
                <w:u w:color="1E1E1E"/>
                <w:lang w:val="en-US" w:eastAsia="zh-CN" w:bidi="ar"/>
              </w:rPr>
              <w:t>23</w:t>
            </w:r>
            <w:r>
              <w:rPr>
                <w:rFonts w:hint="eastAsia" w:ascii="宋体" w:hAnsi="宋体" w:eastAsia="宋体" w:cs="宋体"/>
                <w:color w:val="auto"/>
                <w:kern w:val="0"/>
                <w:sz w:val="24"/>
                <w:szCs w:val="24"/>
                <w:highlight w:val="none"/>
                <w:u w:color="1E1E1E"/>
                <w:lang w:val="zh-TW" w:eastAsia="zh-TW" w:bidi="ar"/>
              </w:rPr>
              <w:t>年1月1日以来类似项目案例，每</w:t>
            </w:r>
            <w:r>
              <w:rPr>
                <w:rFonts w:hint="eastAsia" w:ascii="宋体" w:hAnsi="宋体" w:eastAsia="宋体" w:cs="宋体"/>
                <w:color w:val="auto"/>
                <w:kern w:val="0"/>
                <w:sz w:val="24"/>
                <w:szCs w:val="24"/>
                <w:highlight w:val="none"/>
                <w:u w:color="1E1E1E"/>
                <w:lang w:val="en-US" w:eastAsia="zh-CN" w:bidi="ar"/>
              </w:rPr>
              <w:t>提供一</w:t>
            </w:r>
            <w:r>
              <w:rPr>
                <w:rFonts w:hint="eastAsia" w:ascii="宋体" w:hAnsi="宋体" w:eastAsia="宋体" w:cs="宋体"/>
                <w:color w:val="auto"/>
                <w:kern w:val="0"/>
                <w:sz w:val="24"/>
                <w:szCs w:val="24"/>
                <w:highlight w:val="none"/>
                <w:u w:color="1E1E1E"/>
                <w:lang w:val="zh-TW" w:eastAsia="zh-TW" w:bidi="ar"/>
              </w:rPr>
              <w:t>个得</w:t>
            </w:r>
            <w:r>
              <w:rPr>
                <w:rFonts w:hint="eastAsia" w:ascii="宋体" w:hAnsi="宋体" w:eastAsia="宋体" w:cs="宋体"/>
                <w:color w:val="auto"/>
                <w:kern w:val="0"/>
                <w:sz w:val="24"/>
                <w:szCs w:val="24"/>
                <w:highlight w:val="none"/>
                <w:u w:color="1E1E1E"/>
                <w:lang w:val="en-US" w:eastAsia="zh-CN" w:bidi="ar"/>
              </w:rPr>
              <w:t>2</w:t>
            </w:r>
            <w:r>
              <w:rPr>
                <w:rFonts w:hint="eastAsia" w:ascii="宋体" w:hAnsi="宋体" w:eastAsia="宋体" w:cs="宋体"/>
                <w:color w:val="auto"/>
                <w:kern w:val="0"/>
                <w:sz w:val="24"/>
                <w:szCs w:val="24"/>
                <w:highlight w:val="none"/>
                <w:u w:color="1E1E1E"/>
                <w:lang w:val="zh-TW" w:eastAsia="zh-TW" w:bidi="ar"/>
              </w:rPr>
              <w:t>分，最多得</w:t>
            </w:r>
            <w:r>
              <w:rPr>
                <w:rFonts w:hint="eastAsia" w:ascii="宋体" w:hAnsi="宋体" w:eastAsia="宋体" w:cs="宋体"/>
                <w:color w:val="auto"/>
                <w:kern w:val="0"/>
                <w:sz w:val="24"/>
                <w:szCs w:val="24"/>
                <w:highlight w:val="none"/>
                <w:u w:color="1E1E1E"/>
                <w:lang w:val="en-US" w:eastAsia="zh-CN" w:bidi="ar"/>
              </w:rPr>
              <w:t>6</w:t>
            </w:r>
            <w:r>
              <w:rPr>
                <w:rFonts w:hint="eastAsia" w:ascii="宋体" w:hAnsi="宋体" w:eastAsia="宋体" w:cs="宋体"/>
                <w:color w:val="auto"/>
                <w:kern w:val="0"/>
                <w:sz w:val="24"/>
                <w:szCs w:val="24"/>
                <w:highlight w:val="none"/>
                <w:u w:color="1E1E1E"/>
                <w:lang w:val="zh-TW" w:eastAsia="zh-TW" w:bidi="ar"/>
              </w:rPr>
              <w:t>分。（提供合同复印件并加盖公章，时间以合同签订时间为准</w:t>
            </w:r>
            <w:r>
              <w:rPr>
                <w:rFonts w:hint="eastAsia" w:ascii="宋体" w:hAnsi="宋体" w:eastAsia="宋体" w:cs="宋体"/>
                <w:color w:val="auto"/>
                <w:kern w:val="0"/>
                <w:sz w:val="24"/>
                <w:szCs w:val="24"/>
                <w:highlight w:val="none"/>
                <w:u w:color="1E1E1E"/>
                <w:lang w:val="zh-TW" w:eastAsia="zh-CN" w:bidi="ar"/>
              </w:rPr>
              <w:t>，</w:t>
            </w:r>
            <w:r>
              <w:rPr>
                <w:rFonts w:hint="eastAsia" w:ascii="宋体" w:hAnsi="宋体" w:eastAsia="宋体" w:cs="宋体"/>
                <w:color w:val="auto"/>
                <w:kern w:val="0"/>
                <w:sz w:val="24"/>
                <w:szCs w:val="24"/>
                <w:highlight w:val="none"/>
                <w:u w:color="1E1E1E"/>
                <w:lang w:val="en-US" w:eastAsia="zh-CN" w:bidi="ar"/>
              </w:rPr>
              <w:t>类似项目业绩是指传染病防治系统相关案例，</w:t>
            </w:r>
            <w:r>
              <w:rPr>
                <w:rFonts w:hint="eastAsia" w:ascii="宋体" w:hAnsi="宋体" w:eastAsia="宋体" w:cs="宋体"/>
                <w:color w:val="auto"/>
                <w:kern w:val="0"/>
                <w:sz w:val="24"/>
                <w:szCs w:val="24"/>
                <w:highlight w:val="none"/>
                <w:u w:color="1E1E1E"/>
                <w:lang w:val="zh-TW" w:eastAsia="zh-TW" w:bidi="ar"/>
              </w:rPr>
              <w:t>原件备查）</w:t>
            </w:r>
            <w:r>
              <w:rPr>
                <w:rFonts w:hint="eastAsia" w:ascii="宋体" w:hAnsi="宋体" w:eastAsia="宋体" w:cs="宋体"/>
                <w:color w:val="auto"/>
                <w:sz w:val="24"/>
                <w:szCs w:val="24"/>
                <w:highlight w:val="none"/>
                <w:lang w:bidi="ar"/>
              </w:rPr>
              <w:t xml:space="preserve"> </w:t>
            </w:r>
          </w:p>
        </w:tc>
      </w:tr>
      <w:tr w14:paraId="76AE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1144" w:type="dxa"/>
            <w:noWrap/>
            <w:tcMar>
              <w:top w:w="10" w:type="dxa"/>
              <w:left w:w="10" w:type="dxa"/>
              <w:right w:w="10" w:type="dxa"/>
            </w:tcMar>
            <w:vAlign w:val="center"/>
          </w:tcPr>
          <w:p w14:paraId="457EB525">
            <w:pPr>
              <w:jc w:val="center"/>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项目组人员（</w:t>
            </w:r>
            <w:r>
              <w:rPr>
                <w:rFonts w:hint="eastAsia" w:ascii="宋体" w:hAnsi="宋体" w:eastAsia="宋体" w:cs="宋体"/>
                <w:b/>
                <w:color w:val="auto"/>
                <w:sz w:val="24"/>
                <w:szCs w:val="24"/>
                <w:highlight w:val="none"/>
                <w:lang w:val="en-US" w:eastAsia="zh-CN" w:bidi="ar"/>
              </w:rPr>
              <w:t>6</w:t>
            </w:r>
            <w:r>
              <w:rPr>
                <w:rFonts w:hint="eastAsia" w:ascii="宋体" w:hAnsi="宋体" w:eastAsia="宋体" w:cs="宋体"/>
                <w:b/>
                <w:color w:val="auto"/>
                <w:sz w:val="24"/>
                <w:szCs w:val="24"/>
                <w:highlight w:val="none"/>
                <w:lang w:bidi="ar"/>
              </w:rPr>
              <w:t>分）</w:t>
            </w:r>
          </w:p>
        </w:tc>
        <w:tc>
          <w:tcPr>
            <w:tcW w:w="8364" w:type="dxa"/>
            <w:gridSpan w:val="2"/>
            <w:tcMar>
              <w:top w:w="10" w:type="dxa"/>
              <w:left w:w="10" w:type="dxa"/>
              <w:right w:w="10" w:type="dxa"/>
            </w:tcMar>
            <w:vAlign w:val="center"/>
          </w:tcPr>
          <w:p w14:paraId="52B0E543">
            <w:pPr>
              <w:widowControl/>
              <w:spacing w:line="3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提供项目团队成员相关资质证书（项目管理、软件开发、数据库、网络安全、系统集成工程师资格证书等），每提供一个证书得1分，最多得6分。</w:t>
            </w:r>
          </w:p>
          <w:p w14:paraId="4CC6869D">
            <w:pPr>
              <w:widowControl/>
              <w:spacing w:line="320" w:lineRule="exact"/>
              <w:jc w:val="left"/>
              <w:rPr>
                <w:rFonts w:hint="default" w:ascii="宋体" w:hAnsi="宋体" w:eastAsia="宋体" w:cs="宋体"/>
                <w:color w:val="auto"/>
                <w:kern w:val="0"/>
                <w:sz w:val="24"/>
                <w:szCs w:val="24"/>
                <w:highlight w:val="none"/>
                <w:u w:color="1E1E1E"/>
                <w:lang w:val="en-US" w:eastAsia="zh-TW" w:bidi="ar"/>
              </w:rPr>
            </w:pPr>
            <w:r>
              <w:rPr>
                <w:rFonts w:hint="eastAsia" w:ascii="宋体" w:hAnsi="宋体" w:eastAsia="宋体" w:cs="宋体"/>
                <w:b w:val="0"/>
                <w:bCs w:val="0"/>
                <w:color w:val="auto"/>
                <w:sz w:val="24"/>
                <w:szCs w:val="24"/>
                <w:highlight w:val="none"/>
                <w:lang w:val="en-US" w:eastAsia="zh-CN" w:bidi="ar"/>
              </w:rPr>
              <w:t>注：需提供证书复印件和2026年1月以来任意一个月供应商为其缴纳社保的证明材料</w:t>
            </w:r>
          </w:p>
        </w:tc>
      </w:tr>
    </w:tbl>
    <w:p w14:paraId="0DB9C03B">
      <w:pPr>
        <w:numPr>
          <w:ilvl w:val="0"/>
          <w:numId w:val="0"/>
        </w:numPr>
        <w:spacing w:line="500" w:lineRule="exact"/>
        <w:rPr>
          <w:rFonts w:hint="eastAsia" w:ascii="宋体" w:hAnsi="宋体" w:eastAsia="宋体" w:cs="宋体"/>
          <w:bCs/>
          <w:color w:val="auto"/>
          <w:highlight w:val="none"/>
        </w:rPr>
      </w:pPr>
    </w:p>
    <w:p w14:paraId="2217B415">
      <w:pPr>
        <w:spacing w:line="500" w:lineRule="exact"/>
        <w:ind w:firstLine="482" w:firstLineChars="200"/>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注：</w:t>
      </w:r>
    </w:p>
    <w:p w14:paraId="04F71B74">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1.所有认证、证明和业绩均需提供有效的复印件（扫描件）加盖公章，原件备查。</w:t>
      </w:r>
    </w:p>
    <w:p w14:paraId="166C6660">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2.小微企业价格扣除</w:t>
      </w:r>
    </w:p>
    <w:p w14:paraId="72E14449">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2.1对于专门面向中小企业或小型、微型企业的项目，只面向中小企业或小型、微型企业采购。对于非专门面向中小企业的项目，对小型和微型企业的价格给予10%的扣除，用扣除后的价格参与评审。</w:t>
      </w:r>
    </w:p>
    <w:p w14:paraId="197E2AE0">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2.2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给予10%价格扣除，用扣除后的价格参与评审。组成联合体的大中型企业和其他自然人、法人或者其他组织，与小型、微型企业之间不得存在投资关系。</w:t>
      </w:r>
    </w:p>
    <w:p w14:paraId="10E69D56">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3.监狱和戒毒企业的价格扣除</w:t>
      </w:r>
    </w:p>
    <w:p w14:paraId="08D08636">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3.1 本项目对监狱和戒毒企业，给予10%的价格扣除，用扣除后的价格参与评审。</w:t>
      </w:r>
    </w:p>
    <w:p w14:paraId="7E1EB662">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3.2 监狱企业需提供由省级以上监狱管理局、戒毒管理局（含新疆生产建设兵团）出具的属于监狱企业的证明文件。</w:t>
      </w:r>
    </w:p>
    <w:p w14:paraId="74571984">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3.3 监狱企业标准请参照《关于政府采购支持监狱企业发展有关问题的通知》（财库〔2014〕68号）。</w:t>
      </w:r>
    </w:p>
    <w:p w14:paraId="2FCC6C32">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4.残疾人福利性单位的价格扣除</w:t>
      </w:r>
    </w:p>
    <w:p w14:paraId="7766EBFB">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4.1 本项目对残疾人福利性单位，给予10%的价格扣除，用扣除后的价格参与评审。</w:t>
      </w:r>
    </w:p>
    <w:p w14:paraId="495AA2C8">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4.2 残疾人福利性单位需提供《残疾人福利性单位声明函》</w:t>
      </w:r>
    </w:p>
    <w:p w14:paraId="3019D940">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4.3 残疾人福利性单位标准请参照《关于促进残疾人就业政府采购政策的通知》（财库〔2017〕141号）。</w:t>
      </w:r>
    </w:p>
    <w:p w14:paraId="0F760DF2">
      <w:pPr>
        <w:spacing w:line="500" w:lineRule="exact"/>
        <w:ind w:firstLine="480" w:firstLineChars="20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5. 监狱企业、残疾人福利性单位属于小型、微型企业的，不重复享受政策。</w:t>
      </w:r>
    </w:p>
    <w:p w14:paraId="51D5DD9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根据财库〔2026〕2号文件，评审委员会启动异常低价投标审查的情形和具体要求，包括：</w:t>
      </w:r>
    </w:p>
    <w:p w14:paraId="1BF28B5D">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（一）1.投标报价低于全部通过符合性审查供应商投标报价平均值50%的，即投标报价&lt;全部通过符合性审查供应商投标报价平均值×50%；</w:t>
      </w:r>
    </w:p>
    <w:p w14:paraId="51524F8E">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2.投标报价低于通过符合性审查的次低报价供应商投标报价50%的，即投标报价&lt;通过符合性审查的次低报价供应商投标报价×50%；</w:t>
      </w:r>
    </w:p>
    <w:p w14:paraId="379E51FC">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3.投标报价低于采购项目最高限价45%的，即投标报价&lt;采购项目最高限价×45%；</w:t>
      </w:r>
    </w:p>
    <w:p w14:paraId="3F45B928">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7208BC60">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评审委员会启动异常低价投标审查后，属于前述第1项至第4项情形的，相关供应商应在30分钟内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3553D0CA">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09A3745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605D37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异常低价投标审查的启动原因、审查意见和审查结果应当在评审报告中记录，并随供应商提供的相关书面说明及证明材料，以及评审委员会有关互联网浏览、查询历史一并归档。</w:t>
      </w:r>
    </w:p>
    <w:p w14:paraId="58D30DC5">
      <w:pPr>
        <w:adjustRightInd w:val="0"/>
        <w:snapToGrid w:val="0"/>
        <w:spacing w:line="360" w:lineRule="auto"/>
        <w:ind w:right="-10" w:firstLine="482" w:firstLineChars="200"/>
        <w:rPr>
          <w:rFonts w:hint="eastAsia" w:ascii="宋体" w:hAnsi="宋体" w:eastAsia="宋体" w:cs="宋体"/>
          <w:b/>
          <w:color w:val="auto"/>
          <w:sz w:val="24"/>
          <w:highlight w:val="none"/>
          <w:lang w:val="en-US" w:eastAsia="zh-CN"/>
        </w:rPr>
      </w:pPr>
    </w:p>
    <w:p w14:paraId="0C89EDC4">
      <w:pPr>
        <w:adjustRightInd w:val="0"/>
        <w:snapToGrid w:val="0"/>
        <w:spacing w:line="360" w:lineRule="auto"/>
        <w:ind w:right="-10" w:firstLine="482" w:firstLineChars="200"/>
        <w:rPr>
          <w:rFonts w:hint="eastAsia"/>
          <w:color w:val="auto"/>
          <w:highlight w:val="none"/>
          <w:lang w:val="en-US" w:eastAsia="zh-CN"/>
        </w:rPr>
      </w:pPr>
      <w:r>
        <w:rPr>
          <w:rFonts w:hint="eastAsia" w:ascii="宋体" w:hAnsi="宋体" w:eastAsia="宋体" w:cs="宋体"/>
          <w:b/>
          <w:color w:val="auto"/>
          <w:sz w:val="24"/>
          <w:highlight w:val="none"/>
        </w:rPr>
        <w:t>4、评标结果。</w:t>
      </w:r>
      <w:r>
        <w:rPr>
          <w:rFonts w:hint="eastAsia" w:ascii="宋体" w:hAnsi="宋体" w:eastAsia="宋体" w:cs="宋体"/>
          <w:color w:val="auto"/>
          <w:sz w:val="24"/>
          <w:highlight w:val="none"/>
        </w:rPr>
        <w:t>评标委员会按照本办法规定推荐</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候选人，并形成评标报告。</w:t>
      </w:r>
      <w:bookmarkStart w:id="45" w:name="_Toc640"/>
      <w:r>
        <w:rPr>
          <w:rFonts w:hint="eastAsia"/>
          <w:color w:val="auto"/>
          <w:highlight w:val="none"/>
          <w:lang w:val="en-US" w:eastAsia="zh-CN"/>
        </w:rPr>
        <w:br w:type="page"/>
      </w:r>
    </w:p>
    <w:p w14:paraId="40EDA546">
      <w:pPr>
        <w:pStyle w:val="2"/>
        <w:keepNext/>
        <w:keepLines/>
        <w:pageBreakBefore w:val="0"/>
        <w:widowControl w:val="0"/>
        <w:numPr>
          <w:ilvl w:val="0"/>
          <w:numId w:val="6"/>
        </w:numPr>
        <w:kinsoku/>
        <w:wordWrap/>
        <w:overflowPunct/>
        <w:topLinePunct w:val="0"/>
        <w:autoSpaceDE/>
        <w:autoSpaceDN/>
        <w:bidi w:val="0"/>
        <w:adjustRightInd/>
        <w:snapToGrid/>
        <w:spacing w:line="240" w:lineRule="auto"/>
        <w:jc w:val="center"/>
        <w:textAlignment w:val="auto"/>
        <w:rPr>
          <w:rFonts w:hint="eastAsia"/>
          <w:color w:val="auto"/>
          <w:highlight w:val="none"/>
          <w:lang w:val="en-US" w:eastAsia="zh-CN"/>
        </w:rPr>
      </w:pPr>
      <w:r>
        <w:rPr>
          <w:rFonts w:hint="eastAsia"/>
          <w:color w:val="auto"/>
          <w:highlight w:val="none"/>
          <w:lang w:val="en-US" w:eastAsia="zh-CN"/>
        </w:rPr>
        <w:t>采购需求</w:t>
      </w:r>
      <w:bookmarkEnd w:id="45"/>
    </w:p>
    <w:p w14:paraId="2E194797">
      <w:pPr>
        <w:keepNext w:val="0"/>
        <w:keepLines w:val="0"/>
        <w:pageBreakBefore w:val="0"/>
        <w:widowControl w:val="0"/>
        <w:numPr>
          <w:ilvl w:val="0"/>
          <w:numId w:val="7"/>
        </w:numPr>
        <w:kinsoku/>
        <w:wordWrap/>
        <w:overflowPunct/>
        <w:topLinePunct w:val="0"/>
        <w:autoSpaceDE/>
        <w:autoSpaceDN/>
        <w:bidi w:val="0"/>
        <w:adjustRightInd/>
        <w:spacing w:line="360" w:lineRule="auto"/>
        <w:textAlignment w:val="auto"/>
        <w:rPr>
          <w:rFonts w:hint="eastAsia"/>
          <w:color w:val="auto"/>
          <w:sz w:val="24"/>
          <w:szCs w:val="24"/>
          <w:highlight w:val="none"/>
          <w:lang w:val="en-US" w:eastAsia="zh-CN"/>
        </w:rPr>
      </w:pPr>
      <w:bookmarkStart w:id="46" w:name="_Toc9306"/>
      <w:bookmarkStart w:id="47" w:name="_Toc514054482"/>
      <w:bookmarkStart w:id="48" w:name="_Toc22605"/>
      <w:bookmarkStart w:id="49" w:name="_Toc18500"/>
      <w:r>
        <w:rPr>
          <w:rFonts w:hint="eastAsia" w:ascii="宋体" w:hAnsi="宋体" w:eastAsia="宋体" w:cs="宋体"/>
          <w:b/>
          <w:bCs/>
          <w:color w:val="auto"/>
          <w:kern w:val="2"/>
          <w:sz w:val="24"/>
          <w:szCs w:val="24"/>
          <w:highlight w:val="none"/>
          <w:lang w:val="en-US" w:eastAsia="zh-CN"/>
        </w:rPr>
        <w:t>项目概况</w:t>
      </w:r>
    </w:p>
    <w:p w14:paraId="25120663">
      <w:pPr>
        <w:keepNext w:val="0"/>
        <w:keepLines w:val="0"/>
        <w:pageBreakBefore w:val="0"/>
        <w:widowControl w:val="0"/>
        <w:numPr>
          <w:ilvl w:val="2"/>
          <w:numId w:val="8"/>
        </w:numPr>
        <w:kinsoku/>
        <w:wordWrap/>
        <w:overflowPunct/>
        <w:topLinePunct w:val="0"/>
        <w:autoSpaceDE/>
        <w:autoSpaceDN/>
        <w:bidi w:val="0"/>
        <w:adjustRightInd/>
        <w:snapToGrid w:val="0"/>
        <w:spacing w:line="360" w:lineRule="auto"/>
        <w:jc w:val="both"/>
        <w:textAlignment w:val="auto"/>
        <w:outlineLvl w:val="2"/>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 项目背景</w:t>
      </w:r>
    </w:p>
    <w:p w14:paraId="247CEA8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全国性病麻风病防治管理信息系统自建设以来，承担着全国麻风病病例报告、患者随访、防治机构管理、报表统计等核心业务数据的采集与管理工作。随着防治工作深入推进及信息化管理要求不断提升，现有系统在时间控制灵活性、数据统计多样性、可视化展示及系统稳定性等方面已难以满足实际业务需求。为落实国家麻风病防治规划目标，提升系统的规范化管理水平和数据质量，有必要对现有系统进行功能迭代升级与专项维保。</w:t>
      </w:r>
    </w:p>
    <w:p w14:paraId="27E028E7">
      <w:pPr>
        <w:pageBreakBefore w:val="0"/>
        <w:kinsoku/>
        <w:wordWrap/>
        <w:topLinePunct w:val="0"/>
        <w:bidi w:val="0"/>
        <w:spacing w:line="360" w:lineRule="auto"/>
        <w:ind w:right="17"/>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2.1全国麻风病防治管理系统建设目标、任务和规模</w:t>
      </w:r>
    </w:p>
    <w:p w14:paraId="00E8DC4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建设目标：根据中国疾病预防控制中心麻风病控制中心对全国麻风病防治管理信息系统的总体规划，基于目前正在运行的全国麻风病防治管理信息系统的基本功能，分析现有系统的技术架构、业务逻辑、数据流及技术债务，形成评估报告与中长期优化路线图。建立7×24小时常态化运维监控体系，实现基础设施管理、性能优化、安全合规维护，保障系统高可用。新增时间控制机制、全生命周期数据管理、高级组合查询与统计、可视化大屏、智能化工作提醒等关键功能，提升各级机构对麻风病防治数据的规范化、精细化管理能力。对现有表单、字段、计算逻辑、导出功能、权限控制等进行系统性优化，提升操作便捷性、数据准确性与系统一致性。建立定期技术培训与线上客服支持机制，保障升级后系统的有效应用与持续运行。</w:t>
      </w:r>
    </w:p>
    <w:p w14:paraId="5A53BBB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2.1.2、建设任务：</w:t>
      </w:r>
    </w:p>
    <w:p w14:paraId="6AFF30C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（1)新增按用户独立配置各类项目、表单的填报/修改/审核的起止时间的时间控制功能，策略变更及时生效。</w:t>
      </w:r>
    </w:p>
    <w:p w14:paraId="5E39337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（2)新建患者管理、接触者管理、症状监测患者管理模块，支持对上报患者、接触者、症状监测患者的全生命周期相关数据的管理及导出。</w:t>
      </w:r>
    </w:p>
    <w:p w14:paraId="63ACE46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（3)新增可视化大屏，为中转项目、防治工作、关键指标提供柱状图、折线图、地图热力图等动态展示与趋势分析等。</w:t>
      </w:r>
    </w:p>
    <w:p w14:paraId="50C3DF0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（4)新增工作提醒，智能化提醒引擎，自动推送即将到期或逾期的随访、报表填报等任务。</w:t>
      </w:r>
    </w:p>
    <w:p w14:paraId="2590455D">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（5)升级麻防机构管理模块，支持对麻风病防治机构的全生命周期数据管理并完善各级权限、时间管理控制。</w:t>
      </w:r>
    </w:p>
    <w:p w14:paraId="5AEBE02C">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（6)升级防治信息管理，优化防治信息管理、健康促进管理、药品出入库记录管理、知晓率管理；并支持各类防治数据导出PDF/OFD标准化文档。</w:t>
      </w:r>
    </w:p>
    <w:p w14:paraId="0A7AEFC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（7)优化各类表单，支持按用户类型授权并支持时间控制、灵活查询、多组并行统计及完整导出。</w:t>
      </w:r>
    </w:p>
    <w:p w14:paraId="3B48625F">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（8)优化统计查询报表，支持按照患者类型、治疗情况、属地情况、年龄、性别等各项指标分组统计查询统计。</w:t>
      </w:r>
    </w:p>
    <w:p w14:paraId="36133559">
      <w:pPr>
        <w:pageBreakBefore w:val="0"/>
        <w:kinsoku/>
        <w:wordWrap/>
        <w:topLinePunct w:val="0"/>
        <w:bidi w:val="0"/>
        <w:spacing w:line="360" w:lineRule="auto"/>
        <w:ind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sz w:val="24"/>
          <w:szCs w:val="24"/>
          <w:highlight w:val="none"/>
          <w:lang w:val="en-US" w:eastAsia="zh-CN"/>
        </w:rPr>
        <w:t>2.1.3、系统运维：服务器、网路、存储等7*24小时系统运维服务，5*8小时线上技术支持；补充完善系统技术文档、运维手册。分析现有系统的技术架构、业务逻辑、数据流、数据库结构，输出评估报告、中长期优化路线图及系统扩展建议。</w:t>
      </w:r>
    </w:p>
    <w:p w14:paraId="4678A6B6">
      <w:pPr>
        <w:keepNext w:val="0"/>
        <w:keepLines w:val="0"/>
        <w:pageBreakBefore w:val="0"/>
        <w:widowControl w:val="0"/>
        <w:numPr>
          <w:ilvl w:val="2"/>
          <w:numId w:val="8"/>
        </w:numPr>
        <w:kinsoku/>
        <w:wordWrap/>
        <w:topLinePunct w:val="0"/>
        <w:bidi w:val="0"/>
        <w:snapToGrid w:val="0"/>
        <w:spacing w:line="360" w:lineRule="auto"/>
        <w:jc w:val="both"/>
        <w:outlineLvl w:val="2"/>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3. 项目建设原则</w:t>
      </w:r>
    </w:p>
    <w:p w14:paraId="1640D908">
      <w:pPr>
        <w:pageBreakBefore w:val="0"/>
        <w:kinsoku/>
        <w:wordWrap/>
        <w:topLinePunct w:val="0"/>
        <w:bidi w:val="0"/>
        <w:spacing w:line="360" w:lineRule="auto"/>
        <w:ind w:right="17" w:firstLine="482" w:firstLineChars="200"/>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3.1 政策依据</w:t>
      </w:r>
    </w:p>
    <w:p w14:paraId="0F1363E9">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 《中华人民共和国网络安全法》</w:t>
      </w:r>
    </w:p>
    <w:p w14:paraId="750C8F1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 《中华人民共和国计算机信息系统安全保护条例》(国务院147号令) </w:t>
      </w:r>
    </w:p>
    <w:p w14:paraId="01C13DD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 《国家信息化领导小组关于加强信息安全保障工作的意见》(中办发[2003]27号) </w:t>
      </w:r>
    </w:p>
    <w:p w14:paraId="4A6AE00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 《关于信息安全等级保护工作的实施意见》(公通字[2004]66号) </w:t>
      </w:r>
    </w:p>
    <w:p w14:paraId="3258343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 《信息安全等级保护管理办法》(公通字[2007]43号) </w:t>
      </w:r>
    </w:p>
    <w:p w14:paraId="14440C6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 《关于开展信息安全等级保护安全建设整改工作的指导意见》(公信安[2009]1429号)</w:t>
      </w:r>
    </w:p>
    <w:p w14:paraId="051A2FC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 《信息安全技术 信息系统安全等级保护实施指南》(GB/T 25058-2010)</w:t>
      </w:r>
    </w:p>
    <w:p w14:paraId="06A0656C">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 《计算机信息系统安全保护等级划分准则》(GB 17859-1999 )</w:t>
      </w:r>
    </w:p>
    <w:p w14:paraId="6932D21D">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 《信息安全技术信息系统安全等级保护定级指南》(GBT 22240—2008)</w:t>
      </w:r>
    </w:p>
    <w:p w14:paraId="4F35C04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 《关于推动信息安全等级保护测评体系建设和开展等级测评工作的通知》（公信安[2010]303号）</w:t>
      </w:r>
    </w:p>
    <w:p w14:paraId="4733E4B3">
      <w:pPr>
        <w:pageBreakBefore w:val="0"/>
        <w:kinsoku/>
        <w:wordWrap/>
        <w:topLinePunct w:val="0"/>
        <w:bidi w:val="0"/>
        <w:spacing w:line="360" w:lineRule="auto"/>
        <w:ind w:right="17" w:firstLine="482" w:firstLineChars="200"/>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3.2 技术标准</w:t>
      </w:r>
    </w:p>
    <w:p w14:paraId="297F8320">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 《信息安全技术 信息系统安全等级保护基本要求》（GBT 22239-2008）</w:t>
      </w:r>
    </w:p>
    <w:p w14:paraId="79E6D559">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  《信息安全技术信息系统安全等级保护测评要求》(GB/T 28448-2012)</w:t>
      </w:r>
    </w:p>
    <w:p w14:paraId="6C1C2E7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  《信息安全技术信息系统安全等级保护测评过程指南》(GB/T 28449-2012)</w:t>
      </w:r>
    </w:p>
    <w:p w14:paraId="60294DA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 《信息安全技术 信息系统通用安全技术要求》（GB/T20271-2006）</w:t>
      </w:r>
    </w:p>
    <w:p w14:paraId="0329580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 《信息安全技术 网络基础安全技术要求》（GB/T20270-2006）</w:t>
      </w:r>
    </w:p>
    <w:p w14:paraId="285389B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 《信息安全技术 操作系统安全技术要求》（GB/T20272-2006）</w:t>
      </w:r>
    </w:p>
    <w:p w14:paraId="17CEA95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 《信息安全技术 数据库管理系统安全技术要求》（GB/T20273-2006）</w:t>
      </w:r>
    </w:p>
    <w:p w14:paraId="462B469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 《信息安全技术 终端计算机系统安全等级技术要求》（GA/T671-2006）</w:t>
      </w:r>
    </w:p>
    <w:p w14:paraId="6B3653A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 《信息安全技术 信息系统安全管理要求》（GB/T 20269—2006）</w:t>
      </w:r>
    </w:p>
    <w:p w14:paraId="12996DF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  《信息安全技术 信息系统安全管理测评》（GA/T 713-2007）</w:t>
      </w:r>
    </w:p>
    <w:p w14:paraId="55092DE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 《信息技术 安全技术 信息安全管理体系要求》（GB/T22080-2008）</w:t>
      </w:r>
    </w:p>
    <w:p w14:paraId="5AA32FE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 《信息技术 安全技术 信息安全管理实用规则》（GB/T22081-2008）</w:t>
      </w:r>
    </w:p>
    <w:p w14:paraId="151DEDAD">
      <w:pPr>
        <w:pageBreakBefore w:val="0"/>
        <w:kinsoku/>
        <w:wordWrap/>
        <w:topLinePunct w:val="0"/>
        <w:bidi w:val="0"/>
        <w:spacing w:line="360" w:lineRule="auto"/>
        <w:ind w:right="17" w:firstLine="482" w:firstLineChars="200"/>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3.3 项目原则</w:t>
      </w:r>
    </w:p>
    <w:p w14:paraId="2824759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（1）客观性原则</w:t>
      </w:r>
    </w:p>
    <w:p w14:paraId="41FB9D8C">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开发人员应当没有偏见，在最小主观判断情形下，按照双方相互认可的方案，实施开发活动。</w:t>
      </w:r>
    </w:p>
    <w:p w14:paraId="2DD98059">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（2）连续性原则</w:t>
      </w:r>
    </w:p>
    <w:p w14:paraId="7E273FD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在有效的服务期间内，保证系统评估、运维及功能迭代的准确性和及时性。同时保障系统升级前后业务数据的连续性。</w:t>
      </w:r>
    </w:p>
    <w:p w14:paraId="1D166D6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（3）扩展性原则</w:t>
      </w:r>
    </w:p>
    <w:p w14:paraId="0B08CDB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系统设计和评估过程需保持扩展性，从扩展的属性上进一步加强系统管理的有效性和可用性。</w:t>
      </w:r>
    </w:p>
    <w:p w14:paraId="061580A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（4）保密原则</w:t>
      </w:r>
    </w:p>
    <w:p w14:paraId="5F9F1DE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严格遵循保密原则，对服务过程中涉及到的任何用户信息未经允许不向其他任何第三方泄漏。</w:t>
      </w:r>
    </w:p>
    <w:p w14:paraId="3870A71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（5）互动原则</w:t>
      </w:r>
    </w:p>
    <w:p w14:paraId="284B73FD">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强调招标人的互动参与，根据招标人的要求和实际情况对服务内容、方式做出调整。</w:t>
      </w:r>
    </w:p>
    <w:p w14:paraId="774A93D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（6）最小影响原则</w:t>
      </w:r>
    </w:p>
    <w:p w14:paraId="373D35A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实施工作应不得影响系统和网络的正常运行。</w:t>
      </w:r>
    </w:p>
    <w:p w14:paraId="3BB18270">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（7）规范性原则</w:t>
      </w:r>
    </w:p>
    <w:p w14:paraId="471A4B9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服务实施必须由专业服务人员依照规范的操作流程进行，并提供完整的报告。</w:t>
      </w:r>
    </w:p>
    <w:p w14:paraId="7B3F93D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（8）质量保障原则</w:t>
      </w:r>
    </w:p>
    <w:p w14:paraId="0A7BA6E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在整个测评过程中，须特别重视项目质量管理。项目的实施将严格按照项目实施方案和流程进行，保证项目的进度和质量。</w:t>
      </w:r>
    </w:p>
    <w:p w14:paraId="050D03D7">
      <w:pPr>
        <w:pageBreakBefore w:val="0"/>
        <w:widowControl w:val="0"/>
        <w:kinsoku/>
        <w:wordWrap/>
        <w:topLinePunct w:val="0"/>
        <w:bidi w:val="0"/>
        <w:spacing w:line="360" w:lineRule="auto"/>
        <w:ind w:left="1440" w:leftChars="600"/>
        <w:jc w:val="both"/>
        <w:rPr>
          <w:rFonts w:hint="eastAsia" w:ascii="宋体" w:hAnsi="宋体" w:eastAsia="宋体" w:cs="宋体"/>
          <w:color w:val="auto"/>
          <w:kern w:val="2"/>
          <w:sz w:val="24"/>
          <w:szCs w:val="24"/>
          <w:highlight w:val="none"/>
          <w:lang w:val="en-US" w:eastAsia="zh-CN" w:bidi="ar-SA"/>
        </w:rPr>
      </w:pPr>
    </w:p>
    <w:p w14:paraId="082EA49F">
      <w:pPr>
        <w:keepNext w:val="0"/>
        <w:keepLines w:val="0"/>
        <w:pageBreakBefore w:val="0"/>
        <w:widowControl w:val="0"/>
        <w:numPr>
          <w:ilvl w:val="1"/>
          <w:numId w:val="8"/>
        </w:numPr>
        <w:kinsoku/>
        <w:wordWrap/>
        <w:topLinePunct w:val="0"/>
        <w:bidi w:val="0"/>
        <w:snapToGrid w:val="0"/>
        <w:spacing w:line="360" w:lineRule="auto"/>
        <w:jc w:val="left"/>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二、项目商务要求</w:t>
      </w:r>
    </w:p>
    <w:p w14:paraId="3A42E2F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2.1工作须在合同签订后10个工作日内开展，在合同签署后90天内完成所有工作。服务维保期限为2年。</w:t>
      </w:r>
    </w:p>
    <w:p w14:paraId="4749E65F">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2.2付款方式：</w:t>
      </w:r>
    </w:p>
    <w:p w14:paraId="16DF1A1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预付款：合同签订后7个工作日内，采购人向供应商支付整个项目合同总金额的60%。</w:t>
      </w:r>
    </w:p>
    <w:p w14:paraId="131F5C32">
      <w:pPr>
        <w:pageBreakBefore w:val="0"/>
        <w:kinsoku/>
        <w:wordWrap/>
        <w:topLinePunct w:val="0"/>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进度款：系统正常运行并且项目通过整体验收</w:t>
      </w:r>
      <w:r>
        <w:rPr>
          <w:rFonts w:hint="eastAsia" w:ascii="宋体" w:hAnsi="宋体" w:eastAsia="宋体" w:cs="宋体"/>
          <w:color w:val="auto"/>
          <w:sz w:val="24"/>
          <w:szCs w:val="24"/>
          <w:highlight w:val="none"/>
          <w:lang w:val="zh-CN" w:eastAsia="zh-CN"/>
        </w:rPr>
        <w:t>，验收合格</w:t>
      </w:r>
      <w:r>
        <w:rPr>
          <w:rFonts w:hint="eastAsia" w:ascii="宋体" w:hAnsi="宋体" w:eastAsia="宋体" w:cs="宋体"/>
          <w:color w:val="auto"/>
          <w:sz w:val="24"/>
          <w:szCs w:val="24"/>
          <w:highlight w:val="none"/>
          <w:lang w:val="en-US" w:eastAsia="zh-CN"/>
        </w:rPr>
        <w:t>7个工作日内，采购人向供应商支付</w:t>
      </w:r>
      <w:r>
        <w:rPr>
          <w:rFonts w:hint="eastAsia" w:ascii="宋体" w:hAnsi="宋体" w:eastAsia="宋体" w:cs="宋体"/>
          <w:color w:val="auto"/>
          <w:sz w:val="24"/>
          <w:szCs w:val="24"/>
          <w:highlight w:val="none"/>
          <w:lang w:val="zh-CN" w:eastAsia="zh-CN"/>
        </w:rPr>
        <w:t>项目合同额</w:t>
      </w:r>
      <w:r>
        <w:rPr>
          <w:rFonts w:hint="eastAsia" w:ascii="宋体" w:hAnsi="宋体" w:eastAsia="宋体" w:cs="宋体"/>
          <w:color w:val="auto"/>
          <w:sz w:val="24"/>
          <w:szCs w:val="24"/>
          <w:highlight w:val="none"/>
          <w:lang w:val="en-US" w:eastAsia="zh-CN"/>
        </w:rPr>
        <w:t>的35%。</w:t>
      </w:r>
      <w:r>
        <w:rPr>
          <w:rFonts w:hint="eastAsia" w:ascii="宋体" w:hAnsi="宋体" w:eastAsia="宋体" w:cs="宋体"/>
          <w:color w:val="auto"/>
          <w:sz w:val="24"/>
          <w:szCs w:val="24"/>
          <w:highlight w:val="none"/>
          <w:lang w:val="en-US" w:eastAsia="zh-CN"/>
        </w:rPr>
        <w:br w:type="textWrapping"/>
      </w:r>
      <w:r>
        <w:rPr>
          <w:rFonts w:hint="eastAsia" w:ascii="宋体" w:hAnsi="宋体" w:eastAsia="宋体" w:cs="宋体"/>
          <w:color w:val="auto"/>
          <w:sz w:val="24"/>
          <w:szCs w:val="24"/>
          <w:highlight w:val="none"/>
          <w:lang w:val="en-US" w:eastAsia="zh-CN"/>
        </w:rPr>
        <w:t xml:space="preserve">    尾款：合同维保期满后7个工作日内，采购人向供应商支付合同剩余款项即总价款5%。</w:t>
      </w:r>
    </w:p>
    <w:p w14:paraId="3BE38F4C">
      <w:pPr>
        <w:keepNext w:val="0"/>
        <w:keepLines w:val="0"/>
        <w:pageBreakBefore w:val="0"/>
        <w:widowControl w:val="0"/>
        <w:numPr>
          <w:ilvl w:val="1"/>
          <w:numId w:val="8"/>
        </w:numPr>
        <w:kinsoku/>
        <w:wordWrap/>
        <w:topLinePunct w:val="0"/>
        <w:bidi w:val="0"/>
        <w:snapToGrid w:val="0"/>
        <w:spacing w:line="360" w:lineRule="auto"/>
        <w:jc w:val="left"/>
        <w:outlineLvl w:val="1"/>
        <w:rPr>
          <w:rFonts w:hint="eastAsia" w:ascii="宋体" w:hAnsi="宋体" w:eastAsia="宋体" w:cs="宋体"/>
          <w:b/>
          <w:bCs/>
          <w:color w:val="auto"/>
          <w:kern w:val="2"/>
          <w:sz w:val="24"/>
          <w:szCs w:val="24"/>
          <w:highlight w:val="none"/>
          <w:lang w:val="en-US" w:eastAsia="zh-CN" w:bidi="ar-SA"/>
        </w:rPr>
      </w:pPr>
    </w:p>
    <w:p w14:paraId="4D17E58A">
      <w:pPr>
        <w:keepNext w:val="0"/>
        <w:keepLines w:val="0"/>
        <w:pageBreakBefore w:val="0"/>
        <w:widowControl w:val="0"/>
        <w:numPr>
          <w:ilvl w:val="1"/>
          <w:numId w:val="8"/>
        </w:numPr>
        <w:kinsoku/>
        <w:wordWrap/>
        <w:topLinePunct w:val="0"/>
        <w:bidi w:val="0"/>
        <w:snapToGrid w:val="0"/>
        <w:spacing w:line="360" w:lineRule="auto"/>
        <w:jc w:val="left"/>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三、建设内容</w:t>
      </w:r>
    </w:p>
    <w:p w14:paraId="331803A3">
      <w:pPr>
        <w:pageBreakBefore w:val="0"/>
        <w:kinsoku/>
        <w:wordWrap/>
        <w:topLinePunct w:val="0"/>
        <w:bidi w:val="0"/>
        <w:spacing w:line="360" w:lineRule="auto"/>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必须按以下清单内容和顺序填写《技术条款偏离表》，否则为未能实质性响应。</w:t>
      </w:r>
    </w:p>
    <w:p w14:paraId="604D4FA7">
      <w:pPr>
        <w:pageBreakBefore w:val="0"/>
        <w:kinsoku/>
        <w:wordWrap/>
        <w:topLinePunct w:val="0"/>
        <w:bidi w:val="0"/>
        <w:spacing w:line="360" w:lineRule="auto"/>
        <w:ind w:right="17" w:firstLine="480" w:firstLine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系统清单如下：</w:t>
      </w:r>
    </w:p>
    <w:p w14:paraId="2D693E24">
      <w:pPr>
        <w:pStyle w:val="5"/>
        <w:pageBreakBefore w:val="0"/>
        <w:kinsoku/>
        <w:wordWrap/>
        <w:topLinePunct w:val="0"/>
        <w:bidi w:val="0"/>
        <w:spacing w:line="360" w:lineRule="auto"/>
        <w:rPr>
          <w:rFonts w:hint="eastAsia"/>
          <w:color w:val="auto"/>
          <w:sz w:val="24"/>
          <w:szCs w:val="24"/>
          <w:highlight w:val="none"/>
          <w:lang w:val="en-US" w:eastAsia="zh-CN"/>
        </w:rPr>
      </w:pPr>
    </w:p>
    <w:tbl>
      <w:tblPr>
        <w:tblStyle w:val="6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2475"/>
        <w:gridCol w:w="1042"/>
        <w:gridCol w:w="4917"/>
      </w:tblGrid>
      <w:tr w14:paraId="690C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shd w:val="clear" w:color="auto" w:fill="A6A6A6"/>
            <w:vAlign w:val="center"/>
          </w:tcPr>
          <w:p w14:paraId="2BA0BE60">
            <w:pPr>
              <w:pageBreakBefore w:val="0"/>
              <w:kinsoku/>
              <w:wordWrap/>
              <w:topLinePunct w:val="0"/>
              <w:bidi w:val="0"/>
              <w:spacing w:line="360" w:lineRule="auto"/>
              <w:jc w:val="center"/>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序号</w:t>
            </w:r>
          </w:p>
        </w:tc>
        <w:tc>
          <w:tcPr>
            <w:tcW w:w="1366" w:type="pct"/>
            <w:shd w:val="clear" w:color="auto" w:fill="A6A6A6"/>
            <w:vAlign w:val="center"/>
          </w:tcPr>
          <w:p w14:paraId="52659E6B">
            <w:pPr>
              <w:pageBreakBefore w:val="0"/>
              <w:kinsoku/>
              <w:wordWrap/>
              <w:topLinePunct w:val="0"/>
              <w:bidi w:val="0"/>
              <w:spacing w:line="360" w:lineRule="auto"/>
              <w:jc w:val="center"/>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系统/服务名称</w:t>
            </w:r>
          </w:p>
        </w:tc>
        <w:tc>
          <w:tcPr>
            <w:tcW w:w="575" w:type="pct"/>
            <w:shd w:val="clear" w:color="auto" w:fill="A6A6A6"/>
            <w:vAlign w:val="center"/>
          </w:tcPr>
          <w:p w14:paraId="4335F052">
            <w:pPr>
              <w:pageBreakBefore w:val="0"/>
              <w:kinsoku/>
              <w:wordWrap/>
              <w:topLinePunct w:val="0"/>
              <w:bidi w:val="0"/>
              <w:spacing w:line="360" w:lineRule="auto"/>
              <w:jc w:val="center"/>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数量</w:t>
            </w:r>
          </w:p>
        </w:tc>
        <w:tc>
          <w:tcPr>
            <w:tcW w:w="2714" w:type="pct"/>
            <w:shd w:val="clear" w:color="auto" w:fill="A6A6A6"/>
            <w:vAlign w:val="center"/>
          </w:tcPr>
          <w:p w14:paraId="0289EAD4">
            <w:pPr>
              <w:pageBreakBefore w:val="0"/>
              <w:kinsoku/>
              <w:wordWrap/>
              <w:topLinePunct w:val="0"/>
              <w:bidi w:val="0"/>
              <w:spacing w:line="360" w:lineRule="auto"/>
              <w:jc w:val="center"/>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备注</w:t>
            </w:r>
          </w:p>
        </w:tc>
      </w:tr>
      <w:tr w14:paraId="01B7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 w:type="pct"/>
            <w:vAlign w:val="center"/>
          </w:tcPr>
          <w:p w14:paraId="3BE47636">
            <w:pPr>
              <w:pageBreakBefore w:val="0"/>
              <w:kinsoku/>
              <w:wordWrap/>
              <w:topLinePunct w:val="0"/>
              <w:bidi w:val="0"/>
              <w:spacing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w:t>
            </w:r>
          </w:p>
        </w:tc>
        <w:tc>
          <w:tcPr>
            <w:tcW w:w="1366" w:type="pct"/>
            <w:vAlign w:val="center"/>
          </w:tcPr>
          <w:p w14:paraId="1DFB1567">
            <w:pPr>
              <w:pageBreakBefore w:val="0"/>
              <w:kinsoku/>
              <w:wordWrap/>
              <w:topLinePunct w:val="0"/>
              <w:bidi w:val="0"/>
              <w:spacing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全国性病麻风病防治管理信息系统升级定制化开发服务</w:t>
            </w:r>
          </w:p>
        </w:tc>
        <w:tc>
          <w:tcPr>
            <w:tcW w:w="575" w:type="pct"/>
            <w:vAlign w:val="center"/>
          </w:tcPr>
          <w:p w14:paraId="39698782">
            <w:pPr>
              <w:pageBreakBefore w:val="0"/>
              <w:kinsoku/>
              <w:wordWrap/>
              <w:topLinePunct w:val="0"/>
              <w:bidi w:val="0"/>
              <w:spacing w:line="360" w:lineRule="auto"/>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w:t>
            </w:r>
          </w:p>
        </w:tc>
        <w:tc>
          <w:tcPr>
            <w:tcW w:w="2714" w:type="pct"/>
            <w:vAlign w:val="center"/>
          </w:tcPr>
          <w:p w14:paraId="7AFA3B36">
            <w:pPr>
              <w:pageBreakBefore w:val="0"/>
              <w:kinsoku/>
              <w:wordWrap/>
              <w:topLinePunct w:val="0"/>
              <w:bidi w:val="0"/>
              <w:spacing w:line="360" w:lineRule="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满足麻风病控制中心的工作需要，项目完成后持续提供后续的运营服务。</w:t>
            </w:r>
          </w:p>
        </w:tc>
      </w:tr>
    </w:tbl>
    <w:p w14:paraId="6040C036">
      <w:pPr>
        <w:pageBreakBefore w:val="0"/>
        <w:widowControl w:val="0"/>
        <w:kinsoku/>
        <w:wordWrap/>
        <w:topLinePunct w:val="0"/>
        <w:bidi w:val="0"/>
        <w:spacing w:line="360" w:lineRule="auto"/>
        <w:ind w:left="0" w:leftChars="0"/>
        <w:jc w:val="both"/>
        <w:rPr>
          <w:rFonts w:hint="eastAsia" w:ascii="宋体" w:hAnsi="宋体" w:eastAsia="宋体" w:cs="宋体"/>
          <w:color w:val="auto"/>
          <w:kern w:val="2"/>
          <w:sz w:val="24"/>
          <w:szCs w:val="24"/>
          <w:highlight w:val="none"/>
          <w:lang w:val="en-US" w:eastAsia="zh-CN" w:bidi="ar-SA"/>
        </w:rPr>
      </w:pPr>
    </w:p>
    <w:p w14:paraId="7E03C946">
      <w:pPr>
        <w:pageBreakBefore w:val="0"/>
        <w:kinsoku/>
        <w:wordWrap/>
        <w:topLinePunct w:val="0"/>
        <w:bidi w:val="0"/>
        <w:spacing w:line="360" w:lineRule="auto"/>
        <w:ind w:right="17"/>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全国性病麻风病防治管理信息系统升级定制化开发服务：</w:t>
      </w:r>
    </w:p>
    <w:p w14:paraId="469374DE">
      <w:pPr>
        <w:keepNext/>
        <w:keepLines/>
        <w:pageBreakBefore w:val="0"/>
        <w:widowControl w:val="0"/>
        <w:numPr>
          <w:ilvl w:val="3"/>
          <w:numId w:val="8"/>
        </w:numPr>
        <w:kinsoku/>
        <w:wordWrap/>
        <w:topLinePunct w:val="0"/>
        <w:bidi w:val="0"/>
        <w:spacing w:line="360" w:lineRule="auto"/>
        <w:jc w:val="both"/>
        <w:outlineLvl w:val="3"/>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本项目为信息系统升级项目，须实现 “功能完整继承、数据零丢失、业务不停机、新增功能</w:t>
      </w:r>
      <w:r>
        <w:rPr>
          <w:rFonts w:hint="eastAsia" w:ascii="宋体" w:hAnsi="宋体" w:eastAsia="宋体" w:cs="宋体"/>
          <w:b/>
          <w:bCs/>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57项</w:t>
      </w:r>
      <w:r>
        <w:rPr>
          <w:rFonts w:hint="eastAsia" w:ascii="宋体" w:hAnsi="宋体" w:eastAsia="宋体" w:cs="宋体"/>
          <w:b w:val="0"/>
          <w:bCs/>
          <w:color w:val="auto"/>
          <w:kern w:val="2"/>
          <w:sz w:val="24"/>
          <w:szCs w:val="24"/>
          <w:highlight w:val="none"/>
          <w:lang w:val="en-US" w:eastAsia="zh-CN" w:bidi="ar-SA"/>
        </w:rPr>
        <w:t>按需交付”，且★2项必须满足。</w:t>
      </w:r>
    </w:p>
    <w:tbl>
      <w:tblPr>
        <w:tblStyle w:val="63"/>
        <w:tblW w:w="857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7"/>
        <w:gridCol w:w="1560"/>
        <w:gridCol w:w="4584"/>
        <w:gridCol w:w="1296"/>
      </w:tblGrid>
      <w:tr w14:paraId="377C5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37" w:type="dxa"/>
            <w:tcBorders>
              <w:top w:val="single" w:color="000000" w:sz="4" w:space="0"/>
              <w:left w:val="single" w:color="000000" w:sz="4" w:space="0"/>
              <w:bottom w:val="single" w:color="000000" w:sz="4" w:space="0"/>
              <w:right w:val="single" w:color="000000" w:sz="4" w:space="0"/>
            </w:tcBorders>
            <w:shd w:val="clear" w:color="auto" w:fill="1F4E79"/>
            <w:vAlign w:val="center"/>
          </w:tcPr>
          <w:p w14:paraId="4BE9CC6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b/>
                <w:bCs/>
                <w:i w:val="0"/>
                <w:iCs w:val="0"/>
                <w:color w:val="auto"/>
                <w:kern w:val="2"/>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模块名称</w:t>
            </w:r>
          </w:p>
        </w:tc>
        <w:tc>
          <w:tcPr>
            <w:tcW w:w="1560" w:type="dxa"/>
            <w:tcBorders>
              <w:top w:val="single" w:color="000000" w:sz="4" w:space="0"/>
              <w:left w:val="single" w:color="000000" w:sz="4" w:space="0"/>
              <w:bottom w:val="single" w:color="000000" w:sz="4" w:space="0"/>
              <w:right w:val="single" w:color="000000" w:sz="4" w:space="0"/>
            </w:tcBorders>
            <w:shd w:val="clear" w:color="auto" w:fill="1F4E79"/>
            <w:vAlign w:val="center"/>
          </w:tcPr>
          <w:p w14:paraId="0146239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b/>
                <w:bCs/>
                <w:i w:val="0"/>
                <w:iCs w:val="0"/>
                <w:color w:val="auto"/>
                <w:kern w:val="2"/>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子功能</w:t>
            </w:r>
          </w:p>
        </w:tc>
        <w:tc>
          <w:tcPr>
            <w:tcW w:w="4584" w:type="dxa"/>
            <w:tcBorders>
              <w:top w:val="single" w:color="000000" w:sz="4" w:space="0"/>
              <w:left w:val="single" w:color="000000" w:sz="4" w:space="0"/>
              <w:bottom w:val="single" w:color="000000" w:sz="4" w:space="0"/>
              <w:right w:val="single" w:color="000000" w:sz="4" w:space="0"/>
            </w:tcBorders>
            <w:shd w:val="clear" w:color="auto" w:fill="1F4E79"/>
            <w:vAlign w:val="center"/>
          </w:tcPr>
          <w:p w14:paraId="2AA0B1C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b/>
                <w:bCs/>
                <w:i w:val="0"/>
                <w:iCs w:val="0"/>
                <w:color w:val="auto"/>
                <w:kern w:val="2"/>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功能描述</w:t>
            </w:r>
          </w:p>
        </w:tc>
        <w:tc>
          <w:tcPr>
            <w:tcW w:w="1296" w:type="dxa"/>
            <w:tcBorders>
              <w:top w:val="single" w:color="000000" w:sz="4" w:space="0"/>
              <w:left w:val="single" w:color="000000" w:sz="4" w:space="0"/>
              <w:bottom w:val="single" w:color="000000" w:sz="4" w:space="0"/>
              <w:right w:val="single" w:color="000000" w:sz="4" w:space="0"/>
            </w:tcBorders>
            <w:shd w:val="clear" w:color="auto" w:fill="1F4E79"/>
            <w:vAlign w:val="center"/>
          </w:tcPr>
          <w:p w14:paraId="1AD93B0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b/>
                <w:bCs/>
                <w:i w:val="0"/>
                <w:iCs w:val="0"/>
                <w:color w:val="auto"/>
                <w:kern w:val="2"/>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bidi="ar"/>
              </w:rPr>
              <w:t>原有/新增</w:t>
            </w:r>
          </w:p>
        </w:tc>
      </w:tr>
      <w:tr w14:paraId="5B85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268F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一、患者信息</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587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患者管理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6F5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对麻风病患者基本信息的录入、编辑、查询和删除，包括患者登记号、姓名、性别、出生日期、住址等核心档案管理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96B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381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98AE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8E0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迁入迁出管理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B25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管理麻风病患者在不同地区防治机构之间的迁入和迁出流程，记录迁移历史，确保患者属地管理的连续性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A9E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DF7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E6B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860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患者分配</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703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将患者分配至对应的防治机构或防治人员，实现患者与责任单位的绑定管理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29C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165C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BE12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CD0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患者管理全字段数据导出</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CA9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需提供患者管理模块的全字段数据导出功能，支持将所有相关数据完整导出。导出的内容不仅应包括界面上可见的字段，还需涵盖后台存储但未在前端展示的辅助字段，以保证数据的完整性和一致性。系统在导出过程中应保持字段结构、命名规范及数据类型与数据库或系统内部存储保持一致，确保导出结果可直接用于分析。</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A1F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7566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187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782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HLA-B*13:01检测结果字段</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BE4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针对病历模块中的实验室检查表单进行优化，新增【HLA-B*13:01】检测结果相关字段，以支持对特定基因检测结果的标准化记录与管理。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BD6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1C1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B8A4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0E2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病历和现症随访报告单上传</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36D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在病历和现症随访模块中新增报告单上传功能，支持用户上传相关医疗报告单（如实验室检验报告、影像学结果等），并集成到现有工作流中。</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62E2">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40A4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BA8B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3EE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治疗表单选项优化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732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针对病历和现症随访模块中的【治疗】表单选项进行优化，更新选项列表、调整选项值。</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70E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0AC0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9C7E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984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随访状态联动优化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886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针对现症随访和愈后监测随访模块中的【随访状态】字段进行优化，当用户选择“死亡”或“失访”时，系统自动触发以下行为：加载上一次有效随访记录的所有字段值至当前记录并设置其他Tab不可编辑。</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355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47ED2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692C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567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患者外迁权限优化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DED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通过精细化调整患者外迁功能的可见性与可用性权限，确保仅国家级和省级账号可查看并操作该功能，而市级及区县级账号则无法访问或操作被禁用。</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限制外迁类型随访与其他类型互转避免影响迁入迁出工作流程。</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54F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F3A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8A702">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二、麻防机构</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8EC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更新麻防机构</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EB5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对麻风病防治机构的基本信息（机构名称、地址、级别、联系方式等）进行新增、修改和维护</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D31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E5B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716F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E7E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浏览审核麻防单位</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E9C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查看各级麻风病防治单位的详细信息，并对机构信息进行审核确认</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1656">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555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50C9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73F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浏览审核麻风院村</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64B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查看麻风院（村）的详细信息，包括院村容量、在院人数等，并进行审核</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D44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E04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4931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CBC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麻防机构查重</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7BC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对各麻防机构进行重复性检查，防止同一机构被多次录入，保障机构数据的唯一性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55F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FC66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4E76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839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麻防机构统计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B44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按地区、级别等维度统计麻防机构的数量与分布情况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3D8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2F9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E762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DBE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时间控制</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A8A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可管理机构更新数据、审核等的时间范围。关闭后则填报时间不受限制，重新修改时间范围后时间控制自动开启。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C05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5E24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4E55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三、早期发现管理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646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接触者管理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47A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可管理接触者信息、接触者检查记录信息的录入、审核等的时间范围。关闭后则填报时间不受限制，重新修改时间范围后时间控制自动开启。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86C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094C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116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13B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症状监测患者管理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695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可管理患者症状监测数据的录入、审核等的时间范围。关闭后则填报时间不受限制，重新修改时间范围后时间控制自动开启。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B95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2B17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3765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237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接触者管理化学预防字段</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96C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优化接触者管理模块，新增【化学预防】字段，选择「知情同意」时，接触者列表显示化学预防标签，同时接触者列表增加【化学预防】筛选条件</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722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6B0B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CD72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8CD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接触者检查记录自动生成条件优化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35B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在原有自动生成规则基础上增加【转归】为正常并且【检查结果】不为确诊患者</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FBC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3C44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A69D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四、防治信息管理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384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会议培训管理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B24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记录各级单位举办的麻风病防治会议和培训活动，包括时间、地点、参会人员、培训内容等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D0C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60C7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C7014">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3FBA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慰问活动记录管理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CA4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记录对麻风病患者及愈后人员的慰问活动信息，包括慰问时间、物品、参与单位等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A01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EB66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919D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074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督导支持记录管理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461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记录上级单位对下级防治机构的督导和技术支持活动，包括督导时间、内容、反馈意见等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DC4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9565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7C0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3EA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健康促进记录管理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7E5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记录各类麻风病健康教育和健康促进活动的开展情况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50E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5908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D790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FE6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防治经费记录管理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A94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管理各级麻风病防治经费的收入、支出和使用情况，支持经费台账管理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B68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445F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DA18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74B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药品出入库记录管理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0F7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管理麻风病治疗药品（如MDT药物）的入库、出库、库存盘点等记录</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16C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D56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8219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B06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疫点调查｜强化发现</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A6A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对麻风病疫点进行调查登记，以及在重点区域开展强化病例发现活动的记录管理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1BD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9222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39FE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BA9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知晓率管理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9E7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知晓率管理：本功能模块提供麻风病核心知识知晓率数据的全生命周期管理，支持用户录入调查时间、调查地区、调查人群类别、问卷内容、正确回答人数、总调查人数等关键字段。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BF9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D3A0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BF2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39F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防治信息管理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E4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可管理机构更新6个防治表单的时间范围。关闭后则填报时间不受限制，重新修改时间范围后时间控制自动开启。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AE7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D73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1539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0C3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健康促进其他大众媒体类型校验</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CBB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健康促进记录管理中的“其他大众媒体类型”字段进行优化，修改其输入限制条件，确保用户只能填写非数字类型（即纯文本）内容。通过引入严格的输入验证机制，系统自动过滤数字字符，提升字段数据的规范性与一致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A13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78B1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4B11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93F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防治信息管理导出字段格式优化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F31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针对【健康促进记录管理】模块下的所有子模块（包括会议培训管理、慰问活动记录管理、督导支持记录管理、健康促进记录管理、防治经费记录管理、药品出入库记录管理、疫点调查｜强化发现）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28B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9727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A2FC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6C6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督导支持被检查地区与乡镇数优化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2B9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督导支持记录管理中的“被检查地区”功能进行优化，增加地区选择功能，可以选择「地区」、「类型」（乡镇、医院、其他）、「具体为」（填写乡镇或医院具体名称），其中选择医院时需要额外选择「医院级别」 ，【被检查乡镇数】字段修改文案且根据添加的地区自动统计</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786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441E6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67B86">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五、用户管理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703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用户管理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119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管理系统登录用户账号，包括用户的创建、权限分配、密码重置、启用/禁用等操作</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92A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E4B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98FF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00D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用户管理数据导出</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AD6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本功能模块提供用户管理模块的全面数据导出能力，支持一键导出所有系统存储字段，包括用户账号、姓名、所属机构、角色、创建时间等关键信息，确保导出数据格式规范</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958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142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18E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六、数据质控</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45F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麻风院村患者</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6D4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对麻风院村内患者的在院状态、基本信息和数据完整性进行质量核查</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02106">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19A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7BEB">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DCF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麻风院村最终转归患者</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F7B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对麻风院村中已治愈、死亡或其他转归结局的患者数据进行质量审核</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8D2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A1F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2BB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CCF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患者查重</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811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对系统内所有患者进行重复性检查，识别并处理重复录入的患者记录</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440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0AC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A28E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七、统计信息</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67B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表1：流行情况统计表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1EE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按年度和地区统计麻风病的发病数、患病数、患病率等核心流行指标</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813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C0E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DC24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E1B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表2：流行情况一览表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1B4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以一览表形式展示各地区麻风病流行概况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AEF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BABA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1959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34E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表3：流行情况分县统计表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9B6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按县级行政区划统计麻风病流行数据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46D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16D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E83A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C3D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表4：麻风病防治机构统计表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D28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统计各级麻风病防治专业机构的基本情况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24B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DFD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A004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55A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麻风病流行病学简表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4D2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汇总展示麻风病流行病学核心指标数据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ECF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72D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AEAC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110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现症病例随访到位率</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134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统计现症麻风病患者的定期随访完成情况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B56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031F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92BCE">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2E5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愈后监测病例随访到位率</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344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统计已治愈患者的愈后监测随访完成率</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905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29F6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9D86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1A9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随访记录审核情况统计表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C66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统计各级单位随访记录的审核完成情况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620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AF14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FF45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EB2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会议培训统计表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7BC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统计各级单位举办会议培训的场次、人次等数据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792">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175A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BE764">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21C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防护用品</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572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统计麻风病患者防护用品的需求与发放情况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3346">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AFD1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33A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0E9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防护器具</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440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统计防护器具（如防护鞋、护目镜等）的需求与发放情况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E9D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7C92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F5F6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6A9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期内假肢需求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E4A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统计当前报告期内麻风病畸残者的假肢需求数量</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F1C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1FA0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ADF4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214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期末现症假肢需求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63A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统计报告期末现症患者中需要假肢的人数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079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56CC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4207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210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期末愈后假肢需求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39B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统计报告期末愈后监测病例中需要假肢的人数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C0F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01FE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3D8B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365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期内手术需求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4EA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统计当前报告期内麻风病畸残者需要手术矫治的数量</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93B3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7EBE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340C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095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期末现症手术需求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A55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统计报告期末现症患者中需要手术矫治的人数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C12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665B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40BE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285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期末愈后手术需求</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F09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统计报告期末愈后监测病例中需要手术矫治的人数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B2F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20B8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A3F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A18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神经炎统计表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B47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统计麻风病患者神经炎的发生与治疗情况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26E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66B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6464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960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麻风反应统计表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C690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统计麻风病患者麻风反应（I型和II型）的发生与处理情况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A05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E07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BCA34">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E4C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药物不良反应统计表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C7B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统计麻风病患者在药物治疗中出现的不良反应情况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A61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9243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DDF9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0B9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被督导和技术支持统计表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92B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统计各单位接受上级督导和技术支持的次数与内容</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A97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C6C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6E14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356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督导和技术支持统计表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CD8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统计各单位对下级开展督导和技术支持的次数与内容</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5B5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E2C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772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2DE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麻防机构详情统计表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821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按机构维度统计麻防机构的详细信息和能力建设情况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D56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694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E154">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0F5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麻防机构数目统计表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7E2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按地区、级别等维度统计麻防机构的数量分布</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9CB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18EC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7518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52E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麻风院村详情统计表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C08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统计各麻风院村的详细信息，包括收治能力、入住人数等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52D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330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1915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894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报告(表)上报情况统计表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43E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统计各级单位各类报表报告的上报及时性和完整性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7EE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EFF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5491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D6F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慰问活动统计表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87B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统计各级单位开展慰问活动的次数、覆盖人数等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03A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7FB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995B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366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防治经费统计表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7E3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统计各级单位防治经费的来源和使用情况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C00B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1BE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4FF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CCFA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年康复服务率统计表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7F7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统计每年为麻风病畸残者提供康复服务的覆盖率</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902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4B75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468F4">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3A0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重点县麻风病知识培训统计表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F70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统计重点县开展麻风病防治知识培训的情况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CF4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6BF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BB3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EFD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规划核心指标统计表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79A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规划核心指标统计表：系统需提供规划核心指标统计表的多组数据并行统计功能，支持在同一界面中同时加载并展示多个维度的指标数据，便于对不同指标之间的变化趋势和相互关系进行直观对比分析。该功能应确保数据的准确性、完整性和实时性，使用户能够全面掌握各项核心指标的动态变化。同时，系统应具备灵活的数据筛选和展示能力，使用户能够根据需要自定义对比维度和统计范围。</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1B2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72C4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2AE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2CE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新增病例基本情况统计表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381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病例基本情况统计表：系统需提供新增病例基本情况统计表的多组数据并行统计功能，支持用户根据地区、时间及其他相关筛选条件灵活加载多组病例数据，并在同一界面进行横向对比分析。系统在展示数据时，应确保信息的准确性、完整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01E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178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664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84F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现症病例基本情况统计表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018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现症病例基本情况统计表：系统需提供现症病例基本情况统计表的多组数据并行统计功能，支持用户根据地区、时间及其他相关条件灵活组合筛选，以聚合和展示多组现症病例数据。在数据呈现过程中，系统应确保信息的准确性、完整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E62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2E3E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C1E6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2EF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防治工作情况统计表一</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B7C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【防治工作情况统计表一】相关指标；支持统计多组数据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617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0C5B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5B42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33B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防治工作情况统计表二</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4E5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【防治工作情况统计表二】保障措施；支持统计多组数据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F1D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7210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3833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C3C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防治工作情况统计表三</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C53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【防治工作情况统计表三】宣传教育；支持统计多组数据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E11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F3D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D5C1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539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防治工作情况统计表四</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BF7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【防治工作情况统计表四】高危人群监测和重点地区监测；支持统计多组数据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94D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895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44EB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0F2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防治工作情况统计表五</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8DF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【防治工作情况统计表五】重症处理和畸残康复；支持统计多组数据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7D2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9EA0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D739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58A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新发2级畸残比统计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072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【新发2级畸残比】支持统计多组数据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774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A51B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C9DB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D36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规则治疗率统计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64F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【规则治疗率】支持统计多组数据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4C8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92F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E089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CE3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核心知识知晓率统计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179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【核心知识知晓率】支持统计多组数据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527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356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39C8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770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预防性治疗率统计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699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【预防性治疗率】支持统计多组数据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4F1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5C1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66CBB">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941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风险位点检测率统计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510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【风险位点检测率】支持统计多组数据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978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7C1E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B9D2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F22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用户统计表</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312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【用户统计表】支持统计多组数据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947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08B2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96729">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7A0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现症病例随访到位率计算逻辑优化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E3C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针对现症病例随访到位率的计算逻辑进行精准优化，确保实际随访次数仅统计符合随访计划周期（如计划开始至结束时间范围内）且状态标记为“有效”（如已完成、已审核）的记录。</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9C7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7607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CF90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636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统计信息菜单文案标准化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CF1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系统内“统计信息”相关菜单项的显示文案进行标准化优化，确保所有菜单项文本符合统一的命名规范、术语一致性和业务语境要求。通过系统化调整文案内容，消除歧义、提升可读性，并增强用户操作直观性。此优化旨在解决因菜单项表述不统一导致的用户混淆、操作效率低下等问题，为系统整体用户体验和专业化形象提供支撑。</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9E8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51588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D43B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FEA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表3现症患者属于筛选优化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CED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统计信息表3：流行情况分县统计表】现症患者筛选条件优化，新增【现症患者属于】筛选，可以快捷选择省内（包含本省、本市、本区县），省外（包含：外省、港澳台、国外），通过新增筛选项快速筛选出符合条件的现症患者，确保数据统计准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D7C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336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33E3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八、高级查询</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2C3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期末现症病例</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4D8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按多条件组合查询报告期末登记在册的现症麻风病患者</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76E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A69A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C95A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7B6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期末需治病例</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6CD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查询报告期末需要进行药物治疗的麻风病患者</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4F8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FD1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E5DC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586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期末愈后监测病例</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CCD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查询报告期末处于愈后监测期的已治愈患者</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32D2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BEF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4FC8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ECB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患者属于</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D8B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按患者归属属性（户籍/常住/流动等）进行组合查询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269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1110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E709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8D3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发现方式</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01F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按患者发现途径（皮肤科就诊、接触者检查、线索调查等）进行查询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D5D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46D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5924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606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麻风反应病例</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B86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查询曾发生麻风反应的患者记录及处理情况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D76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71CB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234A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415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畸残病例</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993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查询存在畸残情况的麻风病患者及其畸残等级信息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7CE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BFD2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626A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ED8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抗麻风治疗情况</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4AD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查询患者抗麻风治疗用药方案、疗程及完成情况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E5B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A8FF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303D">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3C3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期内畸残变化查询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F65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系统支持根据期内畸残情况的变化，进行相应的数据统计与明细查询。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C00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1C5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FF02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AAD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期末需治及现症治疗情况查询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0E5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系统支持根据期末需治患者和期末现症患者的治疗情况，进行相应的数据统计与查询。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C22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996D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9942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914B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期末需治及现症查菌情况查询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784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系统支持根据期末需治患者和期末现症患者的查菌情况，开展相应的数据统计与查询。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A02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0D94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704F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8D5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期末需治及现症分型年龄查询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14A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系统支持根据期末需治患者和期末现症患者的治疗分型、临床分型（含组合年龄）情况进行统计与查询。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0DB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8A0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FE13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643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期末需治及现症属地查询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983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系统支持根据期末需治患者和期末现症患者的属地情况进行统计与查询。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764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191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7AC0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2C1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期末需治及现症年龄查询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8EB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系统支持根据期末需治患者和期末现症患者的年龄情况进行统计与查询。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726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6BC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1027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9DE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期末需治及现症性别查询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684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系统支持根据期末需治患者和期末现症患者的性别情况进行统计与查询。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391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6F4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CFFD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715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期末需治及现症畸残查询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8ED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系统支持根据期末需治患者和期末现症患者的畸残情况进行统计与查询。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067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0D67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DAD6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5B7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期末需治及现症住院村查询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182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系统支持根据期末需治患者和期末现症患者的住院村情况进行统计与查询。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644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F6D4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1E3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九、时间控制</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6E3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时间控制</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06F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设置和控制系统各模块的数据填报时间窗口，包括开始时间、截止时间，控制各级单位的上报时段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A414">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245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43A9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十、中转项目</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360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症状监测管理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B3C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对中转项目中麻风病可疑症状者的监测数据进行管理，包括症状登记、追踪和确诊情况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0E3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58E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1465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8D9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接触者检查</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1FC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管理中转项目中对麻风病患者密切接触者的检查结果和随访记录</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9E5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9C6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1C1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E9B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疫点调查</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F06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管理中转项目中对麻风病疫点（患者居住地周边）的调查信息和结果</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421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68DE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8A55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6FDB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强化病例发现</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ABB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管理中转项目中通过强化筛查活动发现的麻风病病例信息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0DE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264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34DAA">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6E0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中转项目统计实际任务合计</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6B8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症状监测管理、接触者检查、疫点调查、强化病例发现四个核心模块的统计表格进行优化，新增“实际任务合计”行，用于自动统计实际任务数（如已完成或有效的任务记录）。该行的计算逻辑与现有“合计”行保持一致，确保数据汇总的准确性与一致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506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4A61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7FED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54E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接触者检查化学预防字段逻辑优化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366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接触者检查中的【化学预防】字段逻辑进行优化，新增【往年已开展】、【项目未开展】选项，并增强字段间的联动控制与验证规则。当【化学预防】选择特定选项时，系统自动清空并禁用【服药种类】和【服药时间】字段；同时，引入【服药时间】与【检查年份】的一致性校验，确保数据录入的准确性与合规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F3E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D1E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203C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十一、基础数据管理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0FF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人口数据管理</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8C8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管理各地区的基础人口数据（分年龄、性别等），作为患病率等指标计算的分母</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138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A0A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0DDDB">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1A6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行政区划调整</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AD5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当行政区划发生变更时，调整系统中的行政区划代码和层级关系</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D4E0">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58C3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3E7E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B5B">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数据地址调整</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4FE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批量调整系统中数据记录的归属地址，适配行政区划变更后的数据归属</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13A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EB7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00AA2">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F32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病历地址修改</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8C6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对个别患者病历中的地址信息进行修正，确保地址信息准确</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EF8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B5B0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AB8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十二、个案病例导出</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A97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个案病例导出</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F70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按条件筛选患者个案信息并导出为数据文件（如Excel），支持自定义导出字段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02D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44F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75C82">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十三、报表|报告管理</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11B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上半年报表-表1</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D01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填报和管理上半年度麻风病防治工作报表表1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EC9D">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4BAF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9D1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9A4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年度报表-表1</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F48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填报和管理全年度麻风病防治工作报表表1（流行情况统计）</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41B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6741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49E25">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F03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年度报表-表2</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9E2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填报和管理全年度麻风病防治工作报表表2（流行情况一览表）</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472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FF1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503A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928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年度报表-表3</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7FC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填报和管理全年度麻风病防治工作报表表3</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6A7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0637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84C63">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A9E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年度报表-表4</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663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填报和管理全年度麻风病防治工作报表表4</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A209">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239E1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3578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104F">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年度报表-表5</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3AC4">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填报和管理全年度麻风病防治工作报表表5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C2E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43746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EDB1">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B6F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年度工作计划</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9FE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各级防治机构提交和管理年度麻风病防治工作计划文档</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7582">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722D3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9BE6">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DB4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年度工作总结</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7D7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各级防治机构提交和管理年度麻风病防治工作总结文档</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6E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36BC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BEA3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16A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年度疫情报告</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9B6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各级防治机构提交和管理年度麻风病疫情分析报告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0EAF">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FA6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F9E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十四、可视化大屏</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F81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可视化大屏</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0B5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本功能模块为中转项目提供专业的数据可视化大屏展示能力，通过集成多种图表类型（柱状图、折线图、地图热力图等）动态呈现多组结构化数据，并支持实时数据刷新与交互式钻取分析。系统通过直观的视觉呈现和灵活的交互操作，帮助用户了解区域分布与趋势变化。</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0973">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4C1D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D678">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E31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防治工作大屏</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9206">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【防治工作】大屏支持对多组数据进行统计分析，并将统计结果以图形化方式展示，包括柱状图、折线图、饼图等多种可视化形式，以便直观呈现防治工作相关指标的趋势与分布情况。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AA7C">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0104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5D4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D09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关键指标大屏</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C76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【关键指标】大屏支持对多组关键数据进行统计分析，并将统计结果以图形化方式展示，包括柱状图、折线图、饼图等多种可视化形式，以便直观呈现关键指标的变化趋势与分布情况。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CD5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85F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EA9F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十五、系统功能（非菜单模块）</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E83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编辑个人信息</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65C2">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当前登录用户修改个人基本信息（姓名、联系方式等）</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792E">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535E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6A3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A04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角色切换</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78B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在用户拥有的多个角色之间切换，不同角色对应不同的功能权限</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AEF5">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19B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9637B">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7EF5">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前往麻风大屏</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0B17">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跳转至麻风病防治数据可视化大屏，展示核心指标仪表盘</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974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116ED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994FC">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0F8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退出登录</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5CB8">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退出当前登录会话，返回登录页面</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6028">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原有</w:t>
            </w:r>
          </w:p>
        </w:tc>
      </w:tr>
      <w:tr w14:paraId="5DA8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10F4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394E">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工作提醒</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FA2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本功能模块通过内置的智能化提醒引擎，自动监控系统内各类任务（如随访任务、报表填报任务及其他待办事项）的时效性，基于预设规则实时检测即将到期或已逾期项目，并向相关责任人推送精准通知。提醒内容包含任务类型、关联对象、截止时间等关键信息。</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608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27828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7CCA7">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十六、功能优化</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605C">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操作说明与历史记录时间轴</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6B9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通过在病历、随访、麻防单位、麻风院村等核心模块中新增「操作说明」录入功能，并集成至历史记录时间轴，实现对关键操作的可追溯文档化管理。用户可为特定操作（如病历修改、随访执行）添加说明，系统自动将说明详情关联至时间轴，形成完整的操作记录。</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E91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62E2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E21CF">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3899">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任务数录入权限分级控制</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F70D">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通过按行政层级精细化控制任务数录入权限，确保各级用户仅能操作其权限范围内的任务数数据。具体权限分配为：国家级用户可录入国家、省、市、县四级任务数；省级用户仅可录入市、县两级；市级用户仅可录入县级；县级用户无录入权限。</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D50B">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39977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73757">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11D1">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表单提交错误定位与高亮</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A6E3">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针对系统内所有表单提交流程进行优化，当用户提交表单时，若存在验证错误（如必填字段为空、格式不符等），系统自动滚动页面至第一个不符合校验规则的字段位置，并高亮显示错误信息。通过增强错误反馈的即时性与精准性。</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249A">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r w14:paraId="19C68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9030">
            <w:pPr>
              <w:pageBreakBefore w:val="0"/>
              <w:kinsoku/>
              <w:wordWrap/>
              <w:topLinePunct w:val="0"/>
              <w:bidi w:val="0"/>
              <w:spacing w:line="360" w:lineRule="auto"/>
              <w:jc w:val="center"/>
              <w:rPr>
                <w:rFonts w:hint="eastAsia" w:ascii="宋体" w:hAnsi="宋体" w:eastAsia="宋体" w:cs="宋体"/>
                <w:i w:val="0"/>
                <w:iCs w:val="0"/>
                <w:color w:val="auto"/>
                <w:kern w:val="2"/>
                <w:sz w:val="24"/>
                <w:szCs w:val="24"/>
                <w:highlight w:val="none"/>
                <w:u w:val="none"/>
                <w:lang w:val="en-US" w:eastAsia="zh-CN"/>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1160">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字段优化</w:t>
            </w:r>
          </w:p>
        </w:tc>
        <w:tc>
          <w:tcPr>
            <w:tcW w:w="4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277A">
            <w:pPr>
              <w:keepNext w:val="0"/>
              <w:keepLines w:val="0"/>
              <w:pageBreakBefore w:val="0"/>
              <w:widowControl/>
              <w:suppressLineNumbers w:val="0"/>
              <w:kinsoku/>
              <w:wordWrap/>
              <w:topLinePunct w:val="0"/>
              <w:bidi w:val="0"/>
              <w:spacing w:line="360" w:lineRule="auto"/>
              <w:jc w:val="left"/>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根据国家减负要求，对现有字段及其选项进行标准化处理，包括但不限于对字段进行拆解与合并，以及对历史数据进行相应的拆解与合并，以确保数据结构更加规范统一并满足最新政策要求。</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9E81">
            <w:pPr>
              <w:keepNext w:val="0"/>
              <w:keepLines w:val="0"/>
              <w:pageBreakBefore w:val="0"/>
              <w:widowControl/>
              <w:suppressLineNumbers w:val="0"/>
              <w:kinsoku/>
              <w:wordWrap/>
              <w:topLinePunct w:val="0"/>
              <w:bidi w:val="0"/>
              <w:spacing w:line="360" w:lineRule="auto"/>
              <w:jc w:val="center"/>
              <w:textAlignment w:val="center"/>
              <w:rPr>
                <w:rFonts w:hint="eastAsia" w:ascii="宋体" w:hAnsi="宋体" w:eastAsia="宋体" w:cs="宋体"/>
                <w:i w:val="0"/>
                <w:iCs w:val="0"/>
                <w:color w:val="auto"/>
                <w:kern w:val="2"/>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bidi="ar"/>
              </w:rPr>
              <w:t>新增</w:t>
            </w:r>
          </w:p>
        </w:tc>
      </w:tr>
    </w:tbl>
    <w:p w14:paraId="0F4AFEDC">
      <w:pPr>
        <w:pageBreakBefore w:val="0"/>
        <w:kinsoku/>
        <w:wordWrap/>
        <w:topLinePunct w:val="0"/>
        <w:bidi w:val="0"/>
        <w:spacing w:line="360" w:lineRule="auto"/>
        <w:ind w:right="17"/>
        <w:rPr>
          <w:rFonts w:hint="eastAsia" w:ascii="宋体" w:hAnsi="宋体" w:eastAsia="宋体" w:cs="宋体"/>
          <w:color w:val="auto"/>
          <w:kern w:val="2"/>
          <w:sz w:val="24"/>
          <w:szCs w:val="24"/>
          <w:highlight w:val="none"/>
          <w:lang w:val="en-US" w:eastAsia="zh-CN"/>
        </w:rPr>
      </w:pPr>
    </w:p>
    <w:p w14:paraId="1456A90C">
      <w:pPr>
        <w:keepNext w:val="0"/>
        <w:keepLines w:val="0"/>
        <w:pageBreakBefore w:val="0"/>
        <w:widowControl w:val="0"/>
        <w:numPr>
          <w:ilvl w:val="1"/>
          <w:numId w:val="8"/>
        </w:numPr>
        <w:kinsoku/>
        <w:wordWrap/>
        <w:topLinePunct w:val="0"/>
        <w:bidi w:val="0"/>
        <w:snapToGrid w:val="0"/>
        <w:spacing w:line="360" w:lineRule="auto"/>
        <w:jc w:val="left"/>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四、功能要求</w:t>
      </w:r>
    </w:p>
    <w:p w14:paraId="1364B4E5">
      <w:pPr>
        <w:keepNext/>
        <w:pageBreakBefore w:val="0"/>
        <w:widowControl/>
        <w:kinsoku/>
        <w:wordWrap/>
        <w:topLinePunct w:val="0"/>
        <w:bidi w:val="0"/>
        <w:spacing w:line="360" w:lineRule="auto"/>
        <w:outlineLvl w:val="2"/>
        <w:rPr>
          <w:rFonts w:hint="eastAsia" w:ascii="宋体" w:hAnsi="宋体" w:eastAsia="宋体" w:cs="宋体"/>
          <w:b/>
          <w:bCs/>
          <w:color w:val="auto"/>
          <w:kern w:val="2"/>
          <w:sz w:val="24"/>
          <w:szCs w:val="24"/>
          <w:highlight w:val="none"/>
          <w:lang w:val="en-US" w:eastAsia="zh-CN" w:bidi="en-US"/>
        </w:rPr>
      </w:pPr>
      <w:bookmarkStart w:id="50" w:name="_Toc453021721"/>
      <w:r>
        <w:rPr>
          <w:rFonts w:hint="eastAsia" w:ascii="宋体" w:hAnsi="宋体" w:eastAsia="宋体" w:cs="宋体"/>
          <w:b/>
          <w:bCs/>
          <w:color w:val="auto"/>
          <w:kern w:val="2"/>
          <w:sz w:val="24"/>
          <w:szCs w:val="24"/>
          <w:highlight w:val="none"/>
          <w:lang w:val="en-US" w:eastAsia="zh-CN" w:bidi="en-US"/>
        </w:rPr>
        <w:t>4.1系统总体要求</w:t>
      </w:r>
      <w:bookmarkEnd w:id="50"/>
    </w:p>
    <w:p w14:paraId="4B330DF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4.1.1▲必须满足国家和卫生主管部门要求，所有功能符合和支持国家及相关部门标准和规范要求。</w:t>
      </w:r>
    </w:p>
    <w:p w14:paraId="620E603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4.1.2▲满足因管理和业务运行模式的变化而提出的所有新功能及客户化修改需求,系统功能满足实际需求。因政策变化或上级管理的要求而导致的软件修改需求，在规定的时间内免费修改完成，以使系统适应政策变化和上级管理的要求。</w:t>
      </w:r>
    </w:p>
    <w:p w14:paraId="01F4A1F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4.1.3▲本项目考虑与医院现有的全国麻性病风病防治管理信息系统的网络和硬件环境整合。数据库服务器和应用服务器部署应采用安全信息通道（高性能边界安全配置）。</w:t>
      </w:r>
    </w:p>
    <w:p w14:paraId="2001E33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4.1.4★本项目升级过程中及升级后均需满足国家网络安全等保三级要求。</w:t>
      </w:r>
    </w:p>
    <w:p w14:paraId="68D81B6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4.1.5★本项目系统升级切换全过程须保障业务零中断、用户无感知，用户界面、操作逻辑与业务流程保持一致。历史全量数据（含结构化数据、非结构化文件及系统配置）须100%准确迁移，提供新旧系统数据一致性校验报告（如条数比对、核心字段哈希校验）。须提交详细的平滑切换方案、失败回滚预案及回滚演练记录，确保在异常情况下能快速回退且数据不丢失。</w:t>
      </w:r>
    </w:p>
    <w:p w14:paraId="7DDEF73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bookmarkStart w:id="51" w:name="_Toc453021722"/>
      <w:r>
        <w:rPr>
          <w:rFonts w:hint="eastAsia" w:ascii="宋体" w:hAnsi="宋体" w:eastAsia="宋体" w:cs="宋体"/>
          <w:color w:val="auto"/>
          <w:sz w:val="24"/>
          <w:szCs w:val="24"/>
          <w:highlight w:val="none"/>
          <w:lang w:val="en-US" w:eastAsia="zh-CN"/>
        </w:rPr>
        <w:t>4.2 系统技术要求</w:t>
      </w:r>
      <w:bookmarkEnd w:id="51"/>
    </w:p>
    <w:p w14:paraId="0AC4540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4.2.1 ▲系统采用的技术路线和主要技术，是目前主流技术，并能够满足各应用软件目前和未来信息化长期发展的要求。</w:t>
      </w:r>
    </w:p>
    <w:p w14:paraId="641697E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4.2.2 ▲响应速度快。各级一线工作站高峰期操作系统时无感觉等待，查询操作进行预处理以加快查询速度。并发用户同时运行时不能出现堵塞现象。</w:t>
      </w:r>
    </w:p>
    <w:p w14:paraId="16F5E0C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4.2.3 所提供系统的模块化程度高，对业务流程和管理方式的适应能力要强，系统必须具备参数化设置的功能，并提供相应的工具，维护部门可以通过参数配置来维护、配置系统功能权限、界面显示，流程配置等功能。</w:t>
      </w:r>
    </w:p>
    <w:p w14:paraId="43D81D8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4.2.4 应用软件与数据库系统的设计要做到安全可靠，防止非法用户的入侵；要防止合法用户使用数据库时向数据库加入不合语义的数据，对输入的数据要有审核和约束机制。</w:t>
      </w:r>
    </w:p>
    <w:p w14:paraId="6FEAF1B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bookmarkStart w:id="52" w:name="_Toc149016999"/>
      <w:r>
        <w:rPr>
          <w:rFonts w:hint="eastAsia" w:ascii="宋体" w:hAnsi="宋体" w:eastAsia="宋体" w:cs="宋体"/>
          <w:color w:val="auto"/>
          <w:sz w:val="24"/>
          <w:szCs w:val="24"/>
          <w:highlight w:val="none"/>
          <w:lang w:val="en-US" w:eastAsia="zh-CN"/>
        </w:rPr>
        <w:t>4.2.5▲系统成熟、稳定</w:t>
      </w:r>
      <w:bookmarkEnd w:id="52"/>
      <w:r>
        <w:rPr>
          <w:rFonts w:hint="eastAsia" w:ascii="宋体" w:hAnsi="宋体" w:eastAsia="宋体" w:cs="宋体"/>
          <w:color w:val="auto"/>
          <w:sz w:val="24"/>
          <w:szCs w:val="24"/>
          <w:highlight w:val="none"/>
          <w:lang w:val="en-US" w:eastAsia="zh-CN"/>
        </w:rPr>
        <w:t>：整个系统应具有很高的安全可靠性，必须满足7×24×365 小时连续运行的要求。在故障发生时，网络设备可以快速自动地切换到备份设备上。提供系统和数据库完整有效的备份与恢复方案，以防止灾难发生。年故障频率小于2次，每次故障时间小于1小时（故障是指全院无法使用的大故障）。</w:t>
      </w:r>
    </w:p>
    <w:p w14:paraId="378BA2E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bookmarkStart w:id="53" w:name="_Toc149017000"/>
      <w:r>
        <w:rPr>
          <w:rFonts w:hint="eastAsia" w:ascii="宋体" w:hAnsi="宋体" w:eastAsia="宋体" w:cs="宋体"/>
          <w:color w:val="auto"/>
          <w:sz w:val="24"/>
          <w:szCs w:val="24"/>
          <w:highlight w:val="none"/>
          <w:lang w:val="en-US" w:eastAsia="zh-CN"/>
        </w:rPr>
        <w:t>4.2.6▲系统安全</w:t>
      </w:r>
      <w:bookmarkEnd w:id="53"/>
    </w:p>
    <w:p w14:paraId="37A26AB1">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对于重要数据，系统只能提供有痕迹的更正功能。</w:t>
      </w:r>
    </w:p>
    <w:p w14:paraId="6F00EA1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提供系统运行日志和错误日志。</w:t>
      </w:r>
    </w:p>
    <w:p w14:paraId="3EAD375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提供基于用户名、密码的用户身份认证系统</w:t>
      </w:r>
    </w:p>
    <w:p w14:paraId="43BE20E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提供分别基于角色、基于功能的用户权限管理功能。</w:t>
      </w:r>
    </w:p>
    <w:p w14:paraId="7BF8F67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完善的用户权限管理与授权机制。</w:t>
      </w:r>
    </w:p>
    <w:p w14:paraId="10E4DF0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不同权限进入不同层次、功能的菜单。</w:t>
      </w:r>
    </w:p>
    <w:p w14:paraId="5C82DB0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系统提供操作权限管理工具，无需通过修改程序进行授权。</w:t>
      </w:r>
    </w:p>
    <w:p w14:paraId="5223A97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提供不同权限的数据库用户和系统管理员登陆方式，保证系统安全。</w:t>
      </w:r>
    </w:p>
    <w:p w14:paraId="15BD14E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提供网络安全监控，有效防止网络的非法访问。</w:t>
      </w:r>
      <w:bookmarkStart w:id="54" w:name="_Toc149017001"/>
    </w:p>
    <w:p w14:paraId="5AF18C8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满足国家三级等保要求。</w:t>
      </w:r>
    </w:p>
    <w:bookmarkEnd w:id="54"/>
    <w:p w14:paraId="412B8A9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en-US"/>
        </w:rPr>
      </w:pPr>
      <w:bookmarkStart w:id="55" w:name="_Toc149017004"/>
      <w:r>
        <w:rPr>
          <w:rFonts w:hint="eastAsia" w:ascii="宋体" w:hAnsi="宋体" w:eastAsia="宋体" w:cs="宋体"/>
          <w:color w:val="auto"/>
          <w:sz w:val="24"/>
          <w:szCs w:val="24"/>
          <w:highlight w:val="none"/>
          <w:lang w:val="en-US" w:eastAsia="zh-CN"/>
        </w:rPr>
        <w:t>4.2.7</w:t>
      </w:r>
      <w:r>
        <w:rPr>
          <w:rFonts w:hint="eastAsia" w:ascii="宋体" w:hAnsi="宋体" w:eastAsia="宋体" w:cs="宋体"/>
          <w:color w:val="auto"/>
          <w:sz w:val="24"/>
          <w:szCs w:val="24"/>
          <w:highlight w:val="none"/>
          <w:lang w:val="en-US" w:eastAsia="en-US"/>
        </w:rPr>
        <w:t>操作方便性</w:t>
      </w:r>
      <w:bookmarkEnd w:id="55"/>
    </w:p>
    <w:p w14:paraId="7E459CD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操作界面友善。</w:t>
      </w:r>
    </w:p>
    <w:p w14:paraId="32337E60">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操作方便、易于掌握。</w:t>
      </w:r>
    </w:p>
    <w:p w14:paraId="46E39E4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符合操作人员的工作习惯。</w:t>
      </w:r>
    </w:p>
    <w:p w14:paraId="06BBEFF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操作有联机帮助功能。</w:t>
      </w:r>
      <w:bookmarkStart w:id="56" w:name="_Toc149017005"/>
    </w:p>
    <w:bookmarkEnd w:id="56"/>
    <w:p w14:paraId="7ECBF9B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bookmarkStart w:id="57" w:name="_Toc149017008"/>
      <w:r>
        <w:rPr>
          <w:rFonts w:hint="eastAsia" w:ascii="宋体" w:hAnsi="宋体" w:eastAsia="宋体" w:cs="宋体"/>
          <w:color w:val="auto"/>
          <w:sz w:val="24"/>
          <w:szCs w:val="24"/>
          <w:highlight w:val="none"/>
          <w:lang w:val="en-US" w:eastAsia="zh-CN"/>
        </w:rPr>
        <w:t>4.2.8系统可维护</w:t>
      </w:r>
      <w:bookmarkEnd w:id="57"/>
    </w:p>
    <w:p w14:paraId="3C38B7BF">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系统的设计要方便维护。</w:t>
      </w:r>
    </w:p>
    <w:p w14:paraId="5566DF6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提供所有功能模块的客户化修改文档。</w:t>
      </w:r>
    </w:p>
    <w:p w14:paraId="1A6834ED">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提供软、硬件、接口及系统的测试数据和方法。</w:t>
      </w:r>
    </w:p>
    <w:p w14:paraId="3D4D706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提供维护所需要的技术文档资料与培训，维护资料齐全。</w:t>
      </w:r>
    </w:p>
    <w:p w14:paraId="1FEFFFC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对软件系统负责终身维护。</w:t>
      </w:r>
      <w:bookmarkStart w:id="58" w:name="_Toc149017009"/>
    </w:p>
    <w:p w14:paraId="2CA848C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4.2.9系统可升级</w:t>
      </w:r>
      <w:bookmarkEnd w:id="58"/>
      <w:r>
        <w:rPr>
          <w:rFonts w:hint="eastAsia" w:ascii="宋体" w:hAnsi="宋体" w:eastAsia="宋体" w:cs="宋体"/>
          <w:color w:val="auto"/>
          <w:sz w:val="24"/>
          <w:szCs w:val="24"/>
          <w:highlight w:val="none"/>
          <w:lang w:val="en-US" w:eastAsia="zh-CN"/>
        </w:rPr>
        <w:t xml:space="preserve"> </w:t>
      </w:r>
    </w:p>
    <w:p w14:paraId="2A0DAFD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系统可升级，并有统一、方便的升级方式。</w:t>
      </w:r>
      <w:bookmarkStart w:id="59" w:name="_Toc149017010"/>
    </w:p>
    <w:bookmarkEnd w:id="59"/>
    <w:p w14:paraId="437FD88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bookmarkStart w:id="60" w:name="_Toc149638596"/>
      <w:r>
        <w:rPr>
          <w:rFonts w:hint="eastAsia" w:ascii="宋体" w:hAnsi="宋体" w:eastAsia="宋体" w:cs="宋体"/>
          <w:color w:val="auto"/>
          <w:sz w:val="24"/>
          <w:szCs w:val="24"/>
          <w:highlight w:val="none"/>
          <w:lang w:val="en-US" w:eastAsia="zh-CN"/>
        </w:rPr>
        <w:t>4.2.10信息安全与数据保密</w:t>
      </w:r>
      <w:bookmarkEnd w:id="60"/>
    </w:p>
    <w:p w14:paraId="636F75E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注重网络安全、信息安全，保证系统安全性，严格防止信息泄漏。</w:t>
      </w:r>
    </w:p>
    <w:p w14:paraId="7AA3D8C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具有数据保密功能。</w:t>
      </w:r>
    </w:p>
    <w:p w14:paraId="23090D8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多级安全机制：系统应有严密的安全体系，保证数据处理和传输全过程和数据存储在服务端的安全性；</w:t>
      </w:r>
    </w:p>
    <w:p w14:paraId="64CDB80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系统采用加密处理，保证网络环境下数据的安全，防止病毒入侵、非法访问、恶意更改毁坏。</w:t>
      </w:r>
    </w:p>
    <w:p w14:paraId="05CEF66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4.2.11系统必须支持在虚拟化环境下的部署,支持虚拟机的动态迁移,保证系统的高可用性,不得使用硬件加密狗加密软件。如使用硬件加密狗，应提供满足虚拟机动态迁移的解决方案。</w:t>
      </w:r>
    </w:p>
    <w:p w14:paraId="5B21EA38">
      <w:pPr>
        <w:pageBreakBefore w:val="0"/>
        <w:kinsoku/>
        <w:wordWrap/>
        <w:topLinePunct w:val="0"/>
        <w:bidi w:val="0"/>
        <w:spacing w:line="360" w:lineRule="auto"/>
        <w:rPr>
          <w:rFonts w:hint="eastAsia" w:ascii="宋体" w:hAnsi="宋体" w:eastAsia="宋体" w:cs="宋体"/>
          <w:color w:val="auto"/>
          <w:kern w:val="2"/>
          <w:sz w:val="24"/>
          <w:szCs w:val="24"/>
          <w:highlight w:val="none"/>
          <w:lang w:val="en-US" w:eastAsia="zh-CN"/>
        </w:rPr>
      </w:pPr>
    </w:p>
    <w:p w14:paraId="3A72A5B5">
      <w:pPr>
        <w:keepNext w:val="0"/>
        <w:keepLines w:val="0"/>
        <w:pageBreakBefore w:val="0"/>
        <w:widowControl w:val="0"/>
        <w:numPr>
          <w:ilvl w:val="1"/>
          <w:numId w:val="8"/>
        </w:numPr>
        <w:kinsoku/>
        <w:wordWrap/>
        <w:topLinePunct w:val="0"/>
        <w:bidi w:val="0"/>
        <w:snapToGrid w:val="0"/>
        <w:spacing w:line="360" w:lineRule="auto"/>
        <w:jc w:val="left"/>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五、</w:t>
      </w:r>
      <w:bookmarkStart w:id="61" w:name="_Toc24638"/>
      <w:r>
        <w:rPr>
          <w:rFonts w:hint="eastAsia" w:ascii="宋体" w:hAnsi="宋体" w:eastAsia="宋体" w:cs="宋体"/>
          <w:b/>
          <w:bCs/>
          <w:color w:val="auto"/>
          <w:kern w:val="2"/>
          <w:sz w:val="24"/>
          <w:szCs w:val="24"/>
          <w:highlight w:val="none"/>
          <w:lang w:val="en-US" w:eastAsia="zh-CN" w:bidi="ar-SA"/>
        </w:rPr>
        <w:t>项目管理与实施要求</w:t>
      </w:r>
      <w:bookmarkEnd w:id="61"/>
    </w:p>
    <w:p w14:paraId="7DDD8E4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 项目管理</w:t>
      </w:r>
    </w:p>
    <w:p w14:paraId="672DF7E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结合对本项目的理解，投标人需提出针对本项目的实施方案、制定可行的质量保障措施、建立测试审核制度。</w:t>
      </w:r>
    </w:p>
    <w:p w14:paraId="0E34E27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 ▲项目进度</w:t>
      </w:r>
    </w:p>
    <w:p w14:paraId="5280D1E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（1）合同签署后，中标方完成需求调研并制定实施管理方案；</w:t>
      </w:r>
    </w:p>
    <w:p w14:paraId="0C3BA5A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（2）90天内完成；</w:t>
      </w:r>
    </w:p>
    <w:p w14:paraId="6AE2E98D">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（3）上线后，双方组织验收；验收合格后系统进入维保期。</w:t>
      </w:r>
    </w:p>
    <w:p w14:paraId="6DD0A9D0">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 试运行</w:t>
      </w:r>
    </w:p>
    <w:p w14:paraId="1CA61503">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上线试运行周期为10日。在此期间，供应商须按采购人要求提供培训和技术支持，保证用户能够正确理解和使用系统；供应商必须对试运行中出现的任何问题及采购人提出的修改意见做出响应，并提交解决方案，在采购人确认后实施。试运行期间如出现重大故障，则试运行期从故障排除之日起重新计算。</w:t>
      </w:r>
    </w:p>
    <w:p w14:paraId="751EC0D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5.4 ▲系统验收</w:t>
      </w:r>
    </w:p>
    <w:p w14:paraId="34E5A5B7">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在验收阶段，采购人从系统的实用性、稳定性、可维护性、灵活性、可操作性、安全性及系统文档、代码、规范及注释说明等方面组织全面验收。</w:t>
      </w:r>
    </w:p>
    <w:p w14:paraId="69389F6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（一）验收标准</w:t>
      </w:r>
    </w:p>
    <w:p w14:paraId="25BB074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系统试运行期结束后，由采购人组织验收，对项目进行全面验收，内容包括：测试对象及应达到的测试指标、测试方法和测试条件、测试资料和数据。</w:t>
      </w:r>
    </w:p>
    <w:p w14:paraId="205109F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（二）验收内容</w:t>
      </w:r>
    </w:p>
    <w:p w14:paraId="65196772">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（1）系统实用性：项目验收最关键的指标，检查系统是否符合当前业务的需要，特别是业务流的整体性和数据流的一致性，并前瞻性提供未来业务接口。</w:t>
      </w:r>
    </w:p>
    <w:p w14:paraId="611DA60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（2）系统稳定性：硬件环境的稳定性、软件运行异常处理和正常运行情况。</w:t>
      </w:r>
    </w:p>
    <w:p w14:paraId="762AF5B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（3）系统可维护性：含网络系统管理与维护、操作系统管理与维护、应用系统软件管理与维护、数据库管理与维护以及数据库备份、应用系统备份，灾难事件处理与解决实施方案等。</w:t>
      </w:r>
    </w:p>
    <w:p w14:paraId="2AF6C4D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（4）系统安全性：是否有完善的安全机制保证系统的安全性，如软件方面的安全防范（加密措施、相关认证、数据库安全防范），硬件方面（防火墙、物理隔离和逻辑隔离）的安全设置。</w:t>
      </w:r>
    </w:p>
    <w:p w14:paraId="0444FF3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（5）系统可操作性：界面是否友好；是否实现傻瓜化操作和智能化数据检索功能。</w:t>
      </w:r>
    </w:p>
    <w:p w14:paraId="4BE8E899">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（6）系统灵活性：系统是否方便客户进行维护；系统是否在先进性的基础上具备未来升级和可扩充性；是否利于系统平台迁移和部署等。</w:t>
      </w:r>
    </w:p>
    <w:p w14:paraId="65D498E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（7）代码规范及注释说明：程序代码编写是否规范；注释说明或代码文档是否详细全面；接口定义是否符合信息系统规划一致性的要求。</w:t>
      </w:r>
    </w:p>
    <w:p w14:paraId="348B683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（8）系统文档：验收文档是否齐全、规范、准确、详细，主要的文档包括：测试报告、系统部署、操作手册等。</w:t>
      </w:r>
    </w:p>
    <w:p w14:paraId="0013CFFC">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5.5 培训</w:t>
      </w:r>
    </w:p>
    <w:p w14:paraId="76C397DE">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为更好的应用本系统，需要对采购人进行系统、有效的培训服务。包括熟悉业务流程、掌握应用系统使用操作和管理操作、了解注意事项等。</w:t>
      </w:r>
    </w:p>
    <w:p w14:paraId="53ECA2C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培训根据实际情况采用线上或线下形式，由采购人指定具体培训时间和培训地点，可分期分批进行。对于所有培训，供应商须派出具有相应专业知识、丰富的实际工作经验的专业人员进行培训。培训使用的资料、文件、多媒体演示系统将由供应商准备，均用中文编写。培训所需的硬件设施与场地、接受培训者的交通食宿由采购人承担，培训师的交通和食宿费用由供应商承担。供应商应该根据项目要求提供培训计划和费用估算明细并计入投标总价。</w:t>
      </w:r>
    </w:p>
    <w:p w14:paraId="3B5A19A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5.6 ▲技术支持与售后服务</w:t>
      </w:r>
    </w:p>
    <w:p w14:paraId="74EC011F">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（一）试运行期间的技术支持与服务</w:t>
      </w:r>
    </w:p>
    <w:p w14:paraId="6AAC10E6">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产品试运行期间，供应商须向采购人提供免费的技术支持和服务，服务内容应包括但不限于下述内容：技术协助、升级服务、调优、故障排除等。服务方式包括电话支持、文档提供、现场支持等多种以解决实际问题为目的的方式。供应商须提供7×24小时技术支持和服务，如出现技术故障，应在2个小时内使系统得以正常运行。如在8小时内（含节假日）未解决故障和问题，供应商应采取紧急预案，使系统得以正常运行。</w:t>
      </w:r>
    </w:p>
    <w:p w14:paraId="5051FB78">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（二）质量保证期内的技术支持与售后服务</w:t>
      </w:r>
    </w:p>
    <w:p w14:paraId="0B2B5EA9">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（1）供应商必须提供终验之日起一年质量保证期内的7×24小时的免费技术支持和服务。方式应包括但不限于：电话技术服务、现场技术服务、定期巡查服务、性能调优、技术升级服务等。</w:t>
      </w:r>
    </w:p>
    <w:p w14:paraId="7AB7CBF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（2）在质量保证期间，供应商必须在2小时内对采购人所提出的维护要求做出实质性反应，及时解决系统运行中的问题。</w:t>
      </w:r>
    </w:p>
    <w:p w14:paraId="7ECF84C5">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系统运行过程中如果出现各种技术故障和问题，供应商的专业工程师应在2个小时内及时解除故障，使系统得以正常运行。如果在8小时内（节、假日也不例外）未解决故障和问题，供应商应采取紧急预案，使系统得以正常运行。</w:t>
      </w:r>
    </w:p>
    <w:p w14:paraId="382909D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（4）如果由于维修服务失误或产品故障造成最终用户损失，除承担赔偿外，还要提供处理办法。</w:t>
      </w:r>
    </w:p>
    <w:p w14:paraId="4F32E24B">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（5）供应商须详细列出质量保证期内售后服务和应急方案，并作为合同的一部分。</w:t>
      </w:r>
    </w:p>
    <w:p w14:paraId="25F6C9B4">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5.7 质量保证期外的技术支持与服务</w:t>
      </w:r>
    </w:p>
    <w:p w14:paraId="56EDD59A">
      <w:pPr>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保证期后继续提供服务（费用另行协商），同时为用户提供质量保证期结束后完整的服务维修计划（需详细逐年列出），包括服务内容、响应时间、服务方式、费用核算、质量保障等。相关费用不计入本次招标报价。</w:t>
      </w:r>
    </w:p>
    <w:p w14:paraId="1A79E534">
      <w:pPr>
        <w:spacing w:line="360" w:lineRule="auto"/>
        <w:ind w:left="229" w:hanging="229"/>
        <w:rPr>
          <w:rFonts w:hint="eastAsia" w:ascii="宋体" w:hAnsi="宋体" w:eastAsia="宋体" w:cs="Times New Roman"/>
          <w:b/>
          <w:bCs/>
          <w:color w:val="auto"/>
          <w:highlight w:val="none"/>
          <w:lang w:val="en-US" w:eastAsia="zh-CN"/>
        </w:rPr>
      </w:pPr>
    </w:p>
    <w:p w14:paraId="4C9114DB">
      <w:pPr>
        <w:spacing w:line="360" w:lineRule="auto"/>
        <w:ind w:left="229" w:hanging="229"/>
        <w:rPr>
          <w:rFonts w:ascii="宋体" w:hAnsi="宋体" w:cs="宋体"/>
          <w:b/>
          <w:bCs/>
          <w:color w:val="auto"/>
          <w:highlight w:val="none"/>
          <w:lang w:val="en-US" w:eastAsia="zh-CN"/>
        </w:rPr>
      </w:pPr>
      <w:r>
        <w:rPr>
          <w:rFonts w:hint="eastAsia" w:ascii="宋体" w:hAnsi="宋体" w:eastAsia="宋体" w:cs="Times New Roman"/>
          <w:b/>
          <w:bCs/>
          <w:color w:val="auto"/>
          <w:highlight w:val="none"/>
          <w:lang w:val="en-US" w:eastAsia="zh-CN"/>
        </w:rPr>
        <w:t>特别说明：</w:t>
      </w:r>
      <w:r>
        <w:rPr>
          <w:rFonts w:hint="eastAsia" w:ascii="宋体" w:hAnsi="宋体" w:eastAsia="宋体"/>
          <w:b/>
          <w:bCs/>
          <w:color w:val="auto"/>
          <w:highlight w:val="none"/>
          <w:lang w:val="en-US" w:eastAsia="zh-CN"/>
        </w:rPr>
        <w:t>以上</w:t>
      </w:r>
      <w:r>
        <w:rPr>
          <w:rFonts w:hint="eastAsia" w:ascii="宋体" w:hAnsi="宋体" w:eastAsia="宋体" w:cs="宋体"/>
          <w:color w:val="auto"/>
          <w:kern w:val="2"/>
          <w:sz w:val="28"/>
          <w:szCs w:val="28"/>
          <w:highlight w:val="none"/>
          <w:lang w:val="en-US"/>
        </w:rPr>
        <w:t>★</w:t>
      </w:r>
      <w:r>
        <w:rPr>
          <w:rFonts w:hint="eastAsia" w:ascii="宋体" w:hAnsi="宋体" w:eastAsia="宋体"/>
          <w:b/>
          <w:bCs/>
          <w:color w:val="auto"/>
          <w:highlight w:val="none"/>
          <w:lang w:val="en-US" w:eastAsia="zh-CN"/>
        </w:rPr>
        <w:t>参数为实质性要求，如有负偏离作无效响应文件处理。</w:t>
      </w:r>
      <w:r>
        <w:rPr>
          <w:rFonts w:hint="eastAsia" w:ascii="宋体" w:hAnsi="宋体" w:eastAsia="宋体" w:cs="Times New Roman"/>
          <w:b/>
          <w:bCs/>
          <w:color w:val="auto"/>
          <w:highlight w:val="none"/>
          <w:lang w:val="en-US" w:eastAsia="zh-CN"/>
        </w:rPr>
        <w:t>上述要求供应商在响应文件中进行逐项应答。</w:t>
      </w:r>
    </w:p>
    <w:p w14:paraId="169B615A">
      <w:pPr>
        <w:spacing w:line="360" w:lineRule="auto"/>
        <w:ind w:firstLine="480" w:firstLineChars="200"/>
        <w:rPr>
          <w:color w:val="auto"/>
          <w:highlight w:val="none"/>
        </w:rPr>
      </w:pPr>
    </w:p>
    <w:p w14:paraId="4C49822B">
      <w:pPr>
        <w:rPr>
          <w:rFonts w:hint="eastAsia" w:ascii="Calibri" w:eastAsia="宋体"/>
          <w:b/>
          <w:color w:val="auto"/>
          <w:sz w:val="44"/>
          <w:szCs w:val="44"/>
          <w:highlight w:val="none"/>
        </w:rPr>
      </w:pPr>
      <w:r>
        <w:rPr>
          <w:rFonts w:hint="eastAsia" w:ascii="Calibri" w:eastAsia="宋体"/>
          <w:b/>
          <w:color w:val="auto"/>
          <w:sz w:val="44"/>
          <w:szCs w:val="44"/>
          <w:highlight w:val="none"/>
        </w:rPr>
        <w:br w:type="page"/>
      </w:r>
    </w:p>
    <w:p w14:paraId="68A65244">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b/>
          <w:color w:val="auto"/>
          <w:sz w:val="36"/>
          <w:highlight w:val="none"/>
          <w:lang w:val="zh-CN"/>
        </w:rPr>
      </w:pPr>
      <w:r>
        <w:rPr>
          <w:rFonts w:hint="eastAsia" w:ascii="宋体" w:hAnsi="宋体"/>
          <w:b/>
          <w:color w:val="auto"/>
          <w:sz w:val="36"/>
          <w:highlight w:val="none"/>
          <w:lang w:val="zh-CN"/>
        </w:rPr>
        <w:t>第五部分  合同格式及条款</w:t>
      </w:r>
      <w:bookmarkEnd w:id="46"/>
      <w:bookmarkEnd w:id="47"/>
    </w:p>
    <w:p w14:paraId="096A5DA1">
      <w:pPr>
        <w:keepNext w:val="0"/>
        <w:keepLines w:val="0"/>
        <w:pageBreakBefore w:val="0"/>
        <w:kinsoku/>
        <w:wordWrap/>
        <w:overflowPunct/>
        <w:topLinePunct w:val="0"/>
        <w:autoSpaceDE/>
        <w:autoSpaceDN/>
        <w:bidi w:val="0"/>
        <w:adjustRightInd/>
        <w:spacing w:line="500" w:lineRule="exact"/>
        <w:ind w:firstLine="600" w:firstLineChars="250"/>
        <w:rPr>
          <w:rFonts w:hint="eastAsia" w:ascii="宋体" w:hAnsi="宋体" w:eastAsia="宋体" w:cs="宋体"/>
          <w:color w:val="auto"/>
          <w:kern w:val="2"/>
          <w:sz w:val="24"/>
          <w:szCs w:val="24"/>
          <w:highlight w:val="none"/>
          <w:lang w:val="en-US" w:eastAsia="zh-CN"/>
        </w:rPr>
      </w:pPr>
      <w:bookmarkStart w:id="62" w:name="_Toc11785"/>
      <w:r>
        <w:rPr>
          <w:rFonts w:hint="eastAsia" w:ascii="宋体" w:hAnsi="宋体" w:eastAsia="宋体" w:cs="宋体"/>
          <w:color w:val="auto"/>
          <w:kern w:val="2"/>
          <w:sz w:val="24"/>
          <w:szCs w:val="24"/>
          <w:highlight w:val="none"/>
          <w:lang w:val="en-US" w:eastAsia="zh-CN"/>
        </w:rPr>
        <w:t>中国医学科学院皮肤病医院与XXXX公司就</w:t>
      </w:r>
      <w:r>
        <w:rPr>
          <w:rFonts w:hint="eastAsia" w:hAnsi="宋体"/>
          <w:color w:val="auto"/>
          <w:szCs w:val="21"/>
          <w:highlight w:val="none"/>
          <w:u w:val="single"/>
        </w:rPr>
        <w:t>中国医学科学院皮肤病医院全国</w:t>
      </w:r>
      <w:r>
        <w:rPr>
          <w:rFonts w:hint="eastAsia" w:hAnsi="宋体"/>
          <w:color w:val="auto"/>
          <w:szCs w:val="21"/>
          <w:highlight w:val="none"/>
          <w:u w:val="single"/>
          <w:lang w:val="en-US" w:eastAsia="zh-CN"/>
        </w:rPr>
        <w:t>性病</w:t>
      </w:r>
      <w:r>
        <w:rPr>
          <w:rFonts w:hint="eastAsia" w:hAnsi="宋体"/>
          <w:color w:val="auto"/>
          <w:szCs w:val="21"/>
          <w:highlight w:val="none"/>
          <w:u w:val="single"/>
        </w:rPr>
        <w:t>麻风病防治管理信息系统升级项目</w:t>
      </w:r>
      <w:r>
        <w:rPr>
          <w:rFonts w:hint="eastAsia" w:ascii="宋体" w:hAnsi="宋体" w:eastAsia="宋体" w:cs="宋体"/>
          <w:color w:val="auto"/>
          <w:kern w:val="2"/>
          <w:sz w:val="24"/>
          <w:szCs w:val="24"/>
          <w:highlight w:val="none"/>
          <w:lang w:val="en-US" w:eastAsia="zh-CN"/>
        </w:rPr>
        <w:t>事宜，经双方友好协商，签订本合同，以资双方共同遵守。</w:t>
      </w:r>
    </w:p>
    <w:p w14:paraId="7DB1E1A4">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63" w:name="_Toc332964139"/>
      <w:r>
        <w:rPr>
          <w:rFonts w:hint="eastAsia" w:ascii="宋体" w:hAnsi="宋体" w:eastAsia="宋体" w:cs="宋体"/>
          <w:b/>
          <w:color w:val="auto"/>
          <w:kern w:val="2"/>
          <w:sz w:val="24"/>
          <w:szCs w:val="24"/>
          <w:highlight w:val="none"/>
          <w:lang w:val="en-US" w:eastAsia="zh-CN"/>
        </w:rPr>
        <w:t xml:space="preserve">1. </w:t>
      </w:r>
      <w:bookmarkEnd w:id="63"/>
      <w:r>
        <w:rPr>
          <w:rFonts w:hint="eastAsia" w:ascii="宋体" w:hAnsi="宋体" w:eastAsia="宋体" w:cs="宋体"/>
          <w:b/>
          <w:color w:val="auto"/>
          <w:kern w:val="2"/>
          <w:sz w:val="24"/>
          <w:szCs w:val="24"/>
          <w:highlight w:val="none"/>
          <w:lang w:val="en-US" w:eastAsia="zh-CN"/>
        </w:rPr>
        <w:t>合同内容</w:t>
      </w:r>
    </w:p>
    <w:p w14:paraId="0A9E6D7D">
      <w:pPr>
        <w:keepNext w:val="0"/>
        <w:keepLines w:val="0"/>
        <w:pageBreakBefore w:val="0"/>
        <w:kinsoku/>
        <w:wordWrap/>
        <w:overflowPunct/>
        <w:topLinePunct w:val="0"/>
        <w:autoSpaceDE/>
        <w:autoSpaceDN/>
        <w:bidi w:val="0"/>
        <w:adjustRightInd/>
        <w:spacing w:line="500" w:lineRule="exact"/>
        <w:ind w:leftChars="-175" w:right="19" w:rightChars="8" w:hanging="420" w:hangingChars="17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ab/>
      </w:r>
      <w:r>
        <w:rPr>
          <w:rFonts w:hint="eastAsia" w:ascii="宋体" w:hAnsi="宋体" w:eastAsia="宋体" w:cs="宋体"/>
          <w:color w:val="auto"/>
          <w:kern w:val="2"/>
          <w:sz w:val="24"/>
          <w:szCs w:val="24"/>
          <w:highlight w:val="none"/>
          <w:lang w:val="en-US" w:eastAsia="zh-CN"/>
        </w:rPr>
        <w:t xml:space="preserve">    甲方向乙方购买的软件及其相关的服务，合同总价包括但不限于：</w:t>
      </w:r>
    </w:p>
    <w:p w14:paraId="78A03574">
      <w:pPr>
        <w:keepNext w:val="0"/>
        <w:keepLines w:val="0"/>
        <w:pageBreakBefore w:val="0"/>
        <w:kinsoku/>
        <w:wordWrap/>
        <w:overflowPunct/>
        <w:topLinePunct w:val="0"/>
        <w:autoSpaceDE/>
        <w:autoSpaceDN/>
        <w:bidi w:val="0"/>
        <w:adjustRightInd/>
        <w:spacing w:line="500" w:lineRule="exact"/>
        <w:ind w:left="60" w:leftChars="25" w:right="19" w:rightChars="8" w:firstLine="540" w:firstLineChars="225"/>
        <w:textAlignment w:val="bottom"/>
        <w:rPr>
          <w:rFonts w:hint="eastAsia" w:ascii="宋体" w:hAnsi="宋体" w:eastAsia="宋体" w:cs="宋体"/>
          <w:color w:val="auto"/>
          <w:kern w:val="2"/>
          <w:sz w:val="24"/>
          <w:szCs w:val="24"/>
          <w:highlight w:val="none"/>
          <w:u w:val="single"/>
          <w:lang w:val="en-US" w:eastAsia="zh-CN"/>
        </w:rPr>
      </w:pPr>
      <w:r>
        <w:rPr>
          <w:rFonts w:hint="eastAsia" w:hAnsi="宋体"/>
          <w:color w:val="auto"/>
          <w:szCs w:val="21"/>
          <w:highlight w:val="none"/>
          <w:u w:val="single"/>
        </w:rPr>
        <w:t>中国医学科学院皮肤病医院全国</w:t>
      </w:r>
      <w:r>
        <w:rPr>
          <w:rFonts w:hint="eastAsia" w:hAnsi="宋体"/>
          <w:color w:val="auto"/>
          <w:szCs w:val="21"/>
          <w:highlight w:val="none"/>
          <w:u w:val="single"/>
          <w:lang w:val="en-US" w:eastAsia="zh-CN"/>
        </w:rPr>
        <w:t>性病</w:t>
      </w:r>
      <w:r>
        <w:rPr>
          <w:rFonts w:hint="eastAsia" w:hAnsi="宋体"/>
          <w:color w:val="auto"/>
          <w:szCs w:val="21"/>
          <w:highlight w:val="none"/>
          <w:u w:val="single"/>
        </w:rPr>
        <w:t>麻风病防治管理信息系统升级项目</w:t>
      </w:r>
      <w:r>
        <w:rPr>
          <w:rFonts w:hint="eastAsia" w:ascii="宋体" w:hAnsi="宋体" w:eastAsia="宋体" w:cs="宋体"/>
          <w:color w:val="auto"/>
          <w:kern w:val="2"/>
          <w:sz w:val="24"/>
          <w:szCs w:val="24"/>
          <w:highlight w:val="none"/>
          <w:u w:val="single"/>
          <w:lang w:val="en-US" w:eastAsia="zh-CN"/>
        </w:rPr>
        <w:t>的开发、测试、安装、调试、验收等相关费用：</w:t>
      </w:r>
    </w:p>
    <w:p w14:paraId="12854D46">
      <w:pPr>
        <w:keepNext w:val="0"/>
        <w:keepLines w:val="0"/>
        <w:pageBreakBefore w:val="0"/>
        <w:kinsoku/>
        <w:wordWrap/>
        <w:overflowPunct/>
        <w:topLinePunct w:val="0"/>
        <w:autoSpaceDE/>
        <w:autoSpaceDN/>
        <w:bidi w:val="0"/>
        <w:adjustRightInd/>
        <w:spacing w:line="500" w:lineRule="exact"/>
        <w:ind w:leftChars="-175" w:right="19" w:rightChars="8" w:hanging="420" w:hangingChars="17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        合同产品/服务名称、型号（版本号）、制造厂商、单价、数量、价格和金额如下：</w:t>
      </w:r>
    </w:p>
    <w:tbl>
      <w:tblPr>
        <w:tblStyle w:val="63"/>
        <w:tblW w:w="81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9"/>
        <w:gridCol w:w="2282"/>
        <w:gridCol w:w="1240"/>
        <w:gridCol w:w="1073"/>
        <w:gridCol w:w="1660"/>
      </w:tblGrid>
      <w:tr w14:paraId="64A9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909" w:type="dxa"/>
            <w:tcBorders>
              <w:top w:val="single" w:color="auto" w:sz="4" w:space="0"/>
              <w:left w:val="double" w:color="auto" w:sz="4" w:space="0"/>
            </w:tcBorders>
            <w:vAlign w:val="center"/>
          </w:tcPr>
          <w:p w14:paraId="681CA0EF">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产品模块名称</w:t>
            </w:r>
          </w:p>
        </w:tc>
        <w:tc>
          <w:tcPr>
            <w:tcW w:w="2282" w:type="dxa"/>
            <w:tcBorders>
              <w:top w:val="single" w:color="auto" w:sz="4" w:space="0"/>
            </w:tcBorders>
            <w:vAlign w:val="center"/>
          </w:tcPr>
          <w:p w14:paraId="5A2FEFC0">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生产厂商/服务商</w:t>
            </w:r>
          </w:p>
        </w:tc>
        <w:tc>
          <w:tcPr>
            <w:tcW w:w="1240" w:type="dxa"/>
            <w:tcBorders>
              <w:top w:val="single" w:color="auto" w:sz="4" w:space="0"/>
            </w:tcBorders>
            <w:vAlign w:val="center"/>
          </w:tcPr>
          <w:p w14:paraId="3B85324F">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单价(元)</w:t>
            </w:r>
          </w:p>
        </w:tc>
        <w:tc>
          <w:tcPr>
            <w:tcW w:w="1073" w:type="dxa"/>
            <w:tcBorders>
              <w:top w:val="single" w:color="auto" w:sz="4" w:space="0"/>
            </w:tcBorders>
            <w:vAlign w:val="center"/>
          </w:tcPr>
          <w:p w14:paraId="3F962550">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数量</w:t>
            </w:r>
          </w:p>
        </w:tc>
        <w:tc>
          <w:tcPr>
            <w:tcW w:w="1660" w:type="dxa"/>
            <w:tcBorders>
              <w:top w:val="single" w:color="auto" w:sz="4" w:space="0"/>
              <w:right w:val="double" w:color="auto" w:sz="4" w:space="0"/>
            </w:tcBorders>
            <w:vAlign w:val="center"/>
          </w:tcPr>
          <w:p w14:paraId="13C68BE9">
            <w:pPr>
              <w:keepNext w:val="0"/>
              <w:keepLines w:val="0"/>
              <w:pageBreakBefore w:val="0"/>
              <w:kinsoku/>
              <w:wordWrap/>
              <w:overflowPunct/>
              <w:topLinePunct w:val="0"/>
              <w:autoSpaceDE/>
              <w:autoSpaceDN/>
              <w:bidi w:val="0"/>
              <w:adjustRightInd/>
              <w:spacing w:line="500" w:lineRule="exact"/>
              <w:ind w:left="-480" w:leftChars="-200" w:firstLine="153" w:firstLineChars="64"/>
              <w:jc w:val="cente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金额(元)</w:t>
            </w:r>
          </w:p>
        </w:tc>
      </w:tr>
      <w:tr w14:paraId="7DCD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09" w:type="dxa"/>
            <w:tcBorders>
              <w:left w:val="double" w:color="auto" w:sz="4" w:space="0"/>
              <w:bottom w:val="single" w:color="auto" w:sz="4" w:space="0"/>
            </w:tcBorders>
            <w:vAlign w:val="center"/>
          </w:tcPr>
          <w:p w14:paraId="26442B57">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2282" w:type="dxa"/>
            <w:tcBorders>
              <w:bottom w:val="single" w:color="auto" w:sz="4" w:space="0"/>
            </w:tcBorders>
            <w:vAlign w:val="center"/>
          </w:tcPr>
          <w:p w14:paraId="1C49E46C">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240" w:type="dxa"/>
            <w:tcBorders>
              <w:bottom w:val="single" w:color="auto" w:sz="4" w:space="0"/>
            </w:tcBorders>
            <w:vAlign w:val="center"/>
          </w:tcPr>
          <w:p w14:paraId="54C2CE6E">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073" w:type="dxa"/>
            <w:tcBorders>
              <w:bottom w:val="single" w:color="auto" w:sz="4" w:space="0"/>
            </w:tcBorders>
            <w:vAlign w:val="center"/>
          </w:tcPr>
          <w:p w14:paraId="306D8FFD">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660" w:type="dxa"/>
            <w:tcBorders>
              <w:bottom w:val="single" w:color="auto" w:sz="4" w:space="0"/>
              <w:right w:val="double" w:color="auto" w:sz="4" w:space="0"/>
            </w:tcBorders>
            <w:vAlign w:val="center"/>
          </w:tcPr>
          <w:p w14:paraId="1787946D">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r>
      <w:tr w14:paraId="0114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09" w:type="dxa"/>
            <w:tcBorders>
              <w:left w:val="double" w:color="auto" w:sz="4" w:space="0"/>
              <w:bottom w:val="single" w:color="auto" w:sz="4" w:space="0"/>
            </w:tcBorders>
            <w:vAlign w:val="center"/>
          </w:tcPr>
          <w:p w14:paraId="4F112CB0">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2282" w:type="dxa"/>
            <w:tcBorders>
              <w:bottom w:val="single" w:color="auto" w:sz="4" w:space="0"/>
            </w:tcBorders>
            <w:vAlign w:val="center"/>
          </w:tcPr>
          <w:p w14:paraId="3DF3C4C1">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240" w:type="dxa"/>
            <w:tcBorders>
              <w:bottom w:val="single" w:color="auto" w:sz="4" w:space="0"/>
            </w:tcBorders>
            <w:vAlign w:val="center"/>
          </w:tcPr>
          <w:p w14:paraId="25B60AB6">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073" w:type="dxa"/>
            <w:tcBorders>
              <w:bottom w:val="single" w:color="auto" w:sz="4" w:space="0"/>
            </w:tcBorders>
            <w:vAlign w:val="center"/>
          </w:tcPr>
          <w:p w14:paraId="654D340F">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660" w:type="dxa"/>
            <w:tcBorders>
              <w:bottom w:val="single" w:color="auto" w:sz="4" w:space="0"/>
              <w:right w:val="double" w:color="auto" w:sz="4" w:space="0"/>
            </w:tcBorders>
            <w:vAlign w:val="center"/>
          </w:tcPr>
          <w:p w14:paraId="14C20EC9">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r>
      <w:tr w14:paraId="08C6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09" w:type="dxa"/>
            <w:tcBorders>
              <w:left w:val="double" w:color="auto" w:sz="4" w:space="0"/>
            </w:tcBorders>
            <w:vAlign w:val="center"/>
          </w:tcPr>
          <w:p w14:paraId="04624FA5">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2282" w:type="dxa"/>
            <w:vAlign w:val="center"/>
          </w:tcPr>
          <w:p w14:paraId="31BCC2DE">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240" w:type="dxa"/>
            <w:vAlign w:val="center"/>
          </w:tcPr>
          <w:p w14:paraId="57998F8F">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073" w:type="dxa"/>
            <w:vAlign w:val="center"/>
          </w:tcPr>
          <w:p w14:paraId="4E59663D">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c>
          <w:tcPr>
            <w:tcW w:w="1660" w:type="dxa"/>
            <w:tcBorders>
              <w:right w:val="double" w:color="auto" w:sz="4" w:space="0"/>
            </w:tcBorders>
            <w:vAlign w:val="center"/>
          </w:tcPr>
          <w:p w14:paraId="1A604531">
            <w:pPr>
              <w:keepNext w:val="0"/>
              <w:keepLines w:val="0"/>
              <w:pageBreakBefore w:val="0"/>
              <w:kinsoku/>
              <w:wordWrap/>
              <w:overflowPunct/>
              <w:topLinePunct w:val="0"/>
              <w:autoSpaceDE/>
              <w:autoSpaceDN/>
              <w:bidi w:val="0"/>
              <w:adjustRightInd/>
              <w:spacing w:line="500" w:lineRule="exact"/>
              <w:jc w:val="center"/>
              <w:rPr>
                <w:rFonts w:hint="eastAsia" w:ascii="宋体" w:hAnsi="宋体" w:eastAsia="宋体" w:cs="宋体"/>
                <w:color w:val="auto"/>
                <w:kern w:val="2"/>
                <w:sz w:val="24"/>
                <w:szCs w:val="24"/>
                <w:highlight w:val="none"/>
                <w:lang w:val="en-US" w:eastAsia="zh-CN"/>
              </w:rPr>
            </w:pPr>
          </w:p>
        </w:tc>
      </w:tr>
    </w:tbl>
    <w:p w14:paraId="3CC4DCA0">
      <w:pPr>
        <w:keepNext w:val="0"/>
        <w:keepLines w:val="0"/>
        <w:pageBreakBefore w:val="0"/>
        <w:widowControl w:val="0"/>
        <w:kinsoku/>
        <w:wordWrap/>
        <w:overflowPunct/>
        <w:topLinePunct w:val="0"/>
        <w:autoSpaceDE/>
        <w:autoSpaceDN/>
        <w:bidi w:val="0"/>
        <w:adjustRightInd/>
        <w:spacing w:line="500" w:lineRule="exact"/>
        <w:ind w:left="0" w:leftChars="0"/>
        <w:jc w:val="both"/>
        <w:rPr>
          <w:rFonts w:hint="eastAsia" w:ascii="宋体" w:hAnsi="宋体" w:eastAsia="宋体" w:cs="宋体"/>
          <w:color w:val="auto"/>
          <w:kern w:val="2"/>
          <w:sz w:val="24"/>
          <w:szCs w:val="24"/>
          <w:highlight w:val="none"/>
          <w:lang w:val="en-US" w:eastAsia="zh-CN" w:bidi="ar-SA"/>
        </w:rPr>
      </w:pPr>
      <w:bookmarkStart w:id="64" w:name="_Toc332964143"/>
    </w:p>
    <w:p w14:paraId="001D0686">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2. 合同金额及支付方式</w:t>
      </w:r>
      <w:bookmarkEnd w:id="64"/>
    </w:p>
    <w:p w14:paraId="50667200">
      <w:pPr>
        <w:keepNext w:val="0"/>
        <w:keepLines w:val="0"/>
        <w:pageBreakBefore w:val="0"/>
        <w:tabs>
          <w:tab w:val="left" w:pos="360"/>
        </w:tabs>
        <w:kinsoku/>
        <w:wordWrap/>
        <w:overflowPunct/>
        <w:topLinePunct w:val="0"/>
        <w:autoSpaceDE/>
        <w:autoSpaceDN/>
        <w:bidi w:val="0"/>
        <w:adjustRightInd/>
        <w:spacing w:line="500" w:lineRule="exact"/>
        <w:ind w:left="420" w:right="19" w:rightChars="8" w:hanging="480" w:hangingChars="200"/>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2.1 本合同项下总金额为人民币：XXXX万元整，大写XXXX万元整。</w:t>
      </w:r>
    </w:p>
    <w:p w14:paraId="19C570BB">
      <w:pPr>
        <w:keepNext w:val="0"/>
        <w:keepLines w:val="0"/>
        <w:pageBreakBefore w:val="0"/>
        <w:tabs>
          <w:tab w:val="left" w:pos="360"/>
          <w:tab w:val="left" w:pos="690"/>
        </w:tabs>
        <w:kinsoku/>
        <w:wordWrap/>
        <w:overflowPunct/>
        <w:topLinePunct w:val="0"/>
        <w:autoSpaceDE/>
        <w:autoSpaceDN/>
        <w:bidi w:val="0"/>
        <w:adjustRightInd/>
        <w:spacing w:line="500" w:lineRule="exact"/>
        <w:ind w:left="420"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预付款：</w:t>
      </w:r>
      <w:r>
        <w:rPr>
          <w:rFonts w:hint="eastAsia" w:ascii="宋体" w:hAnsi="宋体" w:eastAsia="宋体" w:cs="宋体"/>
          <w:color w:val="auto"/>
          <w:kern w:val="2"/>
          <w:sz w:val="24"/>
          <w:szCs w:val="24"/>
          <w:highlight w:val="none"/>
          <w:lang w:val="en-US" w:eastAsia="zh-CN"/>
        </w:rPr>
        <w:t>合同签订后7个工作日内，甲方向乙方支付整个项目合同总金额的60%，即人民币XXXX万元整，大写XXXX，作为预付款。</w:t>
      </w:r>
    </w:p>
    <w:p w14:paraId="4CAE66D6">
      <w:pPr>
        <w:keepNext w:val="0"/>
        <w:keepLines w:val="0"/>
        <w:pageBreakBefore w:val="0"/>
        <w:tabs>
          <w:tab w:val="left" w:pos="360"/>
          <w:tab w:val="left" w:pos="690"/>
        </w:tabs>
        <w:kinsoku/>
        <w:wordWrap/>
        <w:overflowPunct/>
        <w:topLinePunct w:val="0"/>
        <w:autoSpaceDE/>
        <w:autoSpaceDN/>
        <w:bidi w:val="0"/>
        <w:adjustRightInd/>
        <w:spacing w:line="500" w:lineRule="exact"/>
        <w:ind w:left="420"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进度款：</w:t>
      </w:r>
      <w:r>
        <w:rPr>
          <w:rFonts w:hint="eastAsia" w:ascii="宋体" w:hAnsi="宋体" w:eastAsia="宋体" w:cs="宋体"/>
          <w:color w:val="auto"/>
          <w:kern w:val="2"/>
          <w:sz w:val="24"/>
          <w:szCs w:val="24"/>
          <w:highlight w:val="none"/>
          <w:lang w:val="en-US" w:eastAsia="zh-CN"/>
        </w:rPr>
        <w:t>系统正常运行并且项目通过整体验收</w:t>
      </w:r>
      <w:r>
        <w:rPr>
          <w:rFonts w:hint="eastAsia" w:ascii="宋体" w:hAnsi="宋体" w:eastAsia="宋体" w:cs="宋体"/>
          <w:color w:val="auto"/>
          <w:kern w:val="2"/>
          <w:sz w:val="24"/>
          <w:szCs w:val="24"/>
          <w:highlight w:val="none"/>
          <w:lang w:val="zh-CN" w:eastAsia="zh-CN"/>
        </w:rPr>
        <w:t>，验收合格</w:t>
      </w:r>
      <w:r>
        <w:rPr>
          <w:rFonts w:hint="eastAsia" w:ascii="宋体" w:hAnsi="宋体" w:eastAsia="宋体" w:cs="宋体"/>
          <w:color w:val="auto"/>
          <w:kern w:val="2"/>
          <w:sz w:val="24"/>
          <w:szCs w:val="24"/>
          <w:highlight w:val="none"/>
          <w:lang w:val="en-US" w:eastAsia="zh-CN"/>
        </w:rPr>
        <w:t>7个工作日内，甲方向乙方支付</w:t>
      </w:r>
      <w:r>
        <w:rPr>
          <w:rFonts w:hint="eastAsia" w:ascii="宋体" w:hAnsi="宋体" w:eastAsia="宋体" w:cs="宋体"/>
          <w:color w:val="auto"/>
          <w:kern w:val="2"/>
          <w:sz w:val="24"/>
          <w:szCs w:val="24"/>
          <w:highlight w:val="none"/>
          <w:lang w:val="zh-CN" w:eastAsia="zh-CN"/>
        </w:rPr>
        <w:t>项目合同额</w:t>
      </w:r>
      <w:r>
        <w:rPr>
          <w:rFonts w:hint="eastAsia" w:ascii="宋体" w:hAnsi="宋体" w:eastAsia="宋体" w:cs="宋体"/>
          <w:color w:val="auto"/>
          <w:kern w:val="2"/>
          <w:sz w:val="24"/>
          <w:szCs w:val="24"/>
          <w:highlight w:val="none"/>
          <w:lang w:val="en-US" w:eastAsia="zh-CN"/>
        </w:rPr>
        <w:t>的35%，即人民币XXXX万元整，大写XXXX。</w:t>
      </w:r>
      <w:r>
        <w:rPr>
          <w:rFonts w:hint="eastAsia" w:ascii="宋体" w:hAnsi="宋体" w:eastAsia="宋体" w:cs="宋体"/>
          <w:color w:val="auto"/>
          <w:kern w:val="2"/>
          <w:sz w:val="24"/>
          <w:szCs w:val="24"/>
          <w:highlight w:val="none"/>
          <w:lang w:val="en-US" w:eastAsia="zh-CN"/>
        </w:rPr>
        <w:br w:type="textWrapping"/>
      </w:r>
      <w:r>
        <w:rPr>
          <w:rFonts w:hint="eastAsia" w:ascii="宋体" w:hAnsi="宋体" w:eastAsia="宋体" w:cs="宋体"/>
          <w:b/>
          <w:bCs/>
          <w:color w:val="auto"/>
          <w:kern w:val="2"/>
          <w:sz w:val="24"/>
          <w:szCs w:val="24"/>
          <w:highlight w:val="none"/>
          <w:lang w:val="en-US" w:eastAsia="zh-CN"/>
        </w:rPr>
        <w:t>尾款：</w:t>
      </w:r>
      <w:r>
        <w:rPr>
          <w:rFonts w:hint="eastAsia" w:ascii="宋体" w:hAnsi="宋体" w:eastAsia="宋体" w:cs="宋体"/>
          <w:color w:val="auto"/>
          <w:kern w:val="2"/>
          <w:sz w:val="24"/>
          <w:szCs w:val="24"/>
          <w:highlight w:val="none"/>
          <w:lang w:val="en-US" w:eastAsia="zh-CN"/>
        </w:rPr>
        <w:t>合同维保期满后7个工作日内，甲方向乙方支付合同剩余款项即总价款5%，即人民币XXXX万元整，大写XXXX。</w:t>
      </w:r>
      <w:r>
        <w:rPr>
          <w:rFonts w:hint="eastAsia" w:ascii="宋体" w:hAnsi="宋体" w:eastAsia="宋体" w:cs="宋体"/>
          <w:color w:val="auto"/>
          <w:kern w:val="2"/>
          <w:sz w:val="24"/>
          <w:szCs w:val="24"/>
          <w:highlight w:val="none"/>
          <w:lang w:val="en-US" w:eastAsia="zh-CN"/>
        </w:rPr>
        <w:br w:type="textWrapping"/>
      </w:r>
    </w:p>
    <w:p w14:paraId="36D97347">
      <w:pPr>
        <w:keepNext w:val="0"/>
        <w:keepLines w:val="0"/>
        <w:pageBreakBefore w:val="0"/>
        <w:kinsoku/>
        <w:wordWrap/>
        <w:overflowPunct/>
        <w:topLinePunct w:val="0"/>
        <w:autoSpaceDE/>
        <w:autoSpaceDN/>
        <w:bidi w:val="0"/>
        <w:adjustRightInd/>
        <w:spacing w:line="500" w:lineRule="exact"/>
        <w:ind w:firstLine="480" w:firstLineChars="200"/>
        <w:rPr>
          <w:rFonts w:hint="eastAsia" w:ascii="宋体" w:hAnsi="宋体" w:eastAsia="宋体" w:cs="宋体"/>
          <w:color w:val="auto"/>
          <w:spacing w:val="4"/>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乙方</w:t>
      </w:r>
      <w:r>
        <w:rPr>
          <w:rFonts w:hint="eastAsia" w:ascii="宋体" w:hAnsi="宋体" w:eastAsia="宋体" w:cs="宋体"/>
          <w:color w:val="auto"/>
          <w:spacing w:val="4"/>
          <w:kern w:val="2"/>
          <w:sz w:val="24"/>
          <w:szCs w:val="24"/>
          <w:highlight w:val="none"/>
          <w:lang w:val="en-US" w:eastAsia="zh-CN"/>
        </w:rPr>
        <w:t>账户信息</w:t>
      </w:r>
    </w:p>
    <w:p w14:paraId="346550C6">
      <w:pPr>
        <w:pStyle w:val="453"/>
        <w:keepNext w:val="0"/>
        <w:keepLines w:val="0"/>
        <w:pageBreakBefore w:val="0"/>
        <w:numPr>
          <w:ilvl w:val="0"/>
          <w:numId w:val="3"/>
        </w:numPr>
        <w:tabs>
          <w:tab w:val="left" w:pos="1260"/>
        </w:tabs>
        <w:kinsoku/>
        <w:wordWrap/>
        <w:overflowPunct/>
        <w:topLinePunct w:val="0"/>
        <w:autoSpaceDE/>
        <w:autoSpaceDN/>
        <w:bidi w:val="0"/>
        <w:adjustRightInd/>
        <w:spacing w:line="500" w:lineRule="exact"/>
        <w:ind w:left="12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公司名称： </w:t>
      </w:r>
    </w:p>
    <w:p w14:paraId="577E8D4E">
      <w:pPr>
        <w:pStyle w:val="453"/>
        <w:keepNext w:val="0"/>
        <w:keepLines w:val="0"/>
        <w:pageBreakBefore w:val="0"/>
        <w:numPr>
          <w:ilvl w:val="0"/>
          <w:numId w:val="3"/>
        </w:numPr>
        <w:tabs>
          <w:tab w:val="left" w:pos="1260"/>
        </w:tabs>
        <w:kinsoku/>
        <w:wordWrap/>
        <w:overflowPunct/>
        <w:topLinePunct w:val="0"/>
        <w:autoSpaceDE/>
        <w:autoSpaceDN/>
        <w:bidi w:val="0"/>
        <w:adjustRightInd/>
        <w:spacing w:line="500" w:lineRule="exact"/>
        <w:ind w:left="12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开 户 行： </w:t>
      </w:r>
    </w:p>
    <w:p w14:paraId="23EC05CE">
      <w:pPr>
        <w:pStyle w:val="453"/>
        <w:keepNext w:val="0"/>
        <w:keepLines w:val="0"/>
        <w:pageBreakBefore w:val="0"/>
        <w:numPr>
          <w:ilvl w:val="0"/>
          <w:numId w:val="3"/>
        </w:numPr>
        <w:tabs>
          <w:tab w:val="left" w:pos="1260"/>
        </w:tabs>
        <w:kinsoku/>
        <w:wordWrap/>
        <w:overflowPunct/>
        <w:topLinePunct w:val="0"/>
        <w:autoSpaceDE/>
        <w:autoSpaceDN/>
        <w:bidi w:val="0"/>
        <w:adjustRightInd/>
        <w:spacing w:line="500" w:lineRule="exact"/>
        <w:ind w:left="12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银行帐号：</w:t>
      </w:r>
    </w:p>
    <w:p w14:paraId="1D10CCD3">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3. 项目完成时间</w:t>
      </w:r>
    </w:p>
    <w:p w14:paraId="2A324E85">
      <w:pPr>
        <w:keepNext w:val="0"/>
        <w:keepLines w:val="0"/>
        <w:pageBreakBefore w:val="0"/>
        <w:tabs>
          <w:tab w:val="left" w:pos="360"/>
          <w:tab w:val="left" w:pos="1080"/>
        </w:tabs>
        <w:kinsoku/>
        <w:wordWrap/>
        <w:overflowPunct/>
        <w:topLinePunct w:val="0"/>
        <w:autoSpaceDE/>
        <w:autoSpaceDN/>
        <w:bidi w:val="0"/>
        <w:adjustRightInd/>
        <w:spacing w:line="500" w:lineRule="exact"/>
        <w:ind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3.1 合同签订后90天内。</w:t>
      </w:r>
    </w:p>
    <w:p w14:paraId="47446759">
      <w:pPr>
        <w:keepNext w:val="0"/>
        <w:keepLines w:val="0"/>
        <w:pageBreakBefore w:val="0"/>
        <w:tabs>
          <w:tab w:val="left" w:pos="360"/>
          <w:tab w:val="left" w:pos="1080"/>
        </w:tabs>
        <w:kinsoku/>
        <w:wordWrap/>
        <w:overflowPunct/>
        <w:topLinePunct w:val="0"/>
        <w:autoSpaceDE/>
        <w:autoSpaceDN/>
        <w:bidi w:val="0"/>
        <w:adjustRightInd/>
        <w:spacing w:line="500" w:lineRule="exact"/>
        <w:ind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3.2 如因甲方新采购的系统和设备需系统对接，或甲方根据实际工作需要提出的需求等事项使工期及工作量增加的，需双方协商另行签订补充协议。同时乙方应在相关事项发生后5日内及时以书面形式申请顺延，否则原履行期限不予调整。如因甲方原因导致增加乙方工作量的，乙方有权要求甲方相应增加项目费用。</w:t>
      </w:r>
    </w:p>
    <w:p w14:paraId="2F06BE50">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4. 技术规格/标准</w:t>
      </w:r>
    </w:p>
    <w:p w14:paraId="28CBA1B8">
      <w:pPr>
        <w:keepNext w:val="0"/>
        <w:keepLines w:val="0"/>
        <w:pageBreakBefore w:val="0"/>
        <w:tabs>
          <w:tab w:val="left" w:pos="360"/>
          <w:tab w:val="left" w:pos="1080"/>
        </w:tabs>
        <w:kinsoku/>
        <w:wordWrap/>
        <w:overflowPunct/>
        <w:topLinePunct w:val="0"/>
        <w:autoSpaceDE/>
        <w:autoSpaceDN/>
        <w:bidi w:val="0"/>
        <w:adjustRightInd/>
        <w:spacing w:line="500" w:lineRule="exact"/>
        <w:ind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4.1 详见招标文件第四章招标技术规格及要求。</w:t>
      </w:r>
    </w:p>
    <w:p w14:paraId="22401FDA">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65" w:name="_Toc332964146"/>
      <w:r>
        <w:rPr>
          <w:rFonts w:hint="eastAsia" w:ascii="宋体" w:hAnsi="宋体" w:eastAsia="宋体" w:cs="宋体"/>
          <w:b/>
          <w:color w:val="auto"/>
          <w:kern w:val="2"/>
          <w:sz w:val="24"/>
          <w:szCs w:val="24"/>
          <w:highlight w:val="none"/>
          <w:lang w:val="en-US" w:eastAsia="zh-CN"/>
        </w:rPr>
        <w:t>5. 系统部署和验收</w:t>
      </w:r>
      <w:bookmarkEnd w:id="65"/>
    </w:p>
    <w:p w14:paraId="3F0CF829">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5.1 乙方合同签署后，为满足甲方客户化需求开始详细功能调研、数据准备、软件客户化代码修改与扩充、系统平台的部署调试、系统集成，软件调试、测试与试运行，完成迭代升级工作。</w:t>
      </w:r>
    </w:p>
    <w:p w14:paraId="44E9DC54">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5.2 乙方进行使用人员培训与技术人员培训，提供操作手册与相关技术文档。</w:t>
      </w:r>
    </w:p>
    <w:p w14:paraId="6E6706F9">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5.3 系统实施过程中，乙方应负责对系统的整体系统安装、调试（含服务器、操作系统、数据库、应用服务器调试等），并解决实施过程中相关的问题。</w:t>
      </w:r>
    </w:p>
    <w:p w14:paraId="0E802EBC">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5.4 系统实施过程中，乙方应负责系统部署相关工作。</w:t>
      </w:r>
    </w:p>
    <w:p w14:paraId="77A64973">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5.5 甲方和乙方共同组成验收小组，经甲方确认后按照甲方规定的验收标准、程序和文档要求进行验收，双方签字的验收报告作为付款依据。</w:t>
      </w:r>
    </w:p>
    <w:p w14:paraId="5DD68F5E">
      <w:pPr>
        <w:keepNext w:val="0"/>
        <w:keepLines w:val="0"/>
        <w:pageBreakBefore w:val="0"/>
        <w:kinsoku/>
        <w:wordWrap/>
        <w:overflowPunct/>
        <w:topLinePunct w:val="0"/>
        <w:autoSpaceDE/>
        <w:autoSpaceDN/>
        <w:bidi w:val="0"/>
        <w:adjustRightInd/>
        <w:spacing w:line="500" w:lineRule="exact"/>
        <w:ind w:left="420" w:right="19" w:rightChars="8" w:hanging="42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5.6 乙方须提供系统总体验收后</w:t>
      </w:r>
      <w:r>
        <w:rPr>
          <w:rFonts w:hint="eastAsia" w:ascii="宋体" w:hAnsi="宋体" w:eastAsia="宋体" w:cs="宋体"/>
          <w:b/>
          <w:bCs/>
          <w:color w:val="auto"/>
          <w:kern w:val="2"/>
          <w:sz w:val="24"/>
          <w:szCs w:val="24"/>
          <w:highlight w:val="none"/>
          <w:u w:val="single"/>
          <w:lang w:val="en-US" w:eastAsia="zh-CN"/>
        </w:rPr>
        <w:t xml:space="preserve">   </w:t>
      </w:r>
      <w:r>
        <w:rPr>
          <w:rFonts w:hint="eastAsia" w:ascii="宋体" w:hAnsi="宋体" w:eastAsia="宋体" w:cs="宋体"/>
          <w:b/>
          <w:bCs/>
          <w:color w:val="auto"/>
          <w:kern w:val="2"/>
          <w:sz w:val="24"/>
          <w:szCs w:val="24"/>
          <w:highlight w:val="none"/>
          <w:lang w:val="en-US" w:eastAsia="zh-CN"/>
        </w:rPr>
        <w:t>年</w:t>
      </w:r>
      <w:r>
        <w:rPr>
          <w:rFonts w:hint="eastAsia" w:ascii="宋体" w:hAnsi="宋体" w:eastAsia="宋体" w:cs="宋体"/>
          <w:color w:val="auto"/>
          <w:kern w:val="2"/>
          <w:sz w:val="24"/>
          <w:szCs w:val="24"/>
          <w:highlight w:val="none"/>
          <w:lang w:val="en-US" w:eastAsia="zh-CN"/>
        </w:rPr>
        <w:t>的质量保证维护和服务,在此期间内的维护和服务甲方不再另行付费，如遇新增开发服务需求，经由甲方双方沟通后，针对新增开发服务需求签署补充协议。</w:t>
      </w:r>
    </w:p>
    <w:p w14:paraId="6781B551">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5.7 验收报告不能免除乙方对由于软件系统问题而产生的故障或质量问题应承担的责任。</w:t>
      </w:r>
    </w:p>
    <w:p w14:paraId="1B74C861">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5.8 </w:t>
      </w:r>
      <w:r>
        <w:rPr>
          <w:rFonts w:hint="eastAsia" w:ascii="宋体" w:hAnsi="宋体" w:eastAsia="宋体" w:cs="宋体"/>
          <w:b/>
          <w:bCs/>
          <w:color w:val="auto"/>
          <w:kern w:val="2"/>
          <w:sz w:val="24"/>
          <w:szCs w:val="24"/>
          <w:highlight w:val="none"/>
          <w:lang w:val="en-US" w:eastAsia="zh-CN"/>
        </w:rPr>
        <w:t>项目实施过程中，乙方须确保各系统无缝对接，不影响甲方正常业务开展。如因乙方产品质量或乙方实施人员操作原因发生系统重大故障造成甲方业务中断超过6小时、数据丢失等损失的，乙方承担合同总价5%-30%的违约金，甲方从合同支付款项中扣除，违约金不足以弥补损失的，乙方还应全额赔偿，乙方赔偿总金额不超过本协议约定的合同总金额。</w:t>
      </w:r>
    </w:p>
    <w:p w14:paraId="67B31D6F">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66" w:name="_Toc332964147"/>
      <w:r>
        <w:rPr>
          <w:rFonts w:hint="eastAsia" w:ascii="宋体" w:hAnsi="宋体" w:eastAsia="宋体" w:cs="宋体"/>
          <w:b/>
          <w:color w:val="auto"/>
          <w:kern w:val="2"/>
          <w:sz w:val="24"/>
          <w:szCs w:val="24"/>
          <w:highlight w:val="none"/>
          <w:lang w:val="en-US" w:eastAsia="zh-CN"/>
        </w:rPr>
        <w:t>6. 质量保证维护和服务</w:t>
      </w:r>
      <w:bookmarkEnd w:id="66"/>
    </w:p>
    <w:p w14:paraId="5C0BFDFB">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bookmarkStart w:id="67" w:name="_Toc332964155"/>
      <w:r>
        <w:rPr>
          <w:rFonts w:hint="eastAsia" w:ascii="宋体" w:hAnsi="宋体" w:eastAsia="宋体" w:cs="宋体"/>
          <w:color w:val="auto"/>
          <w:kern w:val="2"/>
          <w:sz w:val="24"/>
          <w:szCs w:val="24"/>
          <w:highlight w:val="none"/>
          <w:lang w:val="en-US" w:eastAsia="zh-CN"/>
        </w:rPr>
        <w:t>6.1 乙方应保证软件系统、完全符合合同规定的技术、质量、性能的要求。在系统正式验收后对系统实施</w:t>
      </w:r>
      <w:r>
        <w:rPr>
          <w:rFonts w:hint="eastAsia" w:ascii="宋体" w:hAnsi="宋体" w:eastAsia="宋体" w:cs="宋体"/>
          <w:b/>
          <w:bCs/>
          <w:color w:val="auto"/>
          <w:kern w:val="2"/>
          <w:sz w:val="24"/>
          <w:szCs w:val="24"/>
          <w:highlight w:val="none"/>
          <w:u w:val="single"/>
          <w:lang w:val="en-US" w:eastAsia="zh-CN"/>
        </w:rPr>
        <w:t xml:space="preserve">   </w:t>
      </w:r>
      <w:r>
        <w:rPr>
          <w:rFonts w:hint="eastAsia" w:ascii="宋体" w:hAnsi="宋体" w:eastAsia="宋体" w:cs="宋体"/>
          <w:b/>
          <w:bCs/>
          <w:color w:val="auto"/>
          <w:kern w:val="2"/>
          <w:sz w:val="24"/>
          <w:szCs w:val="24"/>
          <w:highlight w:val="none"/>
          <w:lang w:val="en-US" w:eastAsia="zh-CN"/>
        </w:rPr>
        <w:t>年</w:t>
      </w:r>
      <w:r>
        <w:rPr>
          <w:rFonts w:hint="eastAsia" w:ascii="宋体" w:hAnsi="宋体" w:eastAsia="宋体" w:cs="宋体"/>
          <w:color w:val="auto"/>
          <w:kern w:val="2"/>
          <w:sz w:val="24"/>
          <w:szCs w:val="24"/>
          <w:highlight w:val="none"/>
          <w:lang w:val="en-US" w:eastAsia="zh-CN"/>
        </w:rPr>
        <w:t>的质量保证维护。乙方应对其系统故障负责排除，保证正常运行。在质量保证期内,乙方应对由于设计,工艺或材料的缺陷而发生的任何不足或故障负责,费用由乙方负担。保修期外乙方应提供系统和软件的终身有偿维护。</w:t>
      </w:r>
    </w:p>
    <w:p w14:paraId="68BB4EB8">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6.2 质量保证期从系统正式总体验收合格之日开始计算，时间为</w:t>
      </w:r>
      <w:r>
        <w:rPr>
          <w:rFonts w:hint="eastAsia" w:ascii="宋体" w:hAnsi="宋体" w:eastAsia="宋体" w:cs="宋体"/>
          <w:b/>
          <w:bCs/>
          <w:color w:val="auto"/>
          <w:kern w:val="2"/>
          <w:sz w:val="24"/>
          <w:szCs w:val="24"/>
          <w:highlight w:val="none"/>
          <w:u w:val="single"/>
          <w:lang w:val="en-US" w:eastAsia="zh-CN"/>
        </w:rPr>
        <w:t xml:space="preserve">   </w:t>
      </w:r>
      <w:r>
        <w:rPr>
          <w:rFonts w:hint="eastAsia" w:ascii="宋体" w:hAnsi="宋体" w:eastAsia="宋体" w:cs="宋体"/>
          <w:b/>
          <w:bCs/>
          <w:color w:val="auto"/>
          <w:kern w:val="2"/>
          <w:sz w:val="24"/>
          <w:szCs w:val="24"/>
          <w:highlight w:val="none"/>
          <w:lang w:val="en-US" w:eastAsia="zh-CN"/>
        </w:rPr>
        <w:t>年</w:t>
      </w:r>
      <w:r>
        <w:rPr>
          <w:rFonts w:hint="eastAsia" w:ascii="宋体" w:hAnsi="宋体" w:eastAsia="宋体" w:cs="宋体"/>
          <w:color w:val="auto"/>
          <w:kern w:val="2"/>
          <w:sz w:val="24"/>
          <w:szCs w:val="24"/>
          <w:highlight w:val="none"/>
          <w:lang w:val="en-US" w:eastAsia="zh-CN"/>
        </w:rPr>
        <w:t>。</w:t>
      </w:r>
    </w:p>
    <w:p w14:paraId="11488C01">
      <w:pPr>
        <w:keepNext w:val="0"/>
        <w:keepLines w:val="0"/>
        <w:pageBreakBefore w:val="0"/>
        <w:widowControl/>
        <w:kinsoku/>
        <w:wordWrap/>
        <w:overflowPunct/>
        <w:topLinePunct w:val="0"/>
        <w:autoSpaceDE/>
        <w:autoSpaceDN/>
        <w:bidi w:val="0"/>
        <w:adjustRightInd/>
        <w:spacing w:line="500" w:lineRule="exact"/>
        <w:ind w:left="420" w:hanging="480" w:hangingChars="200"/>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6.3 质保期内，乙方提供工作日电话与网络远程响应，并且每年不少于2次安全巡检。故障响应:提供7x24小时技术支持和服务。如因乙方产品质量或乙方实施人员操作原因发生系统重大故障造成甲方业务中断超过6小时、数据丢失等损失的，乙方承担合同总价5%-30%的违约金，甲方从合同支付款项中扣除，违约金不足以弥补损失的，乙方还应全额赔偿。乙方赔偿总金额不超过本协议约定的合同总价款。</w:t>
      </w:r>
    </w:p>
    <w:p w14:paraId="0CFA9328">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6.4 质保期过后，甲方和乙方签订技术售后服务合同，软件售后服务费用按照不超过中标价的20%收取，设备的接入乙方则提供最优惠条件。</w:t>
      </w:r>
    </w:p>
    <w:p w14:paraId="06DEF657">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6.5 项目实施过程中和质保期内，如果甲方发现软件质量或性能与合同不符，甲方应尽快以书面形式向乙方提出维护、修复、改正。乙方应在收到通知后按其投标文件承诺的时间内修改软件，达到甲方要求，质保期顺延至问题解决。</w:t>
      </w:r>
    </w:p>
    <w:p w14:paraId="43AFCD81">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6.6 如果乙方在6.2、6.3 条规定的时间内没有进行相应工作，甲方可采取必要的补救措施，但其风险和产生的费用将由乙方承担，相关费用甲方可直接从应付款项中扣除，同时甲方根据合同规定对乙方行使的其他权利不受影响。</w:t>
      </w:r>
    </w:p>
    <w:p w14:paraId="5EA604AA">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6.7 乙方在投标时所承诺的本项目经理及主要技术人员，未经甲方书面同意不得擅自更换。如需更换则应经甲方书面同意，否则按违约处理，此情况发生时将在合同支付款中扣除合同总额的10%作为违约金。</w:t>
      </w:r>
    </w:p>
    <w:p w14:paraId="268BAD26">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6.8 乙方应向甲方提供维护所需要的二次开发源代码及技术支持工具，开放技术平台，以利于甲方专业人员的维护。 </w:t>
      </w:r>
    </w:p>
    <w:p w14:paraId="466EB110">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7. 违约责任</w:t>
      </w:r>
      <w:bookmarkEnd w:id="67"/>
    </w:p>
    <w:p w14:paraId="6C1085BA">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7.1 甲方无正当理由拒收系统开发成果，由甲方向乙方偿付合同总价的5%违约金。</w:t>
      </w:r>
    </w:p>
    <w:p w14:paraId="58C09BC1">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7.2 甲方未按合同规定的期限向乙方支付合同相应款项的，每逾期1天甲方向乙方偿付欠款总额的0.5‰滞纳金，但累计滞纳金总额不超过欠款总额的5% 。</w:t>
      </w:r>
    </w:p>
    <w:p w14:paraId="2CDE9234">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7.3如乙方在合同约定期限内不能按约完成系统实施并正常运行1个月，并可进行验收的，每逾期1天，乙方向甲方偿付货款总额的0.5‰的滞纳金。如乙方逾期达60天，甲方有权解除合同，解除合同的通知自到达乙方时生效，乙方除退还甲方已支付款项外，还应按照合同总额的5%支付违约金。</w:t>
      </w:r>
    </w:p>
    <w:p w14:paraId="1A80D5FD">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7.4 如项目不能通过验收或无法</w:t>
      </w:r>
      <w:r>
        <w:rPr>
          <w:rFonts w:hint="eastAsia" w:ascii="宋体" w:hAnsi="宋体" w:eastAsia="宋体" w:cs="宋体"/>
          <w:color w:val="auto"/>
          <w:kern w:val="2"/>
          <w:sz w:val="24"/>
          <w:szCs w:val="24"/>
          <w:highlight w:val="none"/>
          <w:lang w:val="zh-CN" w:eastAsia="zh-CN"/>
        </w:rPr>
        <w:t>实现与相关平台互联互通，相关接口、数据对接稳定运行的</w:t>
      </w:r>
      <w:r>
        <w:rPr>
          <w:rFonts w:hint="eastAsia" w:ascii="宋体" w:hAnsi="宋体" w:eastAsia="宋体" w:cs="宋体"/>
          <w:color w:val="auto"/>
          <w:kern w:val="2"/>
          <w:sz w:val="24"/>
          <w:szCs w:val="24"/>
          <w:highlight w:val="none"/>
          <w:lang w:val="en-US" w:eastAsia="zh-CN"/>
        </w:rPr>
        <w:t>，甲方有权解除合同，解除合同的通知自到达乙方时生效，乙方除退还甲方已支付款项外，还应按照合同总额的5%支付违约金。</w:t>
      </w:r>
    </w:p>
    <w:p w14:paraId="64607DAB">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7.5 乙方未按本合同的规定和“服务承诺”提供相关服务的，除导致合同解除的情形外，仍应全面履行相关服务条款，并应按合同总价款的5%向甲方承担违约责任。</w:t>
      </w:r>
    </w:p>
    <w:p w14:paraId="2ADF832C">
      <w:pPr>
        <w:keepNext w:val="0"/>
        <w:keepLines w:val="0"/>
        <w:pageBreakBefore w:val="0"/>
        <w:kinsoku/>
        <w:wordWrap/>
        <w:overflowPunct/>
        <w:topLinePunct w:val="0"/>
        <w:autoSpaceDE/>
        <w:autoSpaceDN/>
        <w:bidi w:val="0"/>
        <w:adjustRightInd/>
        <w:spacing w:line="500" w:lineRule="exact"/>
        <w:ind w:left="403" w:right="19" w:rightChars="8" w:hanging="460" w:hangingChars="192"/>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7.8 乙方在承担上述3-5款一项或多项违约责任后，仍应继续履行合同规定的义务（甲方解除合同的除外）。甲方未能及时追究乙方的任何一项违约责任并不表明甲方放弃追究乙方该项或其他违约责任。</w:t>
      </w:r>
    </w:p>
    <w:p w14:paraId="1E6439B1">
      <w:pPr>
        <w:keepNext w:val="0"/>
        <w:keepLines w:val="0"/>
        <w:pageBreakBefore w:val="0"/>
        <w:kinsoku/>
        <w:wordWrap/>
        <w:overflowPunct/>
        <w:topLinePunct w:val="0"/>
        <w:autoSpaceDE/>
        <w:autoSpaceDN/>
        <w:bidi w:val="0"/>
        <w:adjustRightInd/>
        <w:spacing w:line="500" w:lineRule="exact"/>
        <w:ind w:left="368" w:right="19" w:rightChars="8" w:hanging="420" w:hangingChars="17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7.9 乙方的投标文件应实事求是的响应招标文件,由于乙方的原因给甲方造成损失的, 甲方有权选择由乙方进行赔偿或按照合同总价5%-30%承担违约责任（该比例由甲方确定）。</w:t>
      </w:r>
    </w:p>
    <w:p w14:paraId="706A1C37">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8. 保密条款</w:t>
      </w:r>
    </w:p>
    <w:p w14:paraId="025CD3DE">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 双方应对本项目中接触到的对方所有的包括但不限于以下信息负保密义务：</w:t>
      </w:r>
    </w:p>
    <w:p w14:paraId="1184AB55">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8.1.1 业务数据、管理文件、知识产权、商业秘密、技术成果等。</w:t>
      </w:r>
    </w:p>
    <w:p w14:paraId="30CB3FD1">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8.1.2 人事信息：包括涉及甲方的人事档案、薪酬及考核等人事管理信息。</w:t>
      </w:r>
    </w:p>
    <w:p w14:paraId="62D6FFC5">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8.1.3 医院运行信息：包括涉及甲方业务运行的各种信息，医院经营方向、经营决策、定价政策以及相关合同、协议、项目等。</w:t>
      </w:r>
    </w:p>
    <w:p w14:paraId="47CF4E6C">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8.1.4 财务信息：包括涉及甲方的各项财务报表、人员工资等；涉及甲方药品、设备、耗材等预算、采购、合同、消耗、统计等信息。</w:t>
      </w:r>
    </w:p>
    <w:p w14:paraId="6AF2F030">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8.1.5 患者信息：包括涉及甲方门诊、住院患者的相关诊疗信息，如患者个人的基本信息、诊疗方案、病历信息、费用信息、处方等。</w:t>
      </w:r>
    </w:p>
    <w:p w14:paraId="397C2EE3">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8.2 乙方及其工作人员在项目实施过程中接触、获取到的上述信息非因项目需要不得复制，上述信息不得传播、销售，不得向社会公众或第三方通过任何途径出示、泄露。合同履行完毕后，乙方接触、获取到的上述保密信息应当立即交还甲方，或者予以销毁。</w:t>
      </w:r>
    </w:p>
    <w:p w14:paraId="6921AFC9">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8.3 上述信息的保密期限为永久。</w:t>
      </w:r>
    </w:p>
    <w:p w14:paraId="6A767726">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8.4 本合同所述的保密条款对以下内容不适用：</w:t>
      </w:r>
    </w:p>
    <w:p w14:paraId="6CF80312">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8.4 1 属于常识且不受著作权控制的内容；</w:t>
      </w:r>
    </w:p>
    <w:p w14:paraId="0F8603CE">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8.4.2 已通过出版物或其他合法途径公开的内容；</w:t>
      </w:r>
    </w:p>
    <w:p w14:paraId="6D52333A">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8.4.3 按法律、行政法规规定需要向有关机关、机构或媒介公开的内容。</w:t>
      </w:r>
    </w:p>
    <w:p w14:paraId="7495339C">
      <w:pPr>
        <w:keepNext w:val="0"/>
        <w:keepLines w:val="0"/>
        <w:pageBreakBefore w:val="0"/>
        <w:tabs>
          <w:tab w:val="left" w:pos="1789"/>
        </w:tabs>
        <w:kinsoku/>
        <w:wordWrap/>
        <w:overflowPunct/>
        <w:topLinePunct w:val="0"/>
        <w:autoSpaceDE/>
        <w:autoSpaceDN/>
        <w:bidi w:val="0"/>
        <w:adjustRightInd/>
        <w:spacing w:line="500" w:lineRule="exact"/>
        <w:ind w:right="17" w:firstLine="240" w:firstLineChars="1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8.5 乙方违反本条约定的，一经发现，按照合同总额的30%承担违约责任，由此给甲方造成损失的还应全额赔偿。</w:t>
      </w:r>
    </w:p>
    <w:p w14:paraId="5818ECB4">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9. 知识产权</w:t>
      </w:r>
    </w:p>
    <w:p w14:paraId="29367B6C">
      <w:pPr>
        <w:keepNext w:val="0"/>
        <w:keepLines w:val="0"/>
        <w:pageBreakBefore w:val="0"/>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9.1 乙方应保证甲方在其本国使用其投标产品或该产品的任何一部分时免受第三方提出的侵犯其专利权、商标权或工业设计权的起诉。如果任何第三方对此提出起诉 ，乙方应负责与之交涉并承担由此引起的一切法律及经济损失。</w:t>
      </w:r>
    </w:p>
    <w:p w14:paraId="46E65D84">
      <w:pPr>
        <w:keepNext w:val="0"/>
        <w:keepLines w:val="0"/>
        <w:pageBreakBefore w:val="0"/>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9.2 本项目涉及的知识产权归甲方所有。包含但不限于系统设计思路、软件版权、数据模型、系统专利等。项目任何资料和成果未经甲方同意不得公布、向他人提供、发表或报评各种奖项。</w:t>
      </w:r>
    </w:p>
    <w:p w14:paraId="31C54A1D">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68" w:name="_Toc332964148"/>
      <w:r>
        <w:rPr>
          <w:rFonts w:hint="eastAsia" w:ascii="宋体" w:hAnsi="宋体" w:eastAsia="宋体" w:cs="宋体"/>
          <w:b/>
          <w:color w:val="auto"/>
          <w:kern w:val="2"/>
          <w:sz w:val="24"/>
          <w:szCs w:val="24"/>
          <w:highlight w:val="none"/>
          <w:lang w:val="en-US" w:eastAsia="zh-CN"/>
        </w:rPr>
        <w:t>10. 索赔</w:t>
      </w:r>
      <w:bookmarkEnd w:id="68"/>
    </w:p>
    <w:p w14:paraId="61A852B0">
      <w:pPr>
        <w:keepNext w:val="0"/>
        <w:keepLines w:val="0"/>
        <w:pageBreakBefore w:val="0"/>
        <w:tabs>
          <w:tab w:val="left" w:pos="915"/>
        </w:tabs>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10.1 如果乙方对甲方在质量保证期内按第6条的规定向乙方提出质量不符和索赔要求负有责任时，除合同另有约定的，乙方须经甲方同意原则上按本合同7.5款来处理该项索赔：</w:t>
      </w:r>
    </w:p>
    <w:p w14:paraId="132D2D42">
      <w:pPr>
        <w:keepNext w:val="0"/>
        <w:keepLines w:val="0"/>
        <w:pageBreakBefore w:val="0"/>
        <w:tabs>
          <w:tab w:val="left" w:pos="915"/>
        </w:tabs>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10.2 对于上述索赔如果乙方在收到甲方索赔要求后15天内不能做出答复时，应视为乙方接受了甲方的索赔要求。如果乙方在15天内不予解决，甲方有权从合同款中扣款或甲方将从乙方开具的履约保证金中扣回索赔金额。</w:t>
      </w:r>
    </w:p>
    <w:p w14:paraId="3101233E">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69" w:name="_Toc332964149"/>
      <w:r>
        <w:rPr>
          <w:rFonts w:hint="eastAsia" w:ascii="宋体" w:hAnsi="宋体" w:eastAsia="宋体" w:cs="宋体"/>
          <w:b/>
          <w:color w:val="auto"/>
          <w:kern w:val="2"/>
          <w:sz w:val="24"/>
          <w:szCs w:val="24"/>
          <w:highlight w:val="none"/>
          <w:lang w:val="en-US" w:eastAsia="zh-CN"/>
        </w:rPr>
        <w:t>11. 不可抗力</w:t>
      </w:r>
      <w:bookmarkEnd w:id="69"/>
    </w:p>
    <w:p w14:paraId="2E373EA9">
      <w:pPr>
        <w:keepNext w:val="0"/>
        <w:keepLines w:val="0"/>
        <w:pageBreakBefore w:val="0"/>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11.1 本条所述的“不可抗力”系指那些双方在订立合同时无法控制、不可预见的事件。这些事件包括：战争、水灾、地震以及双方同意的事件。当不可抗力事件发生时，执行合同的期限将相应延长。</w:t>
      </w:r>
    </w:p>
    <w:p w14:paraId="0CF98F23">
      <w:pPr>
        <w:keepNext w:val="0"/>
        <w:keepLines w:val="0"/>
        <w:pageBreakBefore w:val="0"/>
        <w:kinsoku/>
        <w:wordWrap/>
        <w:overflowPunct/>
        <w:topLinePunct w:val="0"/>
        <w:autoSpaceDE/>
        <w:autoSpaceDN/>
        <w:bidi w:val="0"/>
        <w:adjustRightInd/>
        <w:spacing w:line="500" w:lineRule="exact"/>
        <w:ind w:left="500" w:right="19" w:rightChars="8" w:hanging="5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11.2 在不可抗力事件发生时，乙方应尽快以书面形式将不可抗力的情况和原因通知甲方。同时必须在14日内，以邮政特快专递形式递交有关政府部门的证明。如果不可抗力超过120天，双方将通过友好协商就合同的执行达成协议。</w:t>
      </w:r>
    </w:p>
    <w:p w14:paraId="399D84C2">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0" w:name="_Toc332964150"/>
      <w:r>
        <w:rPr>
          <w:rFonts w:hint="eastAsia" w:ascii="宋体" w:hAnsi="宋体" w:eastAsia="宋体" w:cs="宋体"/>
          <w:b/>
          <w:color w:val="auto"/>
          <w:kern w:val="2"/>
          <w:sz w:val="24"/>
          <w:szCs w:val="24"/>
          <w:highlight w:val="none"/>
          <w:lang w:val="en-US" w:eastAsia="zh-CN"/>
        </w:rPr>
        <w:t>12. 税费</w:t>
      </w:r>
      <w:bookmarkEnd w:id="70"/>
    </w:p>
    <w:p w14:paraId="4534CC12">
      <w:pPr>
        <w:keepNext w:val="0"/>
        <w:keepLines w:val="0"/>
        <w:pageBreakBefore w:val="0"/>
        <w:kinsoku/>
        <w:wordWrap/>
        <w:overflowPunct/>
        <w:topLinePunct w:val="0"/>
        <w:autoSpaceDE/>
        <w:autoSpaceDN/>
        <w:bidi w:val="0"/>
        <w:adjustRightInd/>
        <w:spacing w:line="500" w:lineRule="exact"/>
        <w:ind w:left="500" w:right="19" w:rightChars="8" w:hanging="5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12.1 中国政府根据现行税法对甲方征收的与本合同有关的一切税费均应由甲方负担。</w:t>
      </w:r>
    </w:p>
    <w:p w14:paraId="7276C4A6">
      <w:pPr>
        <w:keepNext w:val="0"/>
        <w:keepLines w:val="0"/>
        <w:pageBreakBefore w:val="0"/>
        <w:kinsoku/>
        <w:wordWrap/>
        <w:overflowPunct/>
        <w:topLinePunct w:val="0"/>
        <w:autoSpaceDE/>
        <w:autoSpaceDN/>
        <w:bidi w:val="0"/>
        <w:adjustRightInd/>
        <w:spacing w:line="500" w:lineRule="exact"/>
        <w:ind w:left="500" w:right="19" w:rightChars="8" w:hanging="5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12.2 中国政府根据中国现行税法对乙方征收的与本合同有关的一切税费由乙方负担。</w:t>
      </w:r>
    </w:p>
    <w:p w14:paraId="7AE1F6B8">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1" w:name="_Toc332964151"/>
      <w:r>
        <w:rPr>
          <w:rFonts w:hint="eastAsia" w:ascii="宋体" w:hAnsi="宋体" w:eastAsia="宋体" w:cs="宋体"/>
          <w:b/>
          <w:color w:val="auto"/>
          <w:kern w:val="2"/>
          <w:sz w:val="24"/>
          <w:szCs w:val="24"/>
          <w:highlight w:val="none"/>
          <w:lang w:val="en-US" w:eastAsia="zh-CN"/>
        </w:rPr>
        <w:t>13. 履约保证金</w:t>
      </w:r>
      <w:bookmarkEnd w:id="71"/>
    </w:p>
    <w:p w14:paraId="1EB99D05">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无。</w:t>
      </w:r>
    </w:p>
    <w:p w14:paraId="6E4A300C">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2" w:name="_Toc332964152"/>
      <w:r>
        <w:rPr>
          <w:rFonts w:hint="eastAsia" w:ascii="宋体" w:hAnsi="宋体" w:eastAsia="宋体" w:cs="宋体"/>
          <w:b/>
          <w:color w:val="auto"/>
          <w:kern w:val="2"/>
          <w:sz w:val="24"/>
          <w:szCs w:val="24"/>
          <w:highlight w:val="none"/>
          <w:lang w:val="en-US" w:eastAsia="zh-CN"/>
        </w:rPr>
        <w:t>14. 仲裁</w:t>
      </w:r>
      <w:bookmarkEnd w:id="72"/>
    </w:p>
    <w:p w14:paraId="1B307B33">
      <w:pPr>
        <w:keepNext w:val="0"/>
        <w:keepLines w:val="0"/>
        <w:pageBreakBefore w:val="0"/>
        <w:kinsoku/>
        <w:wordWrap/>
        <w:overflowPunct/>
        <w:topLinePunct w:val="0"/>
        <w:autoSpaceDE/>
        <w:autoSpaceDN/>
        <w:bidi w:val="0"/>
        <w:adjustRightInd/>
        <w:spacing w:line="500" w:lineRule="exact"/>
        <w:ind w:left="420" w:hanging="480" w:hanging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14.1甲乙双方应通过友好协商，解决在执行本合同中所发生的或与本合同有关的一切争端，如果协商仍得不到解决，任何一方均可向双方所在地仲裁委员会申请仲裁。</w:t>
      </w:r>
    </w:p>
    <w:p w14:paraId="31826460">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14.2仲裁裁决应为终局裁决，对双方均具有约束力。</w:t>
      </w:r>
    </w:p>
    <w:p w14:paraId="2E2F1D1E">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14.3因履行本合同发生争议，导致仲裁，一方委托律师事务所所支付的律师代理费应由败诉方承担。</w:t>
      </w:r>
    </w:p>
    <w:p w14:paraId="2B44A0A3">
      <w:pPr>
        <w:keepNext w:val="0"/>
        <w:keepLines w:val="0"/>
        <w:pageBreakBefore w:val="0"/>
        <w:kinsoku/>
        <w:wordWrap/>
        <w:overflowPunct/>
        <w:topLinePunct w:val="0"/>
        <w:autoSpaceDE/>
        <w:autoSpaceDN/>
        <w:bidi w:val="0"/>
        <w:adjustRightInd/>
        <w:spacing w:line="500" w:lineRule="exact"/>
        <w:ind w:left="420" w:hanging="480" w:hanging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14.4在仲裁期间，除正在进行仲裁的部分外，双方均应继续履行合同规定的各自的义务。</w:t>
      </w:r>
    </w:p>
    <w:p w14:paraId="3629BCDF">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3" w:name="_Toc332964153"/>
      <w:r>
        <w:rPr>
          <w:rFonts w:hint="eastAsia" w:ascii="宋体" w:hAnsi="宋体" w:eastAsia="宋体" w:cs="宋体"/>
          <w:b/>
          <w:color w:val="auto"/>
          <w:kern w:val="2"/>
          <w:sz w:val="24"/>
          <w:szCs w:val="24"/>
          <w:highlight w:val="none"/>
          <w:lang w:val="en-US" w:eastAsia="zh-CN"/>
        </w:rPr>
        <w:t>15. 违约终止合同</w:t>
      </w:r>
      <w:bookmarkEnd w:id="73"/>
    </w:p>
    <w:p w14:paraId="533E934C">
      <w:pPr>
        <w:keepNext w:val="0"/>
        <w:keepLines w:val="0"/>
        <w:pageBreakBefore w:val="0"/>
        <w:kinsoku/>
        <w:wordWrap/>
        <w:overflowPunct/>
        <w:topLinePunct w:val="0"/>
        <w:autoSpaceDE/>
        <w:autoSpaceDN/>
        <w:bidi w:val="0"/>
        <w:adjustRightInd/>
        <w:spacing w:line="500" w:lineRule="exact"/>
        <w:ind w:left="400" w:right="19" w:rightChars="8" w:hanging="4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15.1 除本合同另有约定外，在甲方对乙方违约（包含但不限于15.1.1和15.1.2）而采取的任何补救措施不受影响的情况下，甲方可向乙方发出书面违约通知书，提出终止部分或全部合同：</w:t>
      </w:r>
    </w:p>
    <w:p w14:paraId="1A510687">
      <w:pPr>
        <w:keepNext w:val="0"/>
        <w:keepLines w:val="0"/>
        <w:pageBreakBefore w:val="0"/>
        <w:kinsoku/>
        <w:wordWrap/>
        <w:overflowPunct/>
        <w:topLinePunct w:val="0"/>
        <w:autoSpaceDE/>
        <w:autoSpaceDN/>
        <w:bidi w:val="0"/>
        <w:adjustRightInd/>
        <w:spacing w:line="500" w:lineRule="exact"/>
        <w:ind w:left="630" w:right="19" w:rightChars="8" w:hanging="63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15.1.1 如果乙方未能在合同规定的限期或甲方同意延长的限期内完成系统安装调试；</w:t>
      </w:r>
    </w:p>
    <w:p w14:paraId="55F01890">
      <w:pPr>
        <w:keepNext w:val="0"/>
        <w:keepLines w:val="0"/>
        <w:pageBreakBefore w:val="0"/>
        <w:tabs>
          <w:tab w:val="left" w:pos="1920"/>
        </w:tabs>
        <w:kinsoku/>
        <w:wordWrap/>
        <w:overflowPunct/>
        <w:topLinePunct w:val="0"/>
        <w:autoSpaceDE/>
        <w:autoSpaceDN/>
        <w:bidi w:val="0"/>
        <w:adjustRightInd/>
        <w:spacing w:line="500" w:lineRule="exact"/>
        <w:ind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15.1.2 如果乙方未能履行合同规定的其他任何义务。</w:t>
      </w:r>
    </w:p>
    <w:p w14:paraId="40F8C870">
      <w:pPr>
        <w:keepNext w:val="0"/>
        <w:keepLines w:val="0"/>
        <w:pageBreakBefore w:val="0"/>
        <w:kinsoku/>
        <w:wordWrap/>
        <w:overflowPunct/>
        <w:topLinePunct w:val="0"/>
        <w:autoSpaceDE/>
        <w:autoSpaceDN/>
        <w:bidi w:val="0"/>
        <w:adjustRightInd/>
        <w:spacing w:line="500" w:lineRule="exact"/>
        <w:ind w:left="454" w:right="19" w:rightChars="8" w:hanging="518" w:hangingChars="216"/>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15.2 如果甲方根据第15.1条的规定，终止了全部或部分合同，甲方可以要求乙方退还全部或部分已付金额，并依其认为适当的条件和方法向第三方购买与未完成软件、硬件类似的产品，乙方应承担甲方购买类似产品所超出的那部分费用。合同中未终止部分，乙方应继续执行。 </w:t>
      </w:r>
    </w:p>
    <w:p w14:paraId="4D9C0814">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4" w:name="_Toc332964154"/>
      <w:r>
        <w:rPr>
          <w:rFonts w:hint="eastAsia" w:ascii="宋体" w:hAnsi="宋体" w:eastAsia="宋体" w:cs="宋体"/>
          <w:b/>
          <w:color w:val="auto"/>
          <w:kern w:val="2"/>
          <w:sz w:val="24"/>
          <w:szCs w:val="24"/>
          <w:highlight w:val="none"/>
          <w:lang w:val="en-US" w:eastAsia="zh-CN"/>
        </w:rPr>
        <w:t>16. 破产终止合同</w:t>
      </w:r>
      <w:bookmarkEnd w:id="74"/>
    </w:p>
    <w:p w14:paraId="4B103B72">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16.1 如果乙方破产或无清偿能力，甲方可在任何时候以书面形式通知乙方终止合同，该终止合同将不损害或影响甲方已经采取或将要采取的任何行动或补救措施的权利，以及要求乙方承担违约责任和赔偿损失的权利。</w:t>
      </w:r>
    </w:p>
    <w:p w14:paraId="5C26DAD7">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5" w:name="_Toc332964157"/>
      <w:r>
        <w:rPr>
          <w:rFonts w:hint="eastAsia" w:ascii="宋体" w:hAnsi="宋体" w:eastAsia="宋体" w:cs="宋体"/>
          <w:b/>
          <w:color w:val="auto"/>
          <w:kern w:val="2"/>
          <w:sz w:val="24"/>
          <w:szCs w:val="24"/>
          <w:highlight w:val="none"/>
          <w:lang w:val="en-US" w:eastAsia="zh-CN"/>
        </w:rPr>
        <w:t>17. 权利担保条款</w:t>
      </w:r>
      <w:bookmarkEnd w:id="75"/>
    </w:p>
    <w:p w14:paraId="03441375">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17.1 甲方保证提供给乙方的资料、信息内容合法，不侵犯第三人的合法权益。如因甲方原因致使乙方遭受第三方追诉的，甲方应承担由此给乙方造成的损失并承担违约责任。</w:t>
      </w:r>
    </w:p>
    <w:p w14:paraId="215A3795">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17.2 乙方保证在本项目设计、施工过程中，不侵犯第三人的合法权益。如因乙方原因致使甲方遭受第三方追诉的，乙方应承担由此给甲方造成的损失并承担违约责任。</w:t>
      </w:r>
    </w:p>
    <w:p w14:paraId="27044B01">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6" w:name="_Toc332964158"/>
      <w:r>
        <w:rPr>
          <w:rFonts w:hint="eastAsia" w:ascii="宋体" w:hAnsi="宋体" w:eastAsia="宋体" w:cs="宋体"/>
          <w:b/>
          <w:color w:val="auto"/>
          <w:kern w:val="2"/>
          <w:sz w:val="24"/>
          <w:szCs w:val="24"/>
          <w:highlight w:val="none"/>
          <w:lang w:val="en-US" w:eastAsia="zh-CN"/>
        </w:rPr>
        <w:t>18. 权利归属条款</w:t>
      </w:r>
      <w:bookmarkEnd w:id="76"/>
    </w:p>
    <w:p w14:paraId="58F175BA">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18.1 本合同甲方委托乙方设计、实施应用系统集成中所完成的技术成果，属于甲方。</w:t>
      </w:r>
    </w:p>
    <w:p w14:paraId="36CBBF5D">
      <w:pPr>
        <w:keepNext w:val="0"/>
        <w:keepLines w:val="0"/>
        <w:pageBreakBefore w:val="0"/>
        <w:kinsoku/>
        <w:wordWrap/>
        <w:overflowPunct/>
        <w:topLinePunct w:val="0"/>
        <w:autoSpaceDE/>
        <w:autoSpaceDN/>
        <w:bidi w:val="0"/>
        <w:adjustRightInd/>
        <w:spacing w:line="500" w:lineRule="exact"/>
        <w:ind w:left="473" w:right="19" w:rightChars="8" w:hanging="540" w:hangingChars="22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18.2 乙方按照本合同约定在履行系统维护和技术服务的过程中，不允许利用甲方提供的相关资料和工作条件进行与本项目无关的工作。</w:t>
      </w:r>
    </w:p>
    <w:p w14:paraId="4D868296">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7" w:name="_Toc332964156"/>
      <w:r>
        <w:rPr>
          <w:rFonts w:hint="eastAsia" w:ascii="宋体" w:hAnsi="宋体" w:eastAsia="宋体" w:cs="宋体"/>
          <w:b/>
          <w:color w:val="auto"/>
          <w:kern w:val="2"/>
          <w:sz w:val="24"/>
          <w:szCs w:val="24"/>
          <w:highlight w:val="none"/>
          <w:lang w:val="en-US" w:eastAsia="zh-CN"/>
        </w:rPr>
        <w:t>19. 培训</w:t>
      </w:r>
    </w:p>
    <w:p w14:paraId="69DE70AF">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19.1 培训目的：甲方相应上岗人员能应用和管理乙方提供的产品。</w:t>
      </w:r>
    </w:p>
    <w:p w14:paraId="260A5EF7">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19.2 确保甲方技术人员能够熟练地对系统进行运行、诊断、维护和管理。</w:t>
      </w:r>
    </w:p>
    <w:p w14:paraId="6AA488B5">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19.3 确保本项目相关业务人员对其使用的应用系统能熟练操作使用。</w:t>
      </w:r>
    </w:p>
    <w:p w14:paraId="30BB162F">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19.4 培训内容：参照软件、硬件使用手册和系统说明书。</w:t>
      </w:r>
    </w:p>
    <w:p w14:paraId="39D3BF0D">
      <w:pPr>
        <w:keepNext w:val="0"/>
        <w:keepLines w:val="0"/>
        <w:pageBreakBefore w:val="0"/>
        <w:kinsoku/>
        <w:wordWrap/>
        <w:overflowPunct/>
        <w:topLinePunct w:val="0"/>
        <w:autoSpaceDE/>
        <w:autoSpaceDN/>
        <w:bidi w:val="0"/>
        <w:adjustRightInd/>
        <w:spacing w:line="500" w:lineRule="exact"/>
        <w:ind w:left="400" w:right="19" w:rightChars="8" w:hanging="400"/>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19.5 培训时间、地点：中国医学科学院皮肤病医院。</w:t>
      </w:r>
    </w:p>
    <w:p w14:paraId="132983FF">
      <w:pPr>
        <w:keepNext w:val="0"/>
        <w:keepLines w:val="0"/>
        <w:pageBreakBefore w:val="0"/>
        <w:kinsoku/>
        <w:wordWrap/>
        <w:overflowPunct/>
        <w:topLinePunct w:val="0"/>
        <w:autoSpaceDE/>
        <w:autoSpaceDN/>
        <w:bidi w:val="0"/>
        <w:adjustRightInd/>
        <w:spacing w:line="500" w:lineRule="exact"/>
        <w:ind w:left="556" w:right="19" w:rightChars="8" w:hanging="636" w:hangingChars="26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19.6 乙方在甲方所在地为甲方提供不低于</w:t>
      </w:r>
      <w:r>
        <w:rPr>
          <w:rFonts w:hint="eastAsia" w:ascii="宋体" w:hAnsi="宋体" w:eastAsia="宋体" w:cs="宋体"/>
          <w:color w:val="auto"/>
          <w:kern w:val="2"/>
          <w:sz w:val="24"/>
          <w:szCs w:val="24"/>
          <w:highlight w:val="none"/>
          <w:u w:val="single"/>
          <w:lang w:val="en-US" w:eastAsia="zh-CN"/>
        </w:rPr>
        <w:t>15</w:t>
      </w:r>
      <w:r>
        <w:rPr>
          <w:rFonts w:hint="eastAsia" w:ascii="宋体" w:hAnsi="宋体" w:eastAsia="宋体" w:cs="宋体"/>
          <w:color w:val="auto"/>
          <w:kern w:val="2"/>
          <w:sz w:val="24"/>
          <w:szCs w:val="24"/>
          <w:highlight w:val="none"/>
          <w:lang w:val="en-US" w:eastAsia="zh-CN"/>
        </w:rPr>
        <w:t>个工作日的技术培训，具体培训时间双方协商决定。甲方应在培训日前</w:t>
      </w:r>
      <w:r>
        <w:rPr>
          <w:rFonts w:hint="eastAsia" w:ascii="宋体" w:hAnsi="宋体" w:eastAsia="宋体" w:cs="宋体"/>
          <w:color w:val="auto"/>
          <w:kern w:val="2"/>
          <w:sz w:val="24"/>
          <w:szCs w:val="24"/>
          <w:highlight w:val="none"/>
          <w:u w:val="single"/>
          <w:lang w:val="en-US" w:eastAsia="zh-CN"/>
        </w:rPr>
        <w:t xml:space="preserve">10 </w:t>
      </w:r>
      <w:r>
        <w:rPr>
          <w:rFonts w:hint="eastAsia" w:ascii="宋体" w:hAnsi="宋体" w:eastAsia="宋体" w:cs="宋体"/>
          <w:color w:val="auto"/>
          <w:kern w:val="2"/>
          <w:sz w:val="24"/>
          <w:szCs w:val="24"/>
          <w:highlight w:val="none"/>
          <w:lang w:val="en-US" w:eastAsia="zh-CN"/>
        </w:rPr>
        <w:t>日内向乙方提供参加培训的人员名单，名单中不得包括非甲方的工作人员。</w:t>
      </w:r>
    </w:p>
    <w:p w14:paraId="51FB6B32">
      <w:pPr>
        <w:keepNext w:val="0"/>
        <w:keepLines w:val="0"/>
        <w:pageBreakBefore w:val="0"/>
        <w:kinsoku/>
        <w:wordWrap/>
        <w:overflowPunct/>
        <w:topLinePunct w:val="0"/>
        <w:autoSpaceDE/>
        <w:autoSpaceDN/>
        <w:bidi w:val="0"/>
        <w:adjustRightInd/>
        <w:spacing w:line="500" w:lineRule="exact"/>
        <w:ind w:left="556" w:right="19" w:rightChars="8" w:hanging="636" w:hangingChars="265"/>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19.7 乙方未能完成以上培训内容的，甲方有权不支付尾款及不退还履约保证金。</w:t>
      </w:r>
    </w:p>
    <w:p w14:paraId="59CF9E86">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8" w:name="_Toc332964144"/>
      <w:r>
        <w:rPr>
          <w:rFonts w:hint="eastAsia" w:ascii="宋体" w:hAnsi="宋体" w:eastAsia="宋体" w:cs="宋体"/>
          <w:b/>
          <w:color w:val="auto"/>
          <w:kern w:val="2"/>
          <w:sz w:val="24"/>
          <w:szCs w:val="24"/>
          <w:highlight w:val="none"/>
          <w:lang w:val="en-US" w:eastAsia="zh-CN"/>
        </w:rPr>
        <w:t>20. 技术资料</w:t>
      </w:r>
      <w:bookmarkEnd w:id="78"/>
    </w:p>
    <w:p w14:paraId="19F51828">
      <w:pPr>
        <w:keepNext w:val="0"/>
        <w:keepLines w:val="0"/>
        <w:pageBreakBefore w:val="0"/>
        <w:tabs>
          <w:tab w:val="left" w:pos="360"/>
        </w:tabs>
        <w:kinsoku/>
        <w:wordWrap/>
        <w:overflowPunct/>
        <w:topLinePunct w:val="0"/>
        <w:autoSpaceDE/>
        <w:autoSpaceDN/>
        <w:bidi w:val="0"/>
        <w:adjustRightInd/>
        <w:spacing w:line="500" w:lineRule="exact"/>
        <w:ind w:left="368" w:right="19" w:rightChars="8" w:hanging="420" w:hangingChars="175"/>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20.1乙方须按招标文件的规定交付技术资料包括</w:t>
      </w:r>
      <w:r>
        <w:rPr>
          <w:rFonts w:hint="eastAsia" w:ascii="宋体" w:hAnsi="宋体" w:eastAsia="宋体" w:cs="宋体"/>
          <w:bCs/>
          <w:color w:val="auto"/>
          <w:kern w:val="2"/>
          <w:sz w:val="24"/>
          <w:szCs w:val="24"/>
          <w:highlight w:val="none"/>
          <w:lang w:val="en-US" w:eastAsia="zh-CN"/>
        </w:rPr>
        <w:t>测试报告、系统部署、操作手册</w:t>
      </w:r>
      <w:r>
        <w:rPr>
          <w:rFonts w:hint="eastAsia" w:ascii="宋体" w:hAnsi="宋体" w:eastAsia="宋体" w:cs="宋体"/>
          <w:color w:val="auto"/>
          <w:kern w:val="2"/>
          <w:sz w:val="24"/>
          <w:szCs w:val="24"/>
          <w:highlight w:val="none"/>
          <w:lang w:val="en-US" w:eastAsia="zh-CN"/>
        </w:rPr>
        <w:t>等给甲方。如果技术资料不完整或丢失，乙方应在接到甲方通知后10天内补供。否则甲方有权不支付尾款及不退还履约保证金。</w:t>
      </w:r>
    </w:p>
    <w:bookmarkEnd w:id="77"/>
    <w:p w14:paraId="71E5C333">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79" w:name="_Toc332964159"/>
      <w:r>
        <w:rPr>
          <w:rFonts w:hint="eastAsia" w:ascii="宋体" w:hAnsi="宋体" w:eastAsia="宋体" w:cs="宋体"/>
          <w:b/>
          <w:color w:val="auto"/>
          <w:kern w:val="2"/>
          <w:sz w:val="24"/>
          <w:szCs w:val="24"/>
          <w:highlight w:val="none"/>
          <w:lang w:val="en-US" w:eastAsia="zh-CN"/>
        </w:rPr>
        <w:t>21. 合同修改</w:t>
      </w:r>
      <w:bookmarkEnd w:id="79"/>
    </w:p>
    <w:p w14:paraId="0CBFBD46">
      <w:pPr>
        <w:keepNext w:val="0"/>
        <w:keepLines w:val="0"/>
        <w:pageBreakBefore w:val="0"/>
        <w:kinsoku/>
        <w:wordWrap/>
        <w:overflowPunct/>
        <w:topLinePunct w:val="0"/>
        <w:autoSpaceDE/>
        <w:autoSpaceDN/>
        <w:bidi w:val="0"/>
        <w:adjustRightInd/>
        <w:spacing w:line="500" w:lineRule="exact"/>
        <w:ind w:right="19" w:rightChars="8"/>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21.1任何对合同条件的变更或修改均须双方签订书面的修改书。</w:t>
      </w:r>
    </w:p>
    <w:p w14:paraId="26BC7E59">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80" w:name="_Toc332964160"/>
      <w:r>
        <w:rPr>
          <w:rFonts w:hint="eastAsia" w:ascii="宋体" w:hAnsi="宋体" w:eastAsia="宋体" w:cs="宋体"/>
          <w:b/>
          <w:color w:val="auto"/>
          <w:kern w:val="2"/>
          <w:sz w:val="24"/>
          <w:szCs w:val="24"/>
          <w:highlight w:val="none"/>
          <w:lang w:val="en-US" w:eastAsia="zh-CN"/>
        </w:rPr>
        <w:t>22. 适用法律</w:t>
      </w:r>
      <w:bookmarkEnd w:id="80"/>
    </w:p>
    <w:p w14:paraId="2B8D3147">
      <w:pPr>
        <w:keepNext w:val="0"/>
        <w:keepLines w:val="0"/>
        <w:pageBreakBefore w:val="0"/>
        <w:kinsoku/>
        <w:wordWrap/>
        <w:overflowPunct/>
        <w:topLinePunct w:val="0"/>
        <w:autoSpaceDE/>
        <w:autoSpaceDN/>
        <w:bidi w:val="0"/>
        <w:adjustRightInd/>
        <w:spacing w:line="500" w:lineRule="exact"/>
        <w:ind w:right="19" w:rightChars="8"/>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22.1  本合同按照中国法律进行解释。</w:t>
      </w:r>
    </w:p>
    <w:p w14:paraId="6353187F">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bookmarkStart w:id="81" w:name="_Toc332964161"/>
      <w:r>
        <w:rPr>
          <w:rFonts w:hint="eastAsia" w:ascii="宋体" w:hAnsi="宋体" w:eastAsia="宋体" w:cs="宋体"/>
          <w:b/>
          <w:color w:val="auto"/>
          <w:kern w:val="2"/>
          <w:sz w:val="24"/>
          <w:szCs w:val="24"/>
          <w:highlight w:val="none"/>
          <w:lang w:val="en-US" w:eastAsia="zh-CN"/>
        </w:rPr>
        <w:t>23. 合同生效及其他</w:t>
      </w:r>
      <w:bookmarkEnd w:id="81"/>
    </w:p>
    <w:p w14:paraId="01223D0E">
      <w:pPr>
        <w:keepNext w:val="0"/>
        <w:keepLines w:val="0"/>
        <w:pageBreakBefore w:val="0"/>
        <w:kinsoku/>
        <w:wordWrap/>
        <w:overflowPunct/>
        <w:topLinePunct w:val="0"/>
        <w:autoSpaceDE/>
        <w:autoSpaceDN/>
        <w:bidi w:val="0"/>
        <w:adjustRightInd/>
        <w:spacing w:line="500" w:lineRule="exact"/>
        <w:ind w:right="19" w:rightChars="8"/>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23.1 下列条件全部符合后,合同生效:</w:t>
      </w:r>
    </w:p>
    <w:p w14:paraId="36CEF511">
      <w:pPr>
        <w:keepNext w:val="0"/>
        <w:keepLines w:val="0"/>
        <w:pageBreakBefore w:val="0"/>
        <w:kinsoku/>
        <w:wordWrap/>
        <w:overflowPunct/>
        <w:topLinePunct w:val="0"/>
        <w:autoSpaceDE/>
        <w:autoSpaceDN/>
        <w:bidi w:val="0"/>
        <w:adjustRightInd/>
        <w:spacing w:line="500" w:lineRule="exact"/>
        <w:ind w:right="19" w:rightChars="8"/>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23.1.1 双方代表签字盖章后生效。</w:t>
      </w:r>
    </w:p>
    <w:p w14:paraId="72998C69">
      <w:pPr>
        <w:keepNext w:val="0"/>
        <w:keepLines w:val="0"/>
        <w:pageBreakBefore w:val="0"/>
        <w:kinsoku/>
        <w:wordWrap/>
        <w:overflowPunct/>
        <w:topLinePunct w:val="0"/>
        <w:autoSpaceDE/>
        <w:autoSpaceDN/>
        <w:bidi w:val="0"/>
        <w:adjustRightInd/>
        <w:spacing w:line="500" w:lineRule="exact"/>
        <w:ind w:right="19" w:rightChars="8"/>
        <w:textAlignment w:val="bottom"/>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23.1.2 合同通过有关部门的审批；</w:t>
      </w:r>
    </w:p>
    <w:p w14:paraId="72F1C490">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23.2 本合同一式柒份，甲方执肆份，乙方执叁份。本合同附件与合同具有同等法律效力。 </w:t>
      </w:r>
    </w:p>
    <w:p w14:paraId="5E2B11B6">
      <w:pPr>
        <w:keepNext w:val="0"/>
        <w:keepLines w:val="0"/>
        <w:pageBreakBefore w:val="0"/>
        <w:kinsoku/>
        <w:wordWrap/>
        <w:overflowPunct/>
        <w:topLinePunct w:val="0"/>
        <w:autoSpaceDE/>
        <w:autoSpaceDN/>
        <w:bidi w:val="0"/>
        <w:adjustRightInd/>
        <w:spacing w:line="500" w:lineRule="exact"/>
        <w:ind w:left="420" w:hanging="480" w:hangingChars="20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23.3 需修改或补充合同内容，经协商，双方应签署书面修改或补充协议，该协议将作为本合同的一个组成部分。</w:t>
      </w:r>
    </w:p>
    <w:p w14:paraId="07587227">
      <w:pPr>
        <w:keepNext w:val="0"/>
        <w:keepLines w:val="0"/>
        <w:pageBreakBefore w:val="0"/>
        <w:kinsoku/>
        <w:wordWrap/>
        <w:overflowPunct/>
        <w:topLinePunct w:val="0"/>
        <w:autoSpaceDE/>
        <w:autoSpaceDN/>
        <w:bidi w:val="0"/>
        <w:adjustRightInd/>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b/>
          <w:color w:val="auto"/>
          <w:kern w:val="2"/>
          <w:sz w:val="24"/>
          <w:szCs w:val="24"/>
          <w:highlight w:val="none"/>
          <w:lang w:val="en-US" w:eastAsia="zh-CN"/>
        </w:rPr>
        <w:t>24. 合同附件</w:t>
      </w:r>
    </w:p>
    <w:p w14:paraId="1067AE78">
      <w:pPr>
        <w:keepNext w:val="0"/>
        <w:keepLines w:val="0"/>
        <w:pageBreakBefore w:val="0"/>
        <w:kinsoku/>
        <w:wordWrap/>
        <w:overflowPunct/>
        <w:topLinePunct w:val="0"/>
        <w:autoSpaceDE/>
        <w:autoSpaceDN/>
        <w:bidi w:val="0"/>
        <w:adjustRightInd/>
        <w:snapToGrid w:val="0"/>
        <w:spacing w:line="500" w:lineRule="exact"/>
        <w:rPr>
          <w:rFonts w:hint="eastAsia" w:ascii="宋体" w:hAnsi="宋体" w:eastAsia="宋体" w:cs="宋体"/>
          <w:b/>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24.1 附件一：中国医学科学院皮肤病医院本项目的招标文件</w:t>
      </w:r>
    </w:p>
    <w:p w14:paraId="5D1BA9E3">
      <w:pPr>
        <w:keepNext w:val="0"/>
        <w:keepLines w:val="0"/>
        <w:pageBreakBefore w:val="0"/>
        <w:kinsoku/>
        <w:wordWrap/>
        <w:overflowPunct/>
        <w:topLinePunct w:val="0"/>
        <w:autoSpaceDE/>
        <w:autoSpaceDN/>
        <w:bidi w:val="0"/>
        <w:adjustRightInd/>
        <w:snapToGrid w:val="0"/>
        <w:spacing w:line="500" w:lineRule="exact"/>
        <w:ind w:left="1365" w:hanging="1560" w:hangingChars="65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24.2 附件二：XXXX公司就中国医学科学院皮肤病医院本项目的投标文件</w:t>
      </w:r>
    </w:p>
    <w:p w14:paraId="7D91B0C3">
      <w:pPr>
        <w:keepNext w:val="0"/>
        <w:keepLines w:val="0"/>
        <w:pageBreakBefore w:val="0"/>
        <w:kinsoku/>
        <w:wordWrap/>
        <w:overflowPunct/>
        <w:topLinePunct w:val="0"/>
        <w:autoSpaceDE/>
        <w:autoSpaceDN/>
        <w:bidi w:val="0"/>
        <w:adjustRightInd/>
        <w:snapToGrid w:val="0"/>
        <w:spacing w:line="500" w:lineRule="exact"/>
        <w:ind w:left="1365" w:hanging="1560" w:hangingChars="65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24.3 附件三：XXXX公司授权代表应评标委员会要求对某些问题做出的书面答复（如果有的话）。</w:t>
      </w:r>
    </w:p>
    <w:p w14:paraId="02A94161">
      <w:pPr>
        <w:keepNext w:val="0"/>
        <w:keepLines w:val="0"/>
        <w:pageBreakBefore w:val="0"/>
        <w:kinsoku/>
        <w:wordWrap/>
        <w:overflowPunct/>
        <w:topLinePunct w:val="0"/>
        <w:autoSpaceDE/>
        <w:autoSpaceDN/>
        <w:bidi w:val="0"/>
        <w:adjustRightInd/>
        <w:snapToGrid w:val="0"/>
        <w:spacing w:line="500" w:lineRule="exact"/>
        <w:ind w:left="1365" w:hanging="1560" w:hangingChars="650"/>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24.4 附件四：中国医学科学院皮肤病医院本项目的保密协议。</w:t>
      </w:r>
    </w:p>
    <w:p w14:paraId="71D64B6C">
      <w:pPr>
        <w:widowControl w:val="0"/>
        <w:ind w:left="0" w:leftChars="0"/>
        <w:jc w:val="both"/>
        <w:rPr>
          <w:rFonts w:hint="eastAsia" w:ascii="宋体" w:hAnsi="宋体" w:eastAsia="宋体" w:cs="宋体"/>
          <w:color w:val="auto"/>
          <w:kern w:val="2"/>
          <w:sz w:val="24"/>
          <w:szCs w:val="24"/>
          <w:highlight w:val="none"/>
          <w:lang w:val="en-US" w:eastAsia="zh-CN" w:bidi="ar-SA"/>
        </w:rPr>
      </w:pPr>
    </w:p>
    <w:p w14:paraId="6C11D175">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以下无正文</w:t>
      </w:r>
    </w:p>
    <w:p w14:paraId="4831BA9C">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甲      方：中国医学科学院皮肤病医院（中国医学科学院皮肤病研究所）</w:t>
      </w:r>
    </w:p>
    <w:p w14:paraId="4B1070EB">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地      址：南京市蒋王庙街12号</w:t>
      </w:r>
    </w:p>
    <w:p w14:paraId="787EBCCB">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邮      编：210042</w:t>
      </w:r>
    </w:p>
    <w:p w14:paraId="74AD49B3">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电      话：</w:t>
      </w:r>
    </w:p>
    <w:p w14:paraId="5BBDF9DD">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传      真：025-85414477</w:t>
      </w:r>
    </w:p>
    <w:p w14:paraId="7417D9D2">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单位盖章：                 代表签字：              日期：        年     月     日</w:t>
      </w:r>
    </w:p>
    <w:p w14:paraId="5AD8090C">
      <w:pPr>
        <w:spacing w:line="460" w:lineRule="exact"/>
        <w:ind w:right="17"/>
        <w:rPr>
          <w:rFonts w:hint="eastAsia" w:ascii="宋体" w:hAnsi="宋体" w:eastAsia="宋体" w:cs="宋体"/>
          <w:color w:val="auto"/>
          <w:kern w:val="2"/>
          <w:sz w:val="24"/>
          <w:szCs w:val="24"/>
          <w:highlight w:val="none"/>
          <w:lang w:val="en-US" w:eastAsia="zh-CN"/>
        </w:rPr>
      </w:pPr>
    </w:p>
    <w:p w14:paraId="43DBF7B4">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乙      方： </w:t>
      </w:r>
    </w:p>
    <w:p w14:paraId="499F90C0">
      <w:pPr>
        <w:spacing w:line="300" w:lineRule="auto"/>
        <w:ind w:left="425" w:right="17" w:hanging="425"/>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地      址： </w:t>
      </w:r>
    </w:p>
    <w:p w14:paraId="505495CB">
      <w:pPr>
        <w:spacing w:line="300" w:lineRule="auto"/>
        <w:ind w:left="425" w:right="17" w:hanging="425"/>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邮      编： </w:t>
      </w:r>
    </w:p>
    <w:p w14:paraId="5E8FC9B3">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电      话： </w:t>
      </w:r>
    </w:p>
    <w:p w14:paraId="4465EF6A">
      <w:pPr>
        <w:spacing w:line="460" w:lineRule="exact"/>
        <w:ind w:right="17"/>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传      真：</w:t>
      </w:r>
    </w:p>
    <w:p w14:paraId="7262786D">
      <w:pPr>
        <w:spacing w:line="460" w:lineRule="exact"/>
        <w:ind w:right="17"/>
        <w:rPr>
          <w:rFonts w:hint="eastAsia" w:ascii="宋体" w:hAnsi="宋体" w:eastAsia="宋体" w:cs="宋体"/>
          <w:bCs/>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单位盖章：                 代表签字：              日期：        年     月     日</w:t>
      </w:r>
    </w:p>
    <w:p w14:paraId="2FC297FD">
      <w:pPr>
        <w:spacing w:line="480" w:lineRule="exact"/>
        <w:rPr>
          <w:rFonts w:hint="eastAsia" w:ascii="宋体" w:hAnsi="宋体" w:eastAsia="宋体" w:cs="宋体"/>
          <w:color w:val="auto"/>
          <w:kern w:val="2"/>
          <w:sz w:val="24"/>
          <w:szCs w:val="24"/>
          <w:highlight w:val="none"/>
          <w:lang w:val="en-US" w:eastAsia="zh-CN"/>
        </w:rPr>
      </w:pPr>
    </w:p>
    <w:p w14:paraId="6BF9FA42">
      <w:pPr>
        <w:widowControl w:val="0"/>
        <w:autoSpaceDE w:val="0"/>
        <w:autoSpaceDN w:val="0"/>
        <w:adjustRightInd w:val="0"/>
        <w:rPr>
          <w:rFonts w:hint="eastAsia" w:ascii="宋体" w:hAnsi="宋体" w:eastAsia="宋体" w:cs="宋体"/>
          <w:b/>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注：合同签订前，采购人可根据实际情况调整合同内容，成交供应商不得提出异议。</w:t>
      </w:r>
    </w:p>
    <w:p w14:paraId="6D6AB0A3">
      <w:pPr>
        <w:pStyle w:val="167"/>
        <w:autoSpaceDE w:val="0"/>
        <w:autoSpaceDN w:val="0"/>
        <w:adjustRightInd w:val="0"/>
        <w:snapToGrid w:val="0"/>
        <w:spacing w:before="50" w:line="360" w:lineRule="auto"/>
        <w:ind w:firstLine="480" w:firstLineChars="200"/>
        <w:jc w:val="left"/>
        <w:rPr>
          <w:rStyle w:val="65"/>
          <w:rFonts w:hint="eastAsia" w:ascii="宋体" w:hAnsi="宋体" w:eastAsia="宋体" w:cs="Times New Roman"/>
          <w:color w:val="auto"/>
          <w:sz w:val="24"/>
          <w:szCs w:val="24"/>
          <w:highlight w:val="none"/>
        </w:rPr>
      </w:pPr>
    </w:p>
    <w:p w14:paraId="52BF91D9">
      <w:pPr>
        <w:rPr>
          <w:color w:val="auto"/>
          <w:highlight w:val="none"/>
        </w:rPr>
      </w:pPr>
    </w:p>
    <w:p w14:paraId="1D7D72F4">
      <w:pPr>
        <w:rPr>
          <w:rFonts w:hint="eastAsia" w:ascii="宋体" w:hAnsi="宋体"/>
          <w:b/>
          <w:color w:val="auto"/>
          <w:sz w:val="36"/>
          <w:highlight w:val="none"/>
          <w:lang w:val="zh-CN"/>
        </w:rPr>
      </w:pPr>
      <w:r>
        <w:rPr>
          <w:rFonts w:hint="eastAsia" w:ascii="宋体" w:hAnsi="宋体"/>
          <w:b/>
          <w:color w:val="auto"/>
          <w:sz w:val="36"/>
          <w:highlight w:val="none"/>
          <w:lang w:val="zh-CN"/>
        </w:rPr>
        <w:br w:type="page"/>
      </w:r>
    </w:p>
    <w:p w14:paraId="6E5BBAD6">
      <w:pPr>
        <w:jc w:val="center"/>
        <w:rPr>
          <w:rFonts w:hint="eastAsia" w:ascii="黑体" w:hAnsi="宋体" w:eastAsia="黑体"/>
          <w:b/>
          <w:sz w:val="44"/>
          <w:szCs w:val="44"/>
        </w:rPr>
      </w:pPr>
    </w:p>
    <w:p w14:paraId="587E71AD">
      <w:pPr>
        <w:jc w:val="center"/>
        <w:rPr>
          <w:rFonts w:hint="eastAsia" w:ascii="黑体" w:hAnsi="宋体" w:eastAsia="黑体"/>
          <w:b/>
          <w:sz w:val="44"/>
          <w:szCs w:val="44"/>
        </w:rPr>
      </w:pPr>
    </w:p>
    <w:p w14:paraId="786A14BF">
      <w:pPr>
        <w:jc w:val="center"/>
        <w:rPr>
          <w:rFonts w:hint="eastAsia" w:ascii="黑体" w:hAnsi="宋体" w:eastAsia="黑体"/>
          <w:b/>
          <w:sz w:val="44"/>
          <w:szCs w:val="44"/>
        </w:rPr>
      </w:pPr>
    </w:p>
    <w:p w14:paraId="1865A3F2">
      <w:pPr>
        <w:jc w:val="center"/>
        <w:rPr>
          <w:rFonts w:hint="eastAsia" w:ascii="宋体" w:hAnsi="宋体" w:cs="宋体"/>
          <w:b/>
          <w:sz w:val="52"/>
          <w:szCs w:val="52"/>
        </w:rPr>
      </w:pPr>
      <w:r>
        <w:rPr>
          <w:rFonts w:hint="eastAsia" w:ascii="宋体" w:hAnsi="宋体" w:cs="宋体"/>
          <w:b/>
          <w:sz w:val="52"/>
          <w:szCs w:val="52"/>
        </w:rPr>
        <w:t>中国医学科学院皮肤病医院</w:t>
      </w:r>
    </w:p>
    <w:p w14:paraId="292053D4">
      <w:pPr>
        <w:jc w:val="center"/>
        <w:rPr>
          <w:rFonts w:hint="eastAsia" w:ascii="宋体" w:hAnsi="宋体" w:cs="宋体"/>
          <w:b/>
          <w:sz w:val="52"/>
          <w:szCs w:val="52"/>
        </w:rPr>
      </w:pPr>
      <w:r>
        <w:rPr>
          <w:rFonts w:hint="eastAsia" w:ascii="宋体" w:hAnsi="宋体" w:cs="宋体"/>
          <w:b/>
          <w:sz w:val="52"/>
          <w:szCs w:val="52"/>
          <w:lang w:val="en-US" w:eastAsia="zh-CN"/>
        </w:rPr>
        <w:t>信息项目</w:t>
      </w:r>
      <w:r>
        <w:rPr>
          <w:rFonts w:hint="eastAsia" w:ascii="宋体" w:hAnsi="宋体" w:cs="宋体"/>
          <w:b/>
          <w:sz w:val="52"/>
          <w:szCs w:val="52"/>
        </w:rPr>
        <w:t>廉洁购销协议书</w:t>
      </w:r>
    </w:p>
    <w:p w14:paraId="09173EF4">
      <w:pPr>
        <w:jc w:val="center"/>
        <w:rPr>
          <w:rFonts w:hint="eastAsia" w:ascii="黑体" w:hAnsi="宋体" w:eastAsia="黑体"/>
          <w:b/>
          <w:sz w:val="52"/>
          <w:szCs w:val="52"/>
        </w:rPr>
      </w:pPr>
    </w:p>
    <w:p w14:paraId="1C0903C7">
      <w:pPr>
        <w:jc w:val="center"/>
        <w:rPr>
          <w:rFonts w:hint="eastAsia" w:ascii="黑体" w:hAnsi="宋体" w:eastAsia="黑体"/>
          <w:b/>
          <w:sz w:val="52"/>
          <w:szCs w:val="52"/>
        </w:rPr>
      </w:pPr>
    </w:p>
    <w:p w14:paraId="15B4F21C">
      <w:pPr>
        <w:jc w:val="center"/>
        <w:rPr>
          <w:rFonts w:hint="eastAsia" w:ascii="黑体" w:hAnsi="宋体" w:eastAsia="黑体"/>
          <w:b/>
          <w:sz w:val="52"/>
          <w:szCs w:val="52"/>
        </w:rPr>
      </w:pPr>
    </w:p>
    <w:p w14:paraId="0903E9E0">
      <w:pPr>
        <w:jc w:val="center"/>
        <w:rPr>
          <w:rFonts w:hint="eastAsia" w:ascii="黑体" w:hAnsi="宋体" w:eastAsia="黑体"/>
          <w:b/>
          <w:sz w:val="52"/>
          <w:szCs w:val="52"/>
        </w:rPr>
      </w:pPr>
    </w:p>
    <w:p w14:paraId="4DB0A340">
      <w:pPr>
        <w:jc w:val="center"/>
        <w:rPr>
          <w:rFonts w:hint="eastAsia" w:ascii="黑体" w:hAnsi="宋体" w:eastAsia="黑体"/>
          <w:b/>
          <w:sz w:val="36"/>
          <w:szCs w:val="36"/>
        </w:rPr>
      </w:pPr>
    </w:p>
    <w:p w14:paraId="5027A14D">
      <w:pPr>
        <w:jc w:val="center"/>
        <w:rPr>
          <w:rFonts w:hint="eastAsia" w:ascii="黑体" w:hAnsi="宋体" w:eastAsia="黑体"/>
          <w:b/>
          <w:sz w:val="52"/>
          <w:szCs w:val="52"/>
        </w:rPr>
      </w:pPr>
    </w:p>
    <w:p w14:paraId="4D719721">
      <w:pPr>
        <w:jc w:val="center"/>
        <w:rPr>
          <w:rFonts w:hint="eastAsia" w:ascii="黑体" w:hAnsi="宋体" w:eastAsia="黑体"/>
          <w:b/>
          <w:sz w:val="52"/>
          <w:szCs w:val="52"/>
        </w:rPr>
      </w:pPr>
    </w:p>
    <w:p w14:paraId="105FA84D">
      <w:pPr>
        <w:jc w:val="center"/>
        <w:rPr>
          <w:rFonts w:hint="eastAsia" w:ascii="黑体" w:hAnsi="宋体" w:eastAsia="黑体"/>
          <w:b/>
          <w:sz w:val="52"/>
          <w:szCs w:val="52"/>
        </w:rPr>
      </w:pPr>
    </w:p>
    <w:p w14:paraId="70D25F33">
      <w:pPr>
        <w:jc w:val="center"/>
        <w:rPr>
          <w:rFonts w:hint="default" w:ascii="宋体" w:hAnsi="宋体" w:eastAsia="宋体" w:cs="宋体"/>
          <w:b/>
          <w:bCs/>
          <w:sz w:val="36"/>
          <w:szCs w:val="36"/>
          <w:lang w:val="en-US" w:eastAsia="zh-CN"/>
        </w:rPr>
      </w:pPr>
      <w:r>
        <w:rPr>
          <w:rFonts w:hint="eastAsia" w:ascii="宋体" w:hAnsi="宋体" w:cs="宋体"/>
          <w:b/>
          <w:bCs/>
          <w:sz w:val="36"/>
          <w:szCs w:val="36"/>
        </w:rPr>
        <w:t>二O</w:t>
      </w:r>
      <w:r>
        <w:rPr>
          <w:rFonts w:hint="eastAsia" w:ascii="宋体" w:hAnsi="宋体" w:cs="宋体"/>
          <w:b/>
          <w:bCs/>
          <w:sz w:val="36"/>
          <w:szCs w:val="36"/>
          <w:lang w:val="en-US" w:eastAsia="zh-CN"/>
        </w:rPr>
        <w:t xml:space="preserve">  </w:t>
      </w:r>
      <w:r>
        <w:rPr>
          <w:rFonts w:hint="eastAsia" w:ascii="宋体" w:hAnsi="宋体" w:cs="宋体"/>
          <w:b/>
          <w:bCs/>
          <w:sz w:val="36"/>
          <w:szCs w:val="36"/>
        </w:rPr>
        <w:t>年</w:t>
      </w:r>
      <w:r>
        <w:rPr>
          <w:rFonts w:hint="eastAsia" w:ascii="宋体" w:hAnsi="宋体" w:cs="宋体"/>
          <w:b/>
          <w:bCs/>
          <w:sz w:val="36"/>
          <w:szCs w:val="36"/>
          <w:lang w:val="en-US" w:eastAsia="zh-CN"/>
        </w:rPr>
        <w:t xml:space="preserve">  月</w:t>
      </w:r>
    </w:p>
    <w:p w14:paraId="5A92CED0">
      <w:pPr>
        <w:jc w:val="center"/>
        <w:rPr>
          <w:rFonts w:hint="eastAsia" w:ascii="方正宋黑简体" w:hAnsi="方正宋黑简体" w:eastAsia="方正宋黑简体" w:cs="方正宋黑简体"/>
          <w:b/>
          <w:sz w:val="44"/>
          <w:szCs w:val="44"/>
        </w:rPr>
      </w:pPr>
    </w:p>
    <w:p w14:paraId="70B782BF">
      <w:pPr>
        <w:spacing w:line="470" w:lineRule="exact"/>
        <w:jc w:val="center"/>
        <w:rPr>
          <w:rFonts w:hint="eastAsia" w:ascii="宋体" w:hAnsi="宋体" w:cs="黑体"/>
          <w:b/>
          <w:sz w:val="44"/>
          <w:szCs w:val="44"/>
        </w:rPr>
      </w:pPr>
      <w:r>
        <w:rPr>
          <w:rFonts w:hint="eastAsia" w:ascii="方正宋黑简体" w:hAnsi="方正宋黑简体" w:eastAsia="方正宋黑简体" w:cs="方正宋黑简体"/>
          <w:b/>
          <w:sz w:val="44"/>
          <w:szCs w:val="44"/>
        </w:rPr>
        <w:br w:type="page"/>
      </w:r>
      <w:r>
        <w:rPr>
          <w:rFonts w:hint="eastAsia" w:ascii="宋体" w:hAnsi="宋体" w:cs="黑体"/>
          <w:b/>
          <w:sz w:val="44"/>
          <w:szCs w:val="44"/>
        </w:rPr>
        <w:t>廉洁购</w:t>
      </w:r>
      <w:bookmarkStart w:id="152" w:name="_GoBack"/>
      <w:bookmarkEnd w:id="152"/>
      <w:r>
        <w:rPr>
          <w:rFonts w:hint="eastAsia" w:ascii="宋体" w:hAnsi="宋体" w:cs="黑体"/>
          <w:b/>
          <w:sz w:val="44"/>
          <w:szCs w:val="44"/>
        </w:rPr>
        <w:t>销协议书</w:t>
      </w:r>
    </w:p>
    <w:p w14:paraId="5E97D5CB">
      <w:pPr>
        <w:spacing w:line="352" w:lineRule="exact"/>
        <w:rPr>
          <w:rFonts w:hint="eastAsia" w:ascii="方正宋黑简体" w:hAnsi="方正宋黑简体" w:eastAsia="方正宋黑简体" w:cs="方正宋黑简体"/>
          <w:b/>
          <w:sz w:val="44"/>
          <w:szCs w:val="44"/>
        </w:rPr>
      </w:pPr>
    </w:p>
    <w:p w14:paraId="3E8DD610">
      <w:pPr>
        <w:spacing w:line="352"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highlight w:val="none"/>
        </w:rPr>
        <w:t>中国医学科学院皮肤病医院（中国医学科学院皮肤病研究所）</w:t>
      </w:r>
    </w:p>
    <w:p w14:paraId="53A26241">
      <w:pPr>
        <w:spacing w:line="352"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w:t>
      </w:r>
    </w:p>
    <w:p w14:paraId="28C1D60F">
      <w:pPr>
        <w:widowControl/>
        <w:spacing w:line="352"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为贯彻落实中央和地方关于治理商业贿赂文件精神，促进院所党风廉政建设深入开展，进一步规范医院信息化建设中的购销行为，严格执行</w:t>
      </w:r>
      <w:r>
        <w:rPr>
          <w:rFonts w:hint="eastAsia" w:asciiTheme="minorEastAsia" w:hAnsiTheme="minorEastAsia" w:eastAsiaTheme="minorEastAsia" w:cstheme="minorEastAsia"/>
          <w:color w:val="000000"/>
          <w:sz w:val="24"/>
          <w:szCs w:val="24"/>
          <w:lang w:bidi="ar"/>
        </w:rPr>
        <w:t>国家和地方卫生行政主管部门关于集中采购</w:t>
      </w:r>
      <w:r>
        <w:rPr>
          <w:rFonts w:hint="eastAsia" w:asciiTheme="minorEastAsia" w:hAnsiTheme="minorEastAsia" w:eastAsiaTheme="minorEastAsia" w:cstheme="minorEastAsia"/>
          <w:sz w:val="24"/>
          <w:szCs w:val="24"/>
          <w:lang w:bidi="ar"/>
        </w:rPr>
        <w:t>和政府采购的相关规定，</w:t>
      </w:r>
      <w:r>
        <w:rPr>
          <w:rFonts w:hint="eastAsia" w:asciiTheme="minorEastAsia" w:hAnsiTheme="minorEastAsia" w:eastAsiaTheme="minorEastAsia" w:cstheme="minorEastAsia"/>
          <w:sz w:val="24"/>
          <w:szCs w:val="24"/>
        </w:rPr>
        <w:t>防止违反《八项规定》精神和《九项准则》等事件，以及购销领域、信息服务中不正之风的发生，营造公平交易、诚实守信的环境，维护正常的医疗和经营秩序。甲、乙双方特签订廉洁购销协议书。内容如下：</w:t>
      </w:r>
    </w:p>
    <w:p w14:paraId="06A412D0">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一、甲方购进信息系统、网络信息设备、信息服务等不得以任何方式向乙方索取回扣，不得要求乙方代支任何费用。</w:t>
      </w:r>
    </w:p>
    <w:p w14:paraId="590F7BCC">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二、甲方和工作人员以暗示或其他形式索要回扣、提成、有价证券、现金、信用卡、购物卡等，乙方应予拒绝，并如实向甲方纪检监察部门反映情况。</w:t>
      </w:r>
    </w:p>
    <w:p w14:paraId="4AAB75A3">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乙方不得暗中给予甲方和工作人员回扣，不得以提成和赠送有价证券、现金、信用卡、购物卡、宴请、娱乐等手段影响甲方和工作人员对信息系统、网络信息设备、信息服务等的选择权。乙方提供甲方国内或境外学术活动必须按照相关规定办理手续。</w:t>
      </w:r>
    </w:p>
    <w:p w14:paraId="4C96DA7C">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四、乙方为拓展业务进行的商务洽谈，必须在工作时间到甲方指定科室或办公室联系商谈，工作时间不得进入医院工</w:t>
      </w:r>
      <w:r>
        <w:rPr>
          <w:rFonts w:hint="eastAsia" w:asciiTheme="minorEastAsia" w:hAnsiTheme="minorEastAsia" w:eastAsiaTheme="minorEastAsia" w:cstheme="minorEastAsia"/>
          <w:sz w:val="24"/>
          <w:szCs w:val="24"/>
          <w:highlight w:val="none"/>
        </w:rPr>
        <w:t>作区。严格按照医院《</w:t>
      </w:r>
      <w:r>
        <w:rPr>
          <w:rFonts w:hint="eastAsia" w:asciiTheme="minorEastAsia" w:hAnsiTheme="minorEastAsia" w:eastAsiaTheme="minorEastAsia" w:cstheme="minorEastAsia"/>
          <w:color w:val="080808"/>
          <w:sz w:val="24"/>
          <w:szCs w:val="24"/>
          <w:highlight w:val="none"/>
        </w:rPr>
        <w:t>医药代表备案管理制度</w:t>
      </w:r>
      <w:r>
        <w:rPr>
          <w:rFonts w:hint="eastAsia" w:asciiTheme="minorEastAsia" w:hAnsiTheme="minorEastAsia" w:eastAsiaTheme="minorEastAsia" w:cstheme="minorEastAsia"/>
          <w:sz w:val="24"/>
          <w:szCs w:val="24"/>
          <w:highlight w:val="none"/>
        </w:rPr>
        <w:t>》执行。乙方为履</w:t>
      </w:r>
      <w:r>
        <w:rPr>
          <w:rFonts w:hint="eastAsia" w:asciiTheme="minorEastAsia" w:hAnsiTheme="minorEastAsia" w:eastAsiaTheme="minorEastAsia" w:cstheme="minorEastAsia"/>
          <w:sz w:val="24"/>
          <w:szCs w:val="24"/>
        </w:rPr>
        <w:t>行合同义务进行的项目对接，可正常现场实施。</w:t>
      </w:r>
    </w:p>
    <w:p w14:paraId="55D6F175">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乙方如违反以上条款，经核实后，情节轻微，甲方给予乙方警告或暂停采购，并在单位内通报；拒不整改或情节严重的，甲方有权将乙方列入“非诚信交易黑名单”，终止供销合同；涉嫌违法的，由执法部门提起诉讼。</w:t>
      </w:r>
    </w:p>
    <w:p w14:paraId="17297740">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六、甲方和工作人员如违反以上条款的，将按国家法律、法规和相关制度给予处理，涉嫌违法的，交由执法部门处理。</w:t>
      </w:r>
    </w:p>
    <w:p w14:paraId="7097D1A1">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七、本协议书和廉洁购销承诺书作为信息系统、网络信息设备、信息服务等购销合同的附件，与购销合同一并执行，具有同等的法律效力。</w:t>
      </w:r>
    </w:p>
    <w:p w14:paraId="74242E2C">
      <w:pPr>
        <w:spacing w:line="352"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八、本协议书和廉洁购销承诺书一式两份，甲、乙双方各执一份，并从签订之日起生效。</w:t>
      </w:r>
    </w:p>
    <w:p w14:paraId="6BA45D29">
      <w:pPr>
        <w:spacing w:line="352" w:lineRule="exact"/>
        <w:rPr>
          <w:rFonts w:hint="eastAsia" w:asciiTheme="minorEastAsia" w:hAnsiTheme="minorEastAsia" w:eastAsiaTheme="minorEastAsia" w:cstheme="minorEastAsia"/>
          <w:sz w:val="24"/>
          <w:szCs w:val="24"/>
        </w:rPr>
      </w:pPr>
    </w:p>
    <w:p w14:paraId="40132CF6">
      <w:pPr>
        <w:spacing w:line="352"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w:t>
      </w:r>
    </w:p>
    <w:p w14:paraId="2B3C5138">
      <w:pPr>
        <w:spacing w:line="352"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法人代表（或授权人）签名：</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法人代表（或授权人）签名：</w:t>
      </w:r>
    </w:p>
    <w:p w14:paraId="19EF7ECC">
      <w:pPr>
        <w:spacing w:line="352"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p>
    <w:p w14:paraId="5BDCEB59">
      <w:pPr>
        <w:spacing w:line="352" w:lineRule="exact"/>
        <w:ind w:firstLine="1200" w:firstLineChars="5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月    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年    月    日</w:t>
      </w:r>
    </w:p>
    <w:p w14:paraId="0A4692EE">
      <w:pPr>
        <w:rPr>
          <w:rFonts w:hint="eastAsia" w:ascii="方正宋黑简体" w:hAnsi="方正宋黑简体" w:eastAsia="方正宋黑简体" w:cs="方正宋黑简体"/>
          <w:sz w:val="28"/>
          <w:szCs w:val="28"/>
        </w:rPr>
      </w:pPr>
      <w:r>
        <w:rPr>
          <w:rFonts w:hint="eastAsia" w:ascii="方正宋黑简体" w:hAnsi="方正宋黑简体" w:eastAsia="方正宋黑简体" w:cs="方正宋黑简体"/>
          <w:sz w:val="28"/>
          <w:szCs w:val="28"/>
        </w:rPr>
        <w:br w:type="page"/>
      </w:r>
    </w:p>
    <w:p w14:paraId="108A9ABA">
      <w:pPr>
        <w:spacing w:line="600" w:lineRule="exact"/>
        <w:rPr>
          <w:rFonts w:hint="eastAsia" w:ascii="方正宋黑简体" w:hAnsi="方正宋黑简体" w:eastAsia="方正宋黑简体" w:cs="方正宋黑简体"/>
          <w:sz w:val="44"/>
          <w:szCs w:val="44"/>
        </w:rPr>
      </w:pPr>
      <w:r>
        <w:rPr>
          <w:rFonts w:hint="eastAsia" w:ascii="方正宋黑简体" w:hAnsi="方正宋黑简体" w:eastAsia="方正宋黑简体" w:cs="方正宋黑简体"/>
          <w:sz w:val="28"/>
          <w:szCs w:val="28"/>
        </w:rPr>
        <w:t xml:space="preserve">附件   </w:t>
      </w:r>
      <w:r>
        <w:rPr>
          <w:rFonts w:hint="eastAsia" w:ascii="方正宋黑简体" w:hAnsi="方正宋黑简体" w:eastAsia="方正宋黑简体" w:cs="方正宋黑简体"/>
          <w:sz w:val="44"/>
          <w:szCs w:val="44"/>
        </w:rPr>
        <w:t xml:space="preserve">        </w:t>
      </w:r>
    </w:p>
    <w:p w14:paraId="72DEC8FC">
      <w:pPr>
        <w:jc w:val="center"/>
        <w:rPr>
          <w:rFonts w:hint="eastAsia" w:ascii="宋体" w:hAnsi="宋体" w:cs="黑体"/>
          <w:b/>
          <w:sz w:val="44"/>
          <w:szCs w:val="44"/>
        </w:rPr>
      </w:pPr>
      <w:r>
        <w:rPr>
          <w:rFonts w:hint="eastAsia" w:ascii="宋体" w:hAnsi="宋体" w:cs="黑体"/>
          <w:b/>
          <w:sz w:val="44"/>
          <w:szCs w:val="44"/>
        </w:rPr>
        <w:t>廉洁购销承诺书</w:t>
      </w:r>
    </w:p>
    <w:p w14:paraId="012460CE">
      <w:pPr>
        <w:spacing w:line="520" w:lineRule="exact"/>
        <w:ind w:left="480" w:leftChars="200" w:firstLine="1078" w:firstLineChars="245"/>
        <w:rPr>
          <w:rFonts w:hint="eastAsia" w:ascii="方正宋黑简体" w:hAnsi="方正宋黑简体" w:eastAsia="方正宋黑简体" w:cs="方正宋黑简体"/>
          <w:sz w:val="44"/>
          <w:szCs w:val="44"/>
        </w:rPr>
      </w:pPr>
    </w:p>
    <w:p w14:paraId="2A514B20">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按照中国医学科学院皮肤病医院开展医药购销领域专项治理工作相关要求，本企业特作如下承诺：</w:t>
      </w:r>
    </w:p>
    <w:p w14:paraId="5540A574">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一、严格遵守国家的相关法律、法规和皮肤病医院规章制度。</w:t>
      </w:r>
    </w:p>
    <w:p w14:paraId="6B080003">
      <w:pPr>
        <w:spacing w:line="520" w:lineRule="exact"/>
        <w:ind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二、按采购合同或要求供货，确保所供应的产品质量合格。</w:t>
      </w:r>
    </w:p>
    <w:p w14:paraId="474D5D7D">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三、不以回扣，提成等不正当手段进行促销；不以旅游、考察、宴请等各种名义和形式进行促销；不以任何借口向医院工作人员赠送现金，有价证券和其他物品等，或给予其他不正当利益。</w:t>
      </w:r>
    </w:p>
    <w:p w14:paraId="411FB65A">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四、工作时间不进入院方科室及诊疗场所推销产品；不以任何形式和方式统计处方。</w:t>
      </w:r>
    </w:p>
    <w:p w14:paraId="7830A594">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五、需要进行产品宣传，学术讲座、会议等活动时，符合国家和卫生行政部门相关规定要求，并遵守院方规章制度。</w:t>
      </w:r>
    </w:p>
    <w:p w14:paraId="6E9DDF2D">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六、对院方捐赠活动严格按照《中华人民共和国捐赠法》有关规定进行。</w:t>
      </w:r>
    </w:p>
    <w:p w14:paraId="24F14453">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七、积极配合院方进行医药购销中有关商业贿赂的调查。</w:t>
      </w:r>
    </w:p>
    <w:p w14:paraId="2452F149">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如有违反上述承诺，愿意接受取消中标资格、记入不良行为数据库等处理，直至停止业务往来，以及执法执纪部门的其他处理。</w:t>
      </w:r>
    </w:p>
    <w:p w14:paraId="5C63DBAD">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本承诺书一式两份，一份本企业留存，一份存院方纪检部门。</w:t>
      </w:r>
    </w:p>
    <w:p w14:paraId="1C13C9AC">
      <w:pPr>
        <w:spacing w:line="520" w:lineRule="exact"/>
        <w:ind w:firstLine="480" w:firstLineChars="200"/>
        <w:rPr>
          <w:rFonts w:hint="eastAsia" w:asciiTheme="minorEastAsia" w:hAnsiTheme="minorEastAsia" w:eastAsiaTheme="minorEastAsia" w:cstheme="minorEastAsia"/>
          <w:sz w:val="24"/>
          <w:szCs w:val="24"/>
        </w:rPr>
      </w:pPr>
    </w:p>
    <w:p w14:paraId="7D7EF088">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公司名称：（盖章）</w:t>
      </w:r>
    </w:p>
    <w:p w14:paraId="08EB0F85">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p w14:paraId="5E22B5CD">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企业法人代表或授权人（签名）：</w:t>
      </w:r>
    </w:p>
    <w:p w14:paraId="262AA3DE">
      <w:pPr>
        <w:spacing w:line="52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p>
    <w:p w14:paraId="0A5B1304">
      <w:pPr>
        <w:rPr>
          <w:rFonts w:hint="eastAsia" w:asciiTheme="minorEastAsia" w:hAnsiTheme="minorEastAsia" w:eastAsiaTheme="minorEastAsia" w:cstheme="minorEastAsia"/>
          <w:b/>
          <w:color w:val="auto"/>
          <w:sz w:val="24"/>
          <w:szCs w:val="24"/>
          <w:highlight w:val="none"/>
          <w:lang w:val="zh-CN"/>
        </w:rPr>
      </w:pPr>
      <w:r>
        <w:rPr>
          <w:rFonts w:hint="eastAsia" w:asciiTheme="minorEastAsia" w:hAnsiTheme="minorEastAsia" w:eastAsiaTheme="minorEastAsia" w:cstheme="minorEastAsia"/>
          <w:b/>
          <w:color w:val="auto"/>
          <w:sz w:val="24"/>
          <w:szCs w:val="24"/>
          <w:highlight w:val="none"/>
          <w:lang w:val="zh-CN"/>
        </w:rPr>
        <w:br w:type="page"/>
      </w:r>
    </w:p>
    <w:p w14:paraId="47373DC4">
      <w:pPr>
        <w:jc w:val="center"/>
        <w:rPr>
          <w:rFonts w:hint="eastAsia" w:ascii="宋体" w:hAnsi="宋体"/>
          <w:b/>
          <w:color w:val="auto"/>
          <w:sz w:val="36"/>
          <w:highlight w:val="none"/>
          <w:lang w:val="zh-CN" w:eastAsia="zh-CN"/>
        </w:rPr>
      </w:pPr>
      <w:r>
        <w:rPr>
          <w:rFonts w:hint="eastAsia" w:ascii="宋体" w:hAnsi="宋体"/>
          <w:b/>
          <w:color w:val="auto"/>
          <w:sz w:val="36"/>
          <w:highlight w:val="none"/>
          <w:lang w:val="zh-CN"/>
        </w:rPr>
        <w:t>第</w:t>
      </w:r>
      <w:r>
        <w:rPr>
          <w:rFonts w:hint="eastAsia" w:ascii="宋体" w:hAnsi="宋体"/>
          <w:b/>
          <w:color w:val="auto"/>
          <w:sz w:val="36"/>
          <w:highlight w:val="none"/>
          <w:lang w:val="en-US" w:eastAsia="zh-CN"/>
        </w:rPr>
        <w:t>六</w:t>
      </w:r>
      <w:r>
        <w:rPr>
          <w:rFonts w:hint="eastAsia" w:ascii="宋体" w:hAnsi="宋体"/>
          <w:b/>
          <w:color w:val="auto"/>
          <w:sz w:val="36"/>
          <w:highlight w:val="none"/>
          <w:lang w:val="zh-CN"/>
        </w:rPr>
        <w:t>部分</w:t>
      </w:r>
      <w:r>
        <w:rPr>
          <w:rFonts w:hint="eastAsia" w:ascii="宋体" w:hAnsi="宋体"/>
          <w:b/>
          <w:color w:val="auto"/>
          <w:sz w:val="36"/>
          <w:highlight w:val="none"/>
          <w:lang w:val="en-US" w:eastAsia="zh-CN"/>
        </w:rPr>
        <w:t xml:space="preserve"> </w:t>
      </w:r>
      <w:r>
        <w:rPr>
          <w:rFonts w:hint="eastAsia" w:ascii="宋体" w:hAnsi="宋体"/>
          <w:b/>
          <w:color w:val="auto"/>
          <w:sz w:val="36"/>
          <w:highlight w:val="none"/>
          <w:lang w:val="zh-CN"/>
        </w:rPr>
        <w:t>响应文件格式</w:t>
      </w:r>
      <w:bookmarkEnd w:id="48"/>
      <w:bookmarkEnd w:id="49"/>
      <w:bookmarkEnd w:id="62"/>
    </w:p>
    <w:p w14:paraId="683A3BE0">
      <w:pPr>
        <w:pStyle w:val="239"/>
        <w:jc w:val="center"/>
        <w:outlineLvl w:val="9"/>
        <w:rPr>
          <w:rFonts w:hint="eastAsia" w:ascii="宋体" w:hAnsi="宋体" w:eastAsia="宋体" w:cs="宋体"/>
          <w:color w:val="auto"/>
          <w:highlight w:val="none"/>
        </w:rPr>
      </w:pPr>
      <w:bookmarkStart w:id="82" w:name="_Toc22685"/>
      <w:bookmarkStart w:id="83" w:name="_Toc27696"/>
      <w:bookmarkStart w:id="84" w:name="_Toc11170"/>
    </w:p>
    <w:p w14:paraId="0F51A919">
      <w:pPr>
        <w:pStyle w:val="239"/>
        <w:jc w:val="center"/>
        <w:outlineLvl w:val="9"/>
        <w:rPr>
          <w:rFonts w:hint="eastAsia" w:ascii="宋体" w:hAnsi="宋体" w:eastAsia="宋体" w:cs="宋体"/>
          <w:color w:val="auto"/>
          <w:highlight w:val="none"/>
        </w:rPr>
      </w:pPr>
      <w:r>
        <w:rPr>
          <w:rFonts w:hint="eastAsia" w:ascii="宋体" w:hAnsi="宋体" w:eastAsia="宋体" w:cs="宋体"/>
          <w:color w:val="auto"/>
          <w:highlight w:val="none"/>
        </w:rPr>
        <w:t>封面</w:t>
      </w:r>
      <w:bookmarkEnd w:id="82"/>
      <w:bookmarkEnd w:id="83"/>
      <w:bookmarkEnd w:id="84"/>
    </w:p>
    <w:p w14:paraId="62758354">
      <w:pPr>
        <w:pStyle w:val="291"/>
        <w:autoSpaceDE w:val="0"/>
        <w:autoSpaceDN w:val="0"/>
        <w:adjustRightInd w:val="0"/>
        <w:outlineLvl w:val="9"/>
        <w:rPr>
          <w:rFonts w:hint="eastAsia" w:ascii="宋体" w:hAnsi="宋体" w:cs="宋体"/>
          <w:color w:val="auto"/>
          <w:kern w:val="0"/>
          <w:sz w:val="44"/>
          <w:szCs w:val="44"/>
          <w:highlight w:val="none"/>
          <w:u w:val="single"/>
          <w:lang w:val="en-US" w:eastAsia="zh-CN"/>
        </w:rPr>
      </w:pPr>
    </w:p>
    <w:p w14:paraId="4107BECF">
      <w:pPr>
        <w:pStyle w:val="291"/>
        <w:autoSpaceDE w:val="0"/>
        <w:autoSpaceDN w:val="0"/>
        <w:adjustRightInd w:val="0"/>
        <w:outlineLvl w:val="9"/>
        <w:rPr>
          <w:rFonts w:hint="eastAsia" w:ascii="宋体" w:hAnsi="宋体" w:cs="宋体"/>
          <w:color w:val="auto"/>
          <w:kern w:val="0"/>
          <w:sz w:val="44"/>
          <w:szCs w:val="44"/>
          <w:highlight w:val="none"/>
          <w:u w:val="single"/>
          <w:lang w:val="en-US" w:eastAsia="zh-CN"/>
        </w:rPr>
      </w:pPr>
    </w:p>
    <w:p w14:paraId="763C6BCB">
      <w:pPr>
        <w:pStyle w:val="291"/>
        <w:autoSpaceDE w:val="0"/>
        <w:autoSpaceDN w:val="0"/>
        <w:adjustRightInd w:val="0"/>
        <w:jc w:val="center"/>
        <w:outlineLvl w:val="9"/>
        <w:rPr>
          <w:rFonts w:hint="eastAsia" w:ascii="宋体" w:hAnsi="宋体" w:cs="宋体"/>
          <w:color w:val="auto"/>
          <w:kern w:val="0"/>
          <w:sz w:val="40"/>
          <w:szCs w:val="40"/>
          <w:highlight w:val="none"/>
          <w:u w:val="none"/>
          <w:lang w:val="en-US" w:eastAsia="zh-CN"/>
        </w:rPr>
      </w:pPr>
      <w:r>
        <w:rPr>
          <w:rFonts w:hint="eastAsia" w:ascii="宋体" w:hAnsi="宋体" w:cs="宋体"/>
          <w:color w:val="auto"/>
          <w:kern w:val="0"/>
          <w:sz w:val="40"/>
          <w:szCs w:val="40"/>
          <w:highlight w:val="none"/>
          <w:u w:val="none"/>
          <w:lang w:val="en-US" w:eastAsia="zh-CN"/>
        </w:rPr>
        <w:t>分包号：</w:t>
      </w:r>
    </w:p>
    <w:p w14:paraId="42CEF6F0">
      <w:pPr>
        <w:pStyle w:val="291"/>
        <w:autoSpaceDE w:val="0"/>
        <w:autoSpaceDN w:val="0"/>
        <w:adjustRightInd w:val="0"/>
        <w:jc w:val="center"/>
        <w:outlineLvl w:val="9"/>
        <w:rPr>
          <w:rFonts w:hint="eastAsia" w:ascii="宋体" w:hAnsi="宋体" w:cs="宋体"/>
          <w:color w:val="auto"/>
          <w:kern w:val="0"/>
          <w:sz w:val="40"/>
          <w:szCs w:val="40"/>
          <w:highlight w:val="none"/>
          <w:u w:val="none"/>
          <w:lang w:val="en-US" w:eastAsia="zh-CN"/>
        </w:rPr>
      </w:pPr>
    </w:p>
    <w:p w14:paraId="29CE0777">
      <w:pPr>
        <w:pStyle w:val="291"/>
        <w:autoSpaceDE w:val="0"/>
        <w:autoSpaceDN w:val="0"/>
        <w:adjustRightInd w:val="0"/>
        <w:jc w:val="center"/>
        <w:outlineLvl w:val="9"/>
        <w:rPr>
          <w:rFonts w:hint="default" w:ascii="宋体" w:hAnsi="宋体" w:cs="宋体"/>
          <w:color w:val="auto"/>
          <w:kern w:val="0"/>
          <w:sz w:val="40"/>
          <w:szCs w:val="40"/>
          <w:highlight w:val="none"/>
          <w:u w:val="none"/>
          <w:lang w:val="en-US" w:eastAsia="zh-CN"/>
        </w:rPr>
      </w:pPr>
      <w:r>
        <w:rPr>
          <w:rFonts w:hint="eastAsia" w:ascii="宋体" w:hAnsi="宋体" w:cs="宋体"/>
          <w:color w:val="auto"/>
          <w:kern w:val="0"/>
          <w:sz w:val="40"/>
          <w:szCs w:val="40"/>
          <w:highlight w:val="none"/>
          <w:u w:val="none"/>
          <w:lang w:val="en-US" w:eastAsia="zh-CN"/>
        </w:rPr>
        <w:t>分包项目名称：</w:t>
      </w:r>
    </w:p>
    <w:p w14:paraId="74730BE4">
      <w:pPr>
        <w:pStyle w:val="291"/>
        <w:autoSpaceDE w:val="0"/>
        <w:autoSpaceDN w:val="0"/>
        <w:adjustRightInd w:val="0"/>
        <w:jc w:val="center"/>
        <w:outlineLvl w:val="9"/>
        <w:rPr>
          <w:rFonts w:hint="eastAsia" w:ascii="宋体" w:hAnsi="宋体" w:cs="宋体"/>
          <w:color w:val="auto"/>
          <w:kern w:val="0"/>
          <w:sz w:val="52"/>
          <w:szCs w:val="52"/>
          <w:highlight w:val="none"/>
        </w:rPr>
      </w:pPr>
    </w:p>
    <w:p w14:paraId="5DE07D5B">
      <w:pPr>
        <w:pStyle w:val="291"/>
        <w:autoSpaceDE w:val="0"/>
        <w:autoSpaceDN w:val="0"/>
        <w:adjustRightInd w:val="0"/>
        <w:jc w:val="center"/>
        <w:outlineLvl w:val="9"/>
        <w:rPr>
          <w:rFonts w:hint="eastAsia" w:ascii="宋体" w:hAnsi="宋体" w:cs="宋体"/>
          <w:color w:val="auto"/>
          <w:kern w:val="0"/>
          <w:sz w:val="72"/>
          <w:szCs w:val="72"/>
          <w:highlight w:val="none"/>
        </w:rPr>
      </w:pPr>
      <w:r>
        <w:rPr>
          <w:rFonts w:hint="eastAsia" w:ascii="宋体" w:hAnsi="宋体" w:cs="宋体"/>
          <w:color w:val="auto"/>
          <w:kern w:val="0"/>
          <w:sz w:val="72"/>
          <w:szCs w:val="72"/>
          <w:highlight w:val="none"/>
        </w:rPr>
        <w:t>响 应 文 件</w:t>
      </w:r>
    </w:p>
    <w:p w14:paraId="6D200E61">
      <w:pPr>
        <w:pStyle w:val="291"/>
        <w:autoSpaceDE w:val="0"/>
        <w:autoSpaceDN w:val="0"/>
        <w:adjustRightInd w:val="0"/>
        <w:jc w:val="left"/>
        <w:outlineLvl w:val="9"/>
        <w:rPr>
          <w:rFonts w:hint="eastAsia" w:ascii="宋体" w:hAnsi="宋体" w:cs="宋体"/>
          <w:color w:val="auto"/>
          <w:kern w:val="0"/>
          <w:sz w:val="28"/>
          <w:szCs w:val="28"/>
          <w:highlight w:val="none"/>
        </w:rPr>
      </w:pPr>
    </w:p>
    <w:p w14:paraId="2C9353F6">
      <w:pPr>
        <w:pStyle w:val="291"/>
        <w:autoSpaceDE w:val="0"/>
        <w:autoSpaceDN w:val="0"/>
        <w:adjustRightInd w:val="0"/>
        <w:jc w:val="left"/>
        <w:outlineLvl w:val="9"/>
        <w:rPr>
          <w:rFonts w:hint="eastAsia" w:ascii="宋体" w:hAnsi="宋体" w:cs="宋体"/>
          <w:color w:val="auto"/>
          <w:kern w:val="0"/>
          <w:sz w:val="28"/>
          <w:szCs w:val="28"/>
          <w:highlight w:val="none"/>
        </w:rPr>
      </w:pPr>
    </w:p>
    <w:p w14:paraId="283C038B">
      <w:pPr>
        <w:pStyle w:val="291"/>
        <w:autoSpaceDE w:val="0"/>
        <w:autoSpaceDN w:val="0"/>
        <w:adjustRightInd w:val="0"/>
        <w:jc w:val="left"/>
        <w:outlineLvl w:val="9"/>
        <w:rPr>
          <w:rFonts w:hint="eastAsia" w:ascii="宋体" w:hAnsi="宋体" w:cs="宋体"/>
          <w:color w:val="auto"/>
          <w:kern w:val="0"/>
          <w:sz w:val="28"/>
          <w:szCs w:val="28"/>
          <w:highlight w:val="none"/>
        </w:rPr>
      </w:pPr>
    </w:p>
    <w:p w14:paraId="31C75488">
      <w:pPr>
        <w:pStyle w:val="291"/>
        <w:autoSpaceDE w:val="0"/>
        <w:autoSpaceDN w:val="0"/>
        <w:adjustRightInd w:val="0"/>
        <w:jc w:val="left"/>
        <w:outlineLvl w:val="9"/>
        <w:rPr>
          <w:rFonts w:hint="eastAsia" w:ascii="宋体" w:hAnsi="宋体" w:cs="宋体"/>
          <w:color w:val="auto"/>
          <w:kern w:val="0"/>
          <w:sz w:val="28"/>
          <w:szCs w:val="28"/>
          <w:highlight w:val="none"/>
        </w:rPr>
      </w:pPr>
    </w:p>
    <w:p w14:paraId="7B5515B9">
      <w:pPr>
        <w:pStyle w:val="291"/>
        <w:autoSpaceDE w:val="0"/>
        <w:autoSpaceDN w:val="0"/>
        <w:adjustRightInd w:val="0"/>
        <w:jc w:val="left"/>
        <w:outlineLvl w:val="9"/>
        <w:rPr>
          <w:rFonts w:hint="eastAsia" w:ascii="宋体" w:hAnsi="宋体" w:cs="宋体"/>
          <w:color w:val="auto"/>
          <w:kern w:val="0"/>
          <w:sz w:val="28"/>
          <w:szCs w:val="28"/>
          <w:highlight w:val="none"/>
        </w:rPr>
      </w:pPr>
    </w:p>
    <w:p w14:paraId="3271E6BA">
      <w:pPr>
        <w:pStyle w:val="291"/>
        <w:autoSpaceDE w:val="0"/>
        <w:autoSpaceDN w:val="0"/>
        <w:adjustRightInd w:val="0"/>
        <w:jc w:val="center"/>
        <w:outlineLvl w:val="9"/>
        <w:rPr>
          <w:rFonts w:hint="eastAsia" w:ascii="宋体" w:hAnsi="宋体" w:cs="宋体"/>
          <w:color w:val="auto"/>
          <w:kern w:val="0"/>
          <w:sz w:val="28"/>
          <w:szCs w:val="28"/>
          <w:highlight w:val="none"/>
        </w:rPr>
      </w:pPr>
    </w:p>
    <w:p w14:paraId="2364A6D9">
      <w:pPr>
        <w:pStyle w:val="291"/>
        <w:autoSpaceDE w:val="0"/>
        <w:autoSpaceDN w:val="0"/>
        <w:adjustRightInd w:val="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 xml:space="preserve">                  供应商：</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w:t>
      </w:r>
      <w:r>
        <w:rPr>
          <w:rFonts w:hint="eastAsia" w:ascii="宋体" w:hAnsi="宋体" w:cs="宋体"/>
          <w:color w:val="auto"/>
          <w:kern w:val="0"/>
          <w:sz w:val="28"/>
          <w:szCs w:val="28"/>
          <w:highlight w:val="none"/>
          <w:lang w:val="en-US" w:eastAsia="zh-CN"/>
        </w:rPr>
        <w:t>盖章</w:t>
      </w:r>
      <w:r>
        <w:rPr>
          <w:rFonts w:hint="eastAsia" w:ascii="宋体" w:hAnsi="宋体" w:cs="宋体"/>
          <w:color w:val="auto"/>
          <w:kern w:val="0"/>
          <w:sz w:val="28"/>
          <w:szCs w:val="28"/>
          <w:highlight w:val="none"/>
        </w:rPr>
        <w:t>）</w:t>
      </w:r>
    </w:p>
    <w:p w14:paraId="3D9EB540">
      <w:pPr>
        <w:pStyle w:val="291"/>
        <w:autoSpaceDE w:val="0"/>
        <w:autoSpaceDN w:val="0"/>
        <w:adjustRightInd w:val="0"/>
        <w:ind w:right="420"/>
        <w:jc w:val="center"/>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法定代表人（或授权代表）：</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（签字或签章）</w:t>
      </w:r>
    </w:p>
    <w:p w14:paraId="28591BDC">
      <w:pPr>
        <w:pStyle w:val="291"/>
        <w:autoSpaceDE w:val="0"/>
        <w:autoSpaceDN w:val="0"/>
        <w:adjustRightInd w:val="0"/>
        <w:ind w:right="980"/>
        <w:jc w:val="center"/>
        <w:outlineLvl w:val="9"/>
        <w:rPr>
          <w:rFonts w:hint="eastAsia" w:ascii="宋体" w:hAnsi="宋体" w:cs="宋体"/>
          <w:color w:val="auto"/>
          <w:highlight w:val="none"/>
        </w:rPr>
      </w:pPr>
      <w:r>
        <w:rPr>
          <w:rFonts w:hint="eastAsia" w:ascii="宋体" w:hAnsi="宋体" w:cs="宋体"/>
          <w:color w:val="auto"/>
          <w:kern w:val="0"/>
          <w:sz w:val="28"/>
          <w:szCs w:val="28"/>
          <w:highlight w:val="none"/>
        </w:rPr>
        <w:t>年    月    日</w:t>
      </w:r>
    </w:p>
    <w:p w14:paraId="19D47FD4">
      <w:pPr>
        <w:outlineLvl w:val="9"/>
        <w:rPr>
          <w:rFonts w:hint="eastAsia" w:ascii="宋体" w:hAnsi="宋体" w:eastAsia="宋体" w:cs="宋体"/>
          <w:color w:val="auto"/>
          <w:highlight w:val="none"/>
        </w:rPr>
      </w:pPr>
    </w:p>
    <w:p w14:paraId="4529ABED">
      <w:pPr>
        <w:pStyle w:val="275"/>
        <w:jc w:val="center"/>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bookmarkStart w:id="85" w:name="_Toc14804"/>
      <w:bookmarkStart w:id="86" w:name="_Toc7098"/>
      <w:r>
        <w:rPr>
          <w:rFonts w:hint="eastAsia" w:ascii="宋体" w:hAnsi="宋体" w:eastAsia="宋体" w:cs="宋体"/>
          <w:color w:val="auto"/>
          <w:highlight w:val="none"/>
          <w:lang w:eastAsia="zh-CN"/>
        </w:rPr>
        <w:t>评分索引表</w:t>
      </w:r>
      <w:bookmarkEnd w:id="85"/>
      <w:bookmarkEnd w:id="86"/>
    </w:p>
    <w:tbl>
      <w:tblPr>
        <w:tblStyle w:val="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3"/>
        <w:gridCol w:w="4157"/>
      </w:tblGrid>
      <w:tr w14:paraId="0FC7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01555AD9">
            <w:pPr>
              <w:pStyle w:val="275"/>
              <w:jc w:val="center"/>
              <w:outlineLvl w:val="9"/>
              <w:rPr>
                <w:rFonts w:hint="eastAsia" w:ascii="宋体" w:hAnsi="宋体" w:eastAsia="宋体" w:cs="宋体"/>
                <w:color w:val="auto"/>
                <w:highlight w:val="none"/>
                <w:lang w:eastAsia="zh-CN"/>
              </w:rPr>
            </w:pPr>
            <w:bookmarkStart w:id="87" w:name="_Toc11557"/>
            <w:bookmarkStart w:id="88" w:name="_Toc5538"/>
            <w:r>
              <w:rPr>
                <w:rFonts w:hint="eastAsia" w:ascii="宋体" w:hAnsi="宋体" w:eastAsia="宋体" w:cs="宋体"/>
                <w:color w:val="auto"/>
                <w:highlight w:val="none"/>
                <w:lang w:eastAsia="zh-CN"/>
              </w:rPr>
              <w:t>资格审查项</w:t>
            </w:r>
            <w:bookmarkEnd w:id="87"/>
            <w:bookmarkEnd w:id="88"/>
          </w:p>
        </w:tc>
        <w:tc>
          <w:tcPr>
            <w:tcW w:w="4157" w:type="dxa"/>
          </w:tcPr>
          <w:p w14:paraId="4E2341F7">
            <w:pPr>
              <w:pStyle w:val="275"/>
              <w:jc w:val="center"/>
              <w:outlineLvl w:val="9"/>
              <w:rPr>
                <w:rFonts w:hint="eastAsia" w:ascii="宋体" w:hAnsi="宋体" w:eastAsia="宋体" w:cs="宋体"/>
                <w:color w:val="auto"/>
                <w:highlight w:val="none"/>
                <w:lang w:eastAsia="zh-CN"/>
              </w:rPr>
            </w:pPr>
            <w:bookmarkStart w:id="89" w:name="_Toc2764"/>
            <w:bookmarkStart w:id="90" w:name="_Toc8508"/>
            <w:r>
              <w:rPr>
                <w:rFonts w:hint="eastAsia" w:ascii="宋体" w:hAnsi="宋体" w:eastAsia="宋体" w:cs="宋体"/>
                <w:color w:val="auto"/>
                <w:highlight w:val="none"/>
                <w:lang w:eastAsia="zh-CN"/>
              </w:rPr>
              <w:t>在响应文件中的页码位置</w:t>
            </w:r>
            <w:bookmarkEnd w:id="89"/>
            <w:bookmarkEnd w:id="90"/>
          </w:p>
        </w:tc>
      </w:tr>
      <w:tr w14:paraId="65C2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49BC7A24">
            <w:pPr>
              <w:pStyle w:val="275"/>
              <w:jc w:val="center"/>
              <w:outlineLvl w:val="9"/>
              <w:rPr>
                <w:rFonts w:hint="eastAsia" w:ascii="宋体" w:hAnsi="宋体" w:eastAsia="宋体" w:cs="宋体"/>
                <w:color w:val="auto"/>
                <w:highlight w:val="none"/>
                <w:lang w:eastAsia="zh-CN"/>
              </w:rPr>
            </w:pPr>
          </w:p>
        </w:tc>
        <w:tc>
          <w:tcPr>
            <w:tcW w:w="4157" w:type="dxa"/>
          </w:tcPr>
          <w:p w14:paraId="4DA85313">
            <w:pPr>
              <w:pStyle w:val="275"/>
              <w:jc w:val="center"/>
              <w:outlineLvl w:val="9"/>
              <w:rPr>
                <w:rFonts w:hint="eastAsia" w:ascii="宋体" w:hAnsi="宋体" w:eastAsia="宋体" w:cs="宋体"/>
                <w:color w:val="auto"/>
                <w:highlight w:val="none"/>
                <w:lang w:eastAsia="zh-CN"/>
              </w:rPr>
            </w:pPr>
          </w:p>
        </w:tc>
      </w:tr>
      <w:tr w14:paraId="5649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B563D29">
            <w:pPr>
              <w:pStyle w:val="275"/>
              <w:jc w:val="center"/>
              <w:outlineLvl w:val="9"/>
              <w:rPr>
                <w:rFonts w:hint="eastAsia" w:ascii="宋体" w:hAnsi="宋体" w:eastAsia="宋体" w:cs="宋体"/>
                <w:color w:val="auto"/>
                <w:highlight w:val="none"/>
                <w:lang w:eastAsia="zh-CN"/>
              </w:rPr>
            </w:pPr>
          </w:p>
        </w:tc>
        <w:tc>
          <w:tcPr>
            <w:tcW w:w="4157" w:type="dxa"/>
          </w:tcPr>
          <w:p w14:paraId="21F58B75">
            <w:pPr>
              <w:pStyle w:val="275"/>
              <w:jc w:val="center"/>
              <w:outlineLvl w:val="9"/>
              <w:rPr>
                <w:rFonts w:hint="eastAsia" w:ascii="宋体" w:hAnsi="宋体" w:eastAsia="宋体" w:cs="宋体"/>
                <w:color w:val="auto"/>
                <w:highlight w:val="none"/>
                <w:lang w:eastAsia="zh-CN"/>
              </w:rPr>
            </w:pPr>
          </w:p>
        </w:tc>
      </w:tr>
      <w:tr w14:paraId="68BF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290CBA9F">
            <w:pPr>
              <w:pStyle w:val="275"/>
              <w:jc w:val="center"/>
              <w:outlineLvl w:val="9"/>
              <w:rPr>
                <w:rFonts w:hint="eastAsia" w:ascii="宋体" w:hAnsi="宋体" w:eastAsia="宋体" w:cs="宋体"/>
                <w:color w:val="auto"/>
                <w:highlight w:val="none"/>
                <w:lang w:eastAsia="zh-CN"/>
              </w:rPr>
            </w:pPr>
          </w:p>
        </w:tc>
        <w:tc>
          <w:tcPr>
            <w:tcW w:w="4157" w:type="dxa"/>
          </w:tcPr>
          <w:p w14:paraId="1AD0C9D1">
            <w:pPr>
              <w:pStyle w:val="275"/>
              <w:jc w:val="center"/>
              <w:outlineLvl w:val="9"/>
              <w:rPr>
                <w:rFonts w:hint="eastAsia" w:ascii="宋体" w:hAnsi="宋体" w:eastAsia="宋体" w:cs="宋体"/>
                <w:color w:val="auto"/>
                <w:highlight w:val="none"/>
                <w:lang w:eastAsia="zh-CN"/>
              </w:rPr>
            </w:pPr>
          </w:p>
        </w:tc>
      </w:tr>
      <w:tr w14:paraId="5996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7B0056F2">
            <w:pPr>
              <w:pStyle w:val="275"/>
              <w:jc w:val="center"/>
              <w:outlineLvl w:val="9"/>
              <w:rPr>
                <w:rFonts w:hint="eastAsia" w:ascii="宋体" w:hAnsi="宋体" w:eastAsia="宋体" w:cs="宋体"/>
                <w:color w:val="auto"/>
                <w:highlight w:val="none"/>
                <w:lang w:eastAsia="zh-CN"/>
              </w:rPr>
            </w:pPr>
          </w:p>
        </w:tc>
        <w:tc>
          <w:tcPr>
            <w:tcW w:w="4157" w:type="dxa"/>
          </w:tcPr>
          <w:p w14:paraId="6AE7789A">
            <w:pPr>
              <w:pStyle w:val="275"/>
              <w:jc w:val="center"/>
              <w:outlineLvl w:val="9"/>
              <w:rPr>
                <w:rFonts w:hint="eastAsia" w:ascii="宋体" w:hAnsi="宋体" w:eastAsia="宋体" w:cs="宋体"/>
                <w:color w:val="auto"/>
                <w:highlight w:val="none"/>
                <w:lang w:eastAsia="zh-CN"/>
              </w:rPr>
            </w:pPr>
          </w:p>
        </w:tc>
      </w:tr>
      <w:tr w14:paraId="269F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0C780F94">
            <w:pPr>
              <w:pStyle w:val="275"/>
              <w:jc w:val="center"/>
              <w:outlineLvl w:val="9"/>
              <w:rPr>
                <w:rFonts w:hint="eastAsia" w:ascii="宋体" w:hAnsi="宋体" w:eastAsia="宋体" w:cs="宋体"/>
                <w:color w:val="auto"/>
                <w:highlight w:val="none"/>
                <w:lang w:eastAsia="zh-CN"/>
              </w:rPr>
            </w:pPr>
          </w:p>
        </w:tc>
        <w:tc>
          <w:tcPr>
            <w:tcW w:w="4157" w:type="dxa"/>
          </w:tcPr>
          <w:p w14:paraId="45024B61">
            <w:pPr>
              <w:pStyle w:val="275"/>
              <w:jc w:val="center"/>
              <w:outlineLvl w:val="9"/>
              <w:rPr>
                <w:rFonts w:hint="eastAsia" w:ascii="宋体" w:hAnsi="宋体" w:eastAsia="宋体" w:cs="宋体"/>
                <w:color w:val="auto"/>
                <w:highlight w:val="none"/>
                <w:lang w:eastAsia="zh-CN"/>
              </w:rPr>
            </w:pPr>
          </w:p>
        </w:tc>
      </w:tr>
      <w:tr w14:paraId="5733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3562F024">
            <w:pPr>
              <w:pStyle w:val="275"/>
              <w:jc w:val="center"/>
              <w:outlineLvl w:val="9"/>
              <w:rPr>
                <w:rFonts w:hint="eastAsia" w:ascii="宋体" w:hAnsi="宋体" w:eastAsia="宋体" w:cs="宋体"/>
                <w:color w:val="auto"/>
                <w:highlight w:val="none"/>
                <w:lang w:val="en-US" w:eastAsia="zh-CN"/>
              </w:rPr>
            </w:pPr>
            <w:bookmarkStart w:id="91" w:name="_Toc6612"/>
            <w:bookmarkStart w:id="92" w:name="_Toc15819"/>
            <w:r>
              <w:rPr>
                <w:rFonts w:hint="eastAsia" w:ascii="宋体" w:hAnsi="宋体" w:eastAsia="宋体" w:cs="宋体"/>
                <w:color w:val="auto"/>
                <w:highlight w:val="none"/>
                <w:lang w:val="en-US" w:eastAsia="zh-CN"/>
              </w:rPr>
              <w:t>......</w:t>
            </w:r>
            <w:bookmarkEnd w:id="91"/>
            <w:bookmarkEnd w:id="92"/>
          </w:p>
        </w:tc>
        <w:tc>
          <w:tcPr>
            <w:tcW w:w="4157" w:type="dxa"/>
          </w:tcPr>
          <w:p w14:paraId="1BB7C1F7">
            <w:pPr>
              <w:pStyle w:val="275"/>
              <w:jc w:val="center"/>
              <w:outlineLvl w:val="9"/>
              <w:rPr>
                <w:rFonts w:hint="eastAsia" w:ascii="宋体" w:hAnsi="宋体" w:eastAsia="宋体" w:cs="宋体"/>
                <w:color w:val="auto"/>
                <w:highlight w:val="none"/>
                <w:lang w:eastAsia="zh-CN"/>
              </w:rPr>
            </w:pPr>
          </w:p>
        </w:tc>
      </w:tr>
      <w:tr w14:paraId="77A3E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7A0EBB1">
            <w:pPr>
              <w:pStyle w:val="275"/>
              <w:jc w:val="center"/>
              <w:outlineLvl w:val="9"/>
              <w:rPr>
                <w:rFonts w:hint="eastAsia" w:ascii="宋体" w:hAnsi="宋体" w:eastAsia="宋体" w:cs="宋体"/>
                <w:color w:val="auto"/>
                <w:highlight w:val="none"/>
                <w:lang w:eastAsia="zh-CN"/>
              </w:rPr>
            </w:pPr>
            <w:bookmarkStart w:id="93" w:name="_Toc13449"/>
            <w:bookmarkStart w:id="94" w:name="_Toc4219"/>
            <w:r>
              <w:rPr>
                <w:rFonts w:hint="eastAsia" w:ascii="宋体" w:hAnsi="宋体" w:eastAsia="宋体" w:cs="宋体"/>
                <w:color w:val="auto"/>
                <w:highlight w:val="none"/>
                <w:lang w:eastAsia="zh-CN"/>
              </w:rPr>
              <w:t>符合性审查</w:t>
            </w:r>
            <w:bookmarkEnd w:id="93"/>
            <w:bookmarkEnd w:id="94"/>
          </w:p>
        </w:tc>
        <w:tc>
          <w:tcPr>
            <w:tcW w:w="4157" w:type="dxa"/>
          </w:tcPr>
          <w:p w14:paraId="4A374B0A">
            <w:pPr>
              <w:pStyle w:val="275"/>
              <w:jc w:val="center"/>
              <w:outlineLvl w:val="9"/>
              <w:rPr>
                <w:rFonts w:hint="eastAsia" w:ascii="宋体" w:hAnsi="宋体" w:eastAsia="宋体" w:cs="宋体"/>
                <w:color w:val="auto"/>
                <w:highlight w:val="none"/>
                <w:lang w:eastAsia="zh-CN"/>
              </w:rPr>
            </w:pPr>
            <w:bookmarkStart w:id="95" w:name="_Toc1907"/>
            <w:bookmarkStart w:id="96" w:name="_Toc4830"/>
            <w:r>
              <w:rPr>
                <w:rFonts w:hint="eastAsia" w:ascii="宋体" w:hAnsi="宋体" w:eastAsia="宋体" w:cs="宋体"/>
                <w:color w:val="auto"/>
                <w:highlight w:val="none"/>
                <w:lang w:eastAsia="zh-CN"/>
              </w:rPr>
              <w:t>在响应文件中的页码位置</w:t>
            </w:r>
            <w:bookmarkEnd w:id="95"/>
            <w:bookmarkEnd w:id="96"/>
          </w:p>
        </w:tc>
      </w:tr>
      <w:tr w14:paraId="4AF3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EF0D87C">
            <w:pPr>
              <w:pStyle w:val="275"/>
              <w:jc w:val="center"/>
              <w:outlineLvl w:val="9"/>
              <w:rPr>
                <w:rFonts w:hint="eastAsia" w:ascii="宋体" w:hAnsi="宋体" w:eastAsia="宋体" w:cs="宋体"/>
                <w:color w:val="auto"/>
                <w:highlight w:val="none"/>
                <w:lang w:eastAsia="zh-CN"/>
              </w:rPr>
            </w:pPr>
          </w:p>
        </w:tc>
        <w:tc>
          <w:tcPr>
            <w:tcW w:w="4157" w:type="dxa"/>
          </w:tcPr>
          <w:p w14:paraId="732F4143">
            <w:pPr>
              <w:pStyle w:val="275"/>
              <w:jc w:val="center"/>
              <w:outlineLvl w:val="9"/>
              <w:rPr>
                <w:rFonts w:hint="eastAsia" w:ascii="宋体" w:hAnsi="宋体" w:eastAsia="宋体" w:cs="宋体"/>
                <w:color w:val="auto"/>
                <w:highlight w:val="none"/>
                <w:lang w:eastAsia="zh-CN"/>
              </w:rPr>
            </w:pPr>
          </w:p>
        </w:tc>
      </w:tr>
      <w:tr w14:paraId="54C0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49F7976">
            <w:pPr>
              <w:pStyle w:val="275"/>
              <w:jc w:val="center"/>
              <w:outlineLvl w:val="9"/>
              <w:rPr>
                <w:rFonts w:hint="eastAsia" w:ascii="宋体" w:hAnsi="宋体" w:eastAsia="宋体" w:cs="宋体"/>
                <w:color w:val="auto"/>
                <w:highlight w:val="none"/>
                <w:lang w:eastAsia="zh-CN"/>
              </w:rPr>
            </w:pPr>
          </w:p>
        </w:tc>
        <w:tc>
          <w:tcPr>
            <w:tcW w:w="4157" w:type="dxa"/>
          </w:tcPr>
          <w:p w14:paraId="599B2074">
            <w:pPr>
              <w:pStyle w:val="275"/>
              <w:jc w:val="center"/>
              <w:outlineLvl w:val="9"/>
              <w:rPr>
                <w:rFonts w:hint="eastAsia" w:ascii="宋体" w:hAnsi="宋体" w:eastAsia="宋体" w:cs="宋体"/>
                <w:color w:val="auto"/>
                <w:highlight w:val="none"/>
                <w:lang w:eastAsia="zh-CN"/>
              </w:rPr>
            </w:pPr>
          </w:p>
        </w:tc>
      </w:tr>
      <w:tr w14:paraId="60DD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DA7BB9D">
            <w:pPr>
              <w:pStyle w:val="275"/>
              <w:jc w:val="center"/>
              <w:outlineLvl w:val="9"/>
              <w:rPr>
                <w:rFonts w:hint="eastAsia" w:ascii="宋体" w:hAnsi="宋体" w:eastAsia="宋体" w:cs="宋体"/>
                <w:color w:val="auto"/>
                <w:highlight w:val="none"/>
                <w:lang w:eastAsia="zh-CN"/>
              </w:rPr>
            </w:pPr>
          </w:p>
        </w:tc>
        <w:tc>
          <w:tcPr>
            <w:tcW w:w="4157" w:type="dxa"/>
          </w:tcPr>
          <w:p w14:paraId="2A29FDC0">
            <w:pPr>
              <w:pStyle w:val="275"/>
              <w:jc w:val="center"/>
              <w:outlineLvl w:val="9"/>
              <w:rPr>
                <w:rFonts w:hint="eastAsia" w:ascii="宋体" w:hAnsi="宋体" w:eastAsia="宋体" w:cs="宋体"/>
                <w:color w:val="auto"/>
                <w:highlight w:val="none"/>
                <w:lang w:eastAsia="zh-CN"/>
              </w:rPr>
            </w:pPr>
          </w:p>
        </w:tc>
      </w:tr>
      <w:tr w14:paraId="0CDD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13098752">
            <w:pPr>
              <w:pStyle w:val="275"/>
              <w:jc w:val="center"/>
              <w:outlineLvl w:val="9"/>
              <w:rPr>
                <w:rFonts w:hint="eastAsia" w:ascii="宋体" w:hAnsi="宋体" w:eastAsia="宋体" w:cs="宋体"/>
                <w:color w:val="auto"/>
                <w:highlight w:val="none"/>
                <w:lang w:eastAsia="zh-CN"/>
              </w:rPr>
            </w:pPr>
          </w:p>
        </w:tc>
        <w:tc>
          <w:tcPr>
            <w:tcW w:w="4157" w:type="dxa"/>
          </w:tcPr>
          <w:p w14:paraId="6FF1375B">
            <w:pPr>
              <w:pStyle w:val="275"/>
              <w:jc w:val="center"/>
              <w:outlineLvl w:val="9"/>
              <w:rPr>
                <w:rFonts w:hint="eastAsia" w:ascii="宋体" w:hAnsi="宋体" w:eastAsia="宋体" w:cs="宋体"/>
                <w:color w:val="auto"/>
                <w:highlight w:val="none"/>
                <w:lang w:eastAsia="zh-CN"/>
              </w:rPr>
            </w:pPr>
          </w:p>
        </w:tc>
      </w:tr>
      <w:tr w14:paraId="7504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655709A4">
            <w:pPr>
              <w:pStyle w:val="275"/>
              <w:jc w:val="center"/>
              <w:outlineLvl w:val="9"/>
              <w:rPr>
                <w:rFonts w:hint="eastAsia" w:ascii="宋体" w:hAnsi="宋体" w:eastAsia="宋体" w:cs="宋体"/>
                <w:color w:val="auto"/>
                <w:highlight w:val="none"/>
                <w:lang w:val="en-US" w:eastAsia="zh-CN"/>
              </w:rPr>
            </w:pPr>
            <w:bookmarkStart w:id="97" w:name="_Toc8674"/>
            <w:bookmarkStart w:id="98" w:name="_Toc30897"/>
            <w:r>
              <w:rPr>
                <w:rFonts w:hint="eastAsia" w:ascii="宋体" w:hAnsi="宋体" w:eastAsia="宋体" w:cs="宋体"/>
                <w:color w:val="auto"/>
                <w:highlight w:val="none"/>
                <w:lang w:val="en-US" w:eastAsia="zh-CN"/>
              </w:rPr>
              <w:t>......</w:t>
            </w:r>
            <w:bookmarkEnd w:id="97"/>
            <w:bookmarkEnd w:id="98"/>
          </w:p>
        </w:tc>
        <w:tc>
          <w:tcPr>
            <w:tcW w:w="4157" w:type="dxa"/>
          </w:tcPr>
          <w:p w14:paraId="747474B7">
            <w:pPr>
              <w:pStyle w:val="275"/>
              <w:jc w:val="center"/>
              <w:outlineLvl w:val="9"/>
              <w:rPr>
                <w:rFonts w:hint="eastAsia" w:ascii="宋体" w:hAnsi="宋体" w:eastAsia="宋体" w:cs="宋体"/>
                <w:color w:val="auto"/>
                <w:highlight w:val="none"/>
                <w:lang w:eastAsia="zh-CN"/>
              </w:rPr>
            </w:pPr>
          </w:p>
        </w:tc>
      </w:tr>
      <w:tr w14:paraId="4DE77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431C4BA7">
            <w:pPr>
              <w:pStyle w:val="275"/>
              <w:jc w:val="center"/>
              <w:outlineLvl w:val="9"/>
              <w:rPr>
                <w:rFonts w:hint="eastAsia" w:ascii="宋体" w:hAnsi="宋体" w:eastAsia="宋体" w:cs="宋体"/>
                <w:color w:val="auto"/>
                <w:highlight w:val="none"/>
                <w:lang w:eastAsia="zh-CN"/>
              </w:rPr>
            </w:pPr>
            <w:bookmarkStart w:id="99" w:name="_Toc12098"/>
            <w:bookmarkStart w:id="100" w:name="_Toc24631"/>
            <w:r>
              <w:rPr>
                <w:rFonts w:hint="eastAsia" w:ascii="宋体" w:hAnsi="宋体" w:eastAsia="宋体" w:cs="宋体"/>
                <w:color w:val="auto"/>
                <w:highlight w:val="none"/>
                <w:lang w:eastAsia="zh-CN"/>
              </w:rPr>
              <w:t>评分项目</w:t>
            </w:r>
            <w:bookmarkEnd w:id="99"/>
            <w:bookmarkEnd w:id="100"/>
          </w:p>
        </w:tc>
        <w:tc>
          <w:tcPr>
            <w:tcW w:w="4157" w:type="dxa"/>
          </w:tcPr>
          <w:p w14:paraId="538E5198">
            <w:pPr>
              <w:pStyle w:val="275"/>
              <w:jc w:val="center"/>
              <w:outlineLvl w:val="9"/>
              <w:rPr>
                <w:rFonts w:hint="eastAsia" w:ascii="宋体" w:hAnsi="宋体" w:eastAsia="宋体" w:cs="宋体"/>
                <w:color w:val="auto"/>
                <w:highlight w:val="none"/>
                <w:lang w:eastAsia="zh-CN"/>
              </w:rPr>
            </w:pPr>
            <w:bookmarkStart w:id="101" w:name="_Toc8463"/>
            <w:bookmarkStart w:id="102" w:name="_Toc19540"/>
            <w:r>
              <w:rPr>
                <w:rFonts w:hint="eastAsia" w:ascii="宋体" w:hAnsi="宋体" w:eastAsia="宋体" w:cs="宋体"/>
                <w:color w:val="auto"/>
                <w:highlight w:val="none"/>
                <w:lang w:eastAsia="zh-CN"/>
              </w:rPr>
              <w:t>在响应文件中的页码位置</w:t>
            </w:r>
            <w:bookmarkEnd w:id="101"/>
            <w:bookmarkEnd w:id="102"/>
          </w:p>
        </w:tc>
      </w:tr>
      <w:tr w14:paraId="287C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38E075A">
            <w:pPr>
              <w:pStyle w:val="275"/>
              <w:jc w:val="center"/>
              <w:outlineLvl w:val="9"/>
              <w:rPr>
                <w:rFonts w:hint="eastAsia" w:ascii="宋体" w:hAnsi="宋体" w:eastAsia="宋体" w:cs="宋体"/>
                <w:color w:val="auto"/>
                <w:highlight w:val="none"/>
                <w:lang w:eastAsia="zh-CN"/>
              </w:rPr>
            </w:pPr>
          </w:p>
        </w:tc>
        <w:tc>
          <w:tcPr>
            <w:tcW w:w="4157" w:type="dxa"/>
          </w:tcPr>
          <w:p w14:paraId="3DA172F9">
            <w:pPr>
              <w:pStyle w:val="275"/>
              <w:jc w:val="center"/>
              <w:outlineLvl w:val="9"/>
              <w:rPr>
                <w:rFonts w:hint="eastAsia" w:ascii="宋体" w:hAnsi="宋体" w:eastAsia="宋体" w:cs="宋体"/>
                <w:color w:val="auto"/>
                <w:highlight w:val="none"/>
                <w:lang w:eastAsia="zh-CN"/>
              </w:rPr>
            </w:pPr>
          </w:p>
        </w:tc>
      </w:tr>
      <w:tr w14:paraId="739E0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293FF550">
            <w:pPr>
              <w:pStyle w:val="275"/>
              <w:jc w:val="center"/>
              <w:outlineLvl w:val="9"/>
              <w:rPr>
                <w:rFonts w:hint="eastAsia" w:ascii="宋体" w:hAnsi="宋体" w:eastAsia="宋体" w:cs="宋体"/>
                <w:color w:val="auto"/>
                <w:highlight w:val="none"/>
                <w:lang w:eastAsia="zh-CN"/>
              </w:rPr>
            </w:pPr>
          </w:p>
        </w:tc>
        <w:tc>
          <w:tcPr>
            <w:tcW w:w="4157" w:type="dxa"/>
          </w:tcPr>
          <w:p w14:paraId="6D19BA60">
            <w:pPr>
              <w:pStyle w:val="275"/>
              <w:jc w:val="center"/>
              <w:outlineLvl w:val="9"/>
              <w:rPr>
                <w:rFonts w:hint="eastAsia" w:ascii="宋体" w:hAnsi="宋体" w:eastAsia="宋体" w:cs="宋体"/>
                <w:color w:val="auto"/>
                <w:highlight w:val="none"/>
                <w:lang w:eastAsia="zh-CN"/>
              </w:rPr>
            </w:pPr>
          </w:p>
        </w:tc>
      </w:tr>
      <w:tr w14:paraId="4DF9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5137EE04">
            <w:pPr>
              <w:pStyle w:val="275"/>
              <w:jc w:val="center"/>
              <w:outlineLvl w:val="9"/>
              <w:rPr>
                <w:rFonts w:hint="eastAsia" w:ascii="宋体" w:hAnsi="宋体" w:eastAsia="宋体" w:cs="宋体"/>
                <w:color w:val="auto"/>
                <w:highlight w:val="none"/>
                <w:lang w:eastAsia="zh-CN"/>
              </w:rPr>
            </w:pPr>
          </w:p>
        </w:tc>
        <w:tc>
          <w:tcPr>
            <w:tcW w:w="4157" w:type="dxa"/>
          </w:tcPr>
          <w:p w14:paraId="452929CD">
            <w:pPr>
              <w:pStyle w:val="275"/>
              <w:jc w:val="center"/>
              <w:outlineLvl w:val="9"/>
              <w:rPr>
                <w:rFonts w:hint="eastAsia" w:ascii="宋体" w:hAnsi="宋体" w:eastAsia="宋体" w:cs="宋体"/>
                <w:color w:val="auto"/>
                <w:highlight w:val="none"/>
                <w:lang w:eastAsia="zh-CN"/>
              </w:rPr>
            </w:pPr>
          </w:p>
        </w:tc>
      </w:tr>
      <w:tr w14:paraId="75F4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6DB4A462">
            <w:pPr>
              <w:pStyle w:val="275"/>
              <w:jc w:val="center"/>
              <w:outlineLvl w:val="9"/>
              <w:rPr>
                <w:rFonts w:hint="eastAsia" w:ascii="宋体" w:hAnsi="宋体" w:eastAsia="宋体" w:cs="宋体"/>
                <w:color w:val="auto"/>
                <w:highlight w:val="none"/>
                <w:lang w:eastAsia="zh-CN"/>
              </w:rPr>
            </w:pPr>
          </w:p>
        </w:tc>
        <w:tc>
          <w:tcPr>
            <w:tcW w:w="4157" w:type="dxa"/>
          </w:tcPr>
          <w:p w14:paraId="6732183F">
            <w:pPr>
              <w:pStyle w:val="275"/>
              <w:jc w:val="center"/>
              <w:outlineLvl w:val="9"/>
              <w:rPr>
                <w:rFonts w:hint="eastAsia" w:ascii="宋体" w:hAnsi="宋体" w:eastAsia="宋体" w:cs="宋体"/>
                <w:color w:val="auto"/>
                <w:highlight w:val="none"/>
                <w:lang w:eastAsia="zh-CN"/>
              </w:rPr>
            </w:pPr>
          </w:p>
        </w:tc>
      </w:tr>
      <w:tr w14:paraId="05CB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3" w:type="dxa"/>
          </w:tcPr>
          <w:p w14:paraId="063369C2">
            <w:pPr>
              <w:pStyle w:val="275"/>
              <w:jc w:val="center"/>
              <w:outlineLvl w:val="9"/>
              <w:rPr>
                <w:rFonts w:hint="eastAsia" w:ascii="宋体" w:hAnsi="宋体" w:eastAsia="宋体" w:cs="宋体"/>
                <w:color w:val="auto"/>
                <w:highlight w:val="none"/>
                <w:lang w:val="en-US" w:eastAsia="zh-CN"/>
              </w:rPr>
            </w:pPr>
            <w:bookmarkStart w:id="103" w:name="_Toc11787"/>
            <w:bookmarkStart w:id="104" w:name="_Toc5850"/>
            <w:r>
              <w:rPr>
                <w:rFonts w:hint="eastAsia" w:ascii="宋体" w:hAnsi="宋体" w:eastAsia="宋体" w:cs="宋体"/>
                <w:color w:val="auto"/>
                <w:highlight w:val="none"/>
                <w:lang w:val="en-US" w:eastAsia="zh-CN"/>
              </w:rPr>
              <w:t>......</w:t>
            </w:r>
            <w:bookmarkEnd w:id="103"/>
            <w:bookmarkEnd w:id="104"/>
          </w:p>
        </w:tc>
        <w:tc>
          <w:tcPr>
            <w:tcW w:w="4157" w:type="dxa"/>
          </w:tcPr>
          <w:p w14:paraId="1E2D81DB">
            <w:pPr>
              <w:pStyle w:val="275"/>
              <w:jc w:val="center"/>
              <w:outlineLvl w:val="9"/>
              <w:rPr>
                <w:rFonts w:hint="eastAsia" w:ascii="宋体" w:hAnsi="宋体" w:eastAsia="宋体" w:cs="宋体"/>
                <w:color w:val="auto"/>
                <w:highlight w:val="none"/>
                <w:lang w:eastAsia="zh-CN"/>
              </w:rPr>
            </w:pPr>
          </w:p>
        </w:tc>
      </w:tr>
    </w:tbl>
    <w:p w14:paraId="47A4F8B5">
      <w:pPr>
        <w:pStyle w:val="275"/>
        <w:jc w:val="center"/>
        <w:outlineLvl w:val="9"/>
        <w:rPr>
          <w:rFonts w:hint="eastAsia" w:ascii="宋体" w:hAnsi="宋体" w:eastAsia="宋体" w:cs="宋体"/>
          <w:color w:val="auto"/>
          <w:highlight w:val="none"/>
        </w:rPr>
      </w:pPr>
      <w:bookmarkStart w:id="105" w:name="_Toc7523"/>
    </w:p>
    <w:p w14:paraId="50E85C2A">
      <w:pPr>
        <w:pStyle w:val="275"/>
        <w:jc w:val="center"/>
        <w:outlineLvl w:val="9"/>
        <w:rPr>
          <w:rFonts w:hint="eastAsia" w:ascii="宋体" w:hAnsi="宋体" w:eastAsia="宋体" w:cs="宋体"/>
          <w:color w:val="auto"/>
          <w:highlight w:val="none"/>
        </w:rPr>
      </w:pPr>
    </w:p>
    <w:p w14:paraId="781123C0">
      <w:pPr>
        <w:pStyle w:val="275"/>
        <w:jc w:val="center"/>
        <w:outlineLvl w:val="1"/>
        <w:rPr>
          <w:rFonts w:hint="eastAsia" w:ascii="宋体" w:hAnsi="宋体" w:eastAsia="宋体" w:cs="宋体"/>
          <w:color w:val="auto"/>
          <w:highlight w:val="none"/>
        </w:rPr>
      </w:pPr>
      <w:bookmarkStart w:id="106" w:name="_Toc25263"/>
      <w:bookmarkStart w:id="107" w:name="_Toc3928"/>
      <w:bookmarkStart w:id="108" w:name="_Toc26082"/>
      <w:r>
        <w:rPr>
          <w:rFonts w:hint="eastAsia" w:ascii="宋体" w:hAnsi="宋体" w:eastAsia="宋体" w:cs="宋体"/>
          <w:color w:val="auto"/>
          <w:highlight w:val="none"/>
        </w:rPr>
        <w:t>目录</w:t>
      </w:r>
      <w:bookmarkEnd w:id="105"/>
      <w:bookmarkEnd w:id="106"/>
      <w:bookmarkEnd w:id="107"/>
      <w:bookmarkEnd w:id="108"/>
    </w:p>
    <w:p w14:paraId="590AD9E3">
      <w:pPr>
        <w:jc w:val="center"/>
        <w:rPr>
          <w:rFonts w:hint="eastAsia" w:ascii="宋体" w:hAnsi="宋体" w:eastAsia="宋体" w:cs="宋体"/>
          <w:color w:val="auto"/>
          <w:highlight w:val="none"/>
        </w:rPr>
      </w:pPr>
      <w:r>
        <w:rPr>
          <w:rFonts w:ascii="黑体" w:hAnsi="黑体" w:eastAsia="黑体" w:cs="黑体"/>
          <w:color w:val="auto"/>
          <w:sz w:val="22"/>
          <w:highlight w:val="none"/>
        </w:rPr>
        <w:t>（供应商应详细编写目录并自动生成页码）</w:t>
      </w:r>
    </w:p>
    <w:p w14:paraId="27977231">
      <w:pPr>
        <w:pBdr>
          <w:top w:val="none" w:color="000000" w:sz="0" w:space="0"/>
          <w:left w:val="none" w:color="000000" w:sz="0" w:space="0"/>
          <w:bottom w:val="none" w:color="000000" w:sz="0" w:space="0"/>
          <w:right w:val="none" w:color="000000" w:sz="0" w:space="0"/>
        </w:pBdr>
        <w:spacing w:before="240" w:after="240"/>
        <w:ind w:left="0" w:right="0" w:firstLine="0"/>
        <w:outlineLvl w:val="1"/>
        <w:rPr>
          <w:color w:val="auto"/>
          <w:highlight w:val="none"/>
        </w:rPr>
      </w:pPr>
      <w:r>
        <w:rPr>
          <w:rFonts w:hint="eastAsia" w:ascii="宋体" w:hAnsi="宋体" w:eastAsia="宋体" w:cs="宋体"/>
          <w:color w:val="auto"/>
          <w:highlight w:val="none"/>
        </w:rPr>
        <w:br w:type="page"/>
      </w:r>
      <w:bookmarkStart w:id="109" w:name="_Toc31020"/>
      <w:bookmarkStart w:id="110" w:name="_Toc7024"/>
      <w:r>
        <w:rPr>
          <w:rFonts w:hint="eastAsia" w:ascii="宋体" w:hAnsi="宋体" w:eastAsia="宋体" w:cs="宋体"/>
          <w:b/>
          <w:color w:val="auto"/>
          <w:sz w:val="32"/>
          <w:szCs w:val="24"/>
          <w:highlight w:val="none"/>
          <w:lang w:bidi="ar-SA"/>
        </w:rPr>
        <w:t>一、</w:t>
      </w:r>
      <w:r>
        <w:rPr>
          <w:rFonts w:hint="eastAsia" w:ascii="宋体" w:hAnsi="宋体" w:eastAsia="宋体" w:cs="宋体"/>
          <w:b/>
          <w:color w:val="auto"/>
          <w:sz w:val="32"/>
          <w:szCs w:val="24"/>
          <w:highlight w:val="none"/>
          <w:lang w:val="en-US" w:eastAsia="zh-CN" w:bidi="ar-SA"/>
        </w:rPr>
        <w:t>供应商</w:t>
      </w:r>
      <w:r>
        <w:rPr>
          <w:rFonts w:hint="eastAsia" w:ascii="宋体" w:hAnsi="宋体" w:eastAsia="宋体" w:cs="宋体"/>
          <w:b/>
          <w:color w:val="auto"/>
          <w:sz w:val="32"/>
          <w:szCs w:val="24"/>
          <w:highlight w:val="none"/>
          <w:lang w:bidi="ar-SA"/>
        </w:rPr>
        <w:t>基本情况</w:t>
      </w:r>
      <w:bookmarkEnd w:id="109"/>
    </w:p>
    <w:p w14:paraId="31A9C736">
      <w:pPr>
        <w:pBdr>
          <w:top w:val="none" w:color="000000" w:sz="0" w:space="0"/>
          <w:left w:val="none" w:color="000000" w:sz="0" w:space="0"/>
          <w:bottom w:val="none" w:color="000000" w:sz="0" w:space="0"/>
          <w:right w:val="none" w:color="000000" w:sz="0" w:space="0"/>
        </w:pBdr>
        <w:spacing w:before="240" w:after="240"/>
        <w:ind w:left="0" w:right="0" w:firstLine="0"/>
        <w:jc w:val="center"/>
        <w:rPr>
          <w:color w:val="auto"/>
          <w:highlight w:val="none"/>
        </w:rPr>
      </w:pPr>
      <w:r>
        <w:rPr>
          <w:rFonts w:hint="eastAsia" w:ascii="黑体" w:hAnsi="黑体" w:eastAsia="黑体" w:cs="黑体"/>
          <w:color w:val="auto"/>
          <w:sz w:val="44"/>
          <w:highlight w:val="none"/>
          <w:lang w:eastAsia="zh-CN"/>
        </w:rPr>
        <w:t>供应商</w:t>
      </w:r>
      <w:r>
        <w:rPr>
          <w:rFonts w:ascii="黑体" w:hAnsi="黑体" w:eastAsia="黑体" w:cs="黑体"/>
          <w:color w:val="auto"/>
          <w:sz w:val="44"/>
          <w:highlight w:val="none"/>
        </w:rPr>
        <w:t>基本情况表</w:t>
      </w:r>
    </w:p>
    <w:tbl>
      <w:tblPr>
        <w:tblStyle w:val="64"/>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526"/>
        <w:gridCol w:w="3118"/>
        <w:gridCol w:w="1276"/>
        <w:gridCol w:w="3076"/>
      </w:tblGrid>
      <w:tr w14:paraId="751F50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c>
          <w:tcPr>
            <w:tcW w:w="152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A83DDB6">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hint="eastAsia" w:ascii="仿宋" w:hAnsi="仿宋" w:eastAsia="仿宋" w:cs="仿宋"/>
                <w:color w:val="auto"/>
                <w:sz w:val="24"/>
                <w:highlight w:val="none"/>
                <w:lang w:eastAsia="zh-CN"/>
              </w:rPr>
              <w:t>供应商</w:t>
            </w:r>
            <w:r>
              <w:rPr>
                <w:rFonts w:ascii="仿宋" w:hAnsi="仿宋" w:eastAsia="仿宋" w:cs="仿宋"/>
                <w:color w:val="auto"/>
                <w:sz w:val="24"/>
                <w:highlight w:val="none"/>
              </w:rPr>
              <w:t>名称</w:t>
            </w:r>
          </w:p>
        </w:tc>
        <w:tc>
          <w:tcPr>
            <w:tcW w:w="7469" w:type="dxa"/>
            <w:gridSpan w:val="3"/>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1E7F9E2B">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2A581F3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6E1179C1">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法定代表人</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1BD2D9B">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3ACEF985">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注册地区</w:t>
            </w:r>
          </w:p>
        </w:tc>
        <w:tc>
          <w:tcPr>
            <w:tcW w:w="3076"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332C6760">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46E0AB8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D626CC8">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地址</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F9484F5">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577EB15">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邮政编码</w:t>
            </w:r>
          </w:p>
        </w:tc>
        <w:tc>
          <w:tcPr>
            <w:tcW w:w="30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7B34C494">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1108E2C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3F63377">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成立时间</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E968C81">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10DDE81">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单位性质</w:t>
            </w:r>
          </w:p>
        </w:tc>
        <w:tc>
          <w:tcPr>
            <w:tcW w:w="30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69C6E4A">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7333903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BA5E389">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注册号或社会信用代码</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E402E47">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F39B524">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注册资本（万元）</w:t>
            </w:r>
          </w:p>
        </w:tc>
        <w:tc>
          <w:tcPr>
            <w:tcW w:w="30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36AB32BF">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244BE1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3902506E">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开户银行</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6285C8B">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CF99EE1">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账号</w:t>
            </w:r>
          </w:p>
        </w:tc>
        <w:tc>
          <w:tcPr>
            <w:tcW w:w="30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7015EA12">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3EBB92F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165BB87">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联系人</w:t>
            </w:r>
          </w:p>
        </w:tc>
        <w:tc>
          <w:tcPr>
            <w:tcW w:w="3118"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535BF082">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c>
          <w:tcPr>
            <w:tcW w:w="12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683EA57">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联系电话</w:t>
            </w:r>
          </w:p>
        </w:tc>
        <w:tc>
          <w:tcPr>
            <w:tcW w:w="3076"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4713F6E">
            <w:pPr>
              <w:pBdr>
                <w:top w:val="none" w:color="000000" w:sz="0" w:space="0"/>
                <w:left w:val="none" w:color="000000" w:sz="0" w:space="0"/>
                <w:bottom w:val="none" w:color="000000" w:sz="0" w:space="0"/>
                <w:right w:val="none" w:color="000000" w:sz="0" w:space="0"/>
              </w:pBdr>
              <w:spacing w:before="200" w:after="200" w:line="600" w:lineRule="atLeast"/>
              <w:ind w:left="0" w:right="0" w:firstLine="0"/>
              <w:jc w:val="center"/>
              <w:rPr>
                <w:color w:val="auto"/>
                <w:highlight w:val="none"/>
              </w:rPr>
            </w:pPr>
            <w:r>
              <w:rPr>
                <w:rFonts w:ascii="仿宋" w:hAnsi="仿宋" w:eastAsia="仿宋" w:cs="仿宋"/>
                <w:color w:val="auto"/>
                <w:sz w:val="24"/>
                <w:highlight w:val="none"/>
              </w:rPr>
              <w:t> </w:t>
            </w:r>
          </w:p>
        </w:tc>
      </w:tr>
      <w:tr w14:paraId="416F7EF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376" w:hRule="atLeast"/>
        </w:trPr>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5872BDB">
            <w:pPr>
              <w:pBdr>
                <w:top w:val="none" w:color="000000" w:sz="0" w:space="0"/>
                <w:left w:val="none" w:color="000000" w:sz="0" w:space="0"/>
                <w:bottom w:val="none" w:color="000000" w:sz="0" w:space="0"/>
                <w:right w:val="none" w:color="000000" w:sz="0" w:space="0"/>
              </w:pBdr>
              <w:spacing w:before="200" w:after="200" w:line="559" w:lineRule="atLeast"/>
              <w:ind w:left="0" w:right="0" w:firstLine="0"/>
              <w:jc w:val="center"/>
              <w:rPr>
                <w:color w:val="auto"/>
                <w:highlight w:val="none"/>
              </w:rPr>
            </w:pPr>
            <w:r>
              <w:rPr>
                <w:rFonts w:ascii="仿宋" w:hAnsi="仿宋" w:eastAsia="仿宋" w:cs="仿宋"/>
                <w:color w:val="auto"/>
                <w:sz w:val="24"/>
                <w:highlight w:val="none"/>
              </w:rPr>
              <w:t>经营范围</w:t>
            </w:r>
          </w:p>
        </w:tc>
        <w:tc>
          <w:tcPr>
            <w:tcW w:w="7469" w:type="dxa"/>
            <w:gridSpan w:val="3"/>
            <w:tcBorders>
              <w:top w:val="nil"/>
              <w:left w:val="nil"/>
              <w:bottom w:val="single" w:color="000000" w:sz="8" w:space="0"/>
              <w:right w:val="single" w:color="000000" w:sz="8" w:space="0"/>
            </w:tcBorders>
            <w:tcMar>
              <w:top w:w="0" w:type="dxa"/>
              <w:left w:w="108" w:type="dxa"/>
              <w:bottom w:w="0" w:type="dxa"/>
              <w:right w:w="108" w:type="dxa"/>
            </w:tcMar>
          </w:tcPr>
          <w:p w14:paraId="4387DECD">
            <w:pPr>
              <w:pBdr>
                <w:top w:val="none" w:color="000000" w:sz="0" w:space="0"/>
                <w:left w:val="none" w:color="000000" w:sz="0" w:space="0"/>
                <w:bottom w:val="none" w:color="000000" w:sz="0" w:space="0"/>
                <w:right w:val="none" w:color="000000" w:sz="0" w:space="0"/>
              </w:pBdr>
              <w:spacing w:before="200" w:after="200" w:line="559" w:lineRule="atLeast"/>
              <w:ind w:left="0" w:right="0" w:firstLine="1432"/>
              <w:rPr>
                <w:color w:val="auto"/>
                <w:highlight w:val="none"/>
              </w:rPr>
            </w:pPr>
            <w:r>
              <w:rPr>
                <w:rFonts w:ascii="仿宋" w:hAnsi="仿宋" w:eastAsia="仿宋" w:cs="仿宋"/>
                <w:color w:val="auto"/>
                <w:sz w:val="24"/>
                <w:highlight w:val="none"/>
              </w:rPr>
              <w:t> </w:t>
            </w:r>
          </w:p>
        </w:tc>
      </w:tr>
      <w:tr w14:paraId="0CF979D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34" w:hRule="atLeast"/>
        </w:trPr>
        <w:tc>
          <w:tcPr>
            <w:tcW w:w="152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8F207BE">
            <w:pPr>
              <w:pBdr>
                <w:top w:val="none" w:color="000000" w:sz="0" w:space="0"/>
                <w:left w:val="none" w:color="000000" w:sz="0" w:space="0"/>
                <w:bottom w:val="none" w:color="000000" w:sz="0" w:space="0"/>
                <w:right w:val="none" w:color="000000" w:sz="0" w:space="0"/>
              </w:pBdr>
              <w:spacing w:before="200" w:after="200" w:line="559" w:lineRule="atLeast"/>
              <w:ind w:left="0" w:right="0" w:firstLine="0"/>
              <w:jc w:val="center"/>
              <w:rPr>
                <w:color w:val="auto"/>
                <w:highlight w:val="none"/>
              </w:rPr>
            </w:pPr>
            <w:r>
              <w:rPr>
                <w:rFonts w:ascii="仿宋" w:hAnsi="仿宋" w:eastAsia="仿宋" w:cs="仿宋"/>
                <w:color w:val="auto"/>
                <w:sz w:val="24"/>
                <w:highlight w:val="none"/>
              </w:rPr>
              <w:t>备注</w:t>
            </w:r>
          </w:p>
        </w:tc>
        <w:tc>
          <w:tcPr>
            <w:tcW w:w="7469"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14:paraId="272E5BA1">
            <w:pPr>
              <w:pBdr>
                <w:top w:val="none" w:color="000000" w:sz="0" w:space="0"/>
                <w:left w:val="none" w:color="000000" w:sz="0" w:space="0"/>
                <w:bottom w:val="none" w:color="000000" w:sz="0" w:space="0"/>
                <w:right w:val="none" w:color="000000" w:sz="0" w:space="0"/>
              </w:pBdr>
              <w:spacing w:before="200" w:after="200" w:line="499" w:lineRule="atLeast"/>
              <w:ind w:left="0" w:right="0" w:firstLine="0"/>
              <w:jc w:val="center"/>
              <w:rPr>
                <w:color w:val="auto"/>
                <w:highlight w:val="none"/>
              </w:rPr>
            </w:pPr>
            <w:r>
              <w:rPr>
                <w:rFonts w:ascii="仿宋" w:hAnsi="仿宋" w:eastAsia="仿宋" w:cs="仿宋"/>
                <w:color w:val="auto"/>
                <w:sz w:val="24"/>
                <w:highlight w:val="none"/>
              </w:rPr>
              <w:t> </w:t>
            </w:r>
          </w:p>
        </w:tc>
      </w:tr>
    </w:tbl>
    <w:p w14:paraId="5CCC33AD">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color w:val="auto"/>
          <w:highlight w:val="none"/>
        </w:rPr>
        <w:br w:type="page" w:clear="all"/>
      </w:r>
    </w:p>
    <w:p w14:paraId="33796E88">
      <w:pPr>
        <w:pStyle w:val="371"/>
        <w:outlineLvl w:val="1"/>
        <w:rPr>
          <w:rFonts w:hint="eastAsia" w:ascii="宋体" w:hAnsi="宋体" w:eastAsia="宋体" w:cs="宋体"/>
          <w:color w:val="auto"/>
          <w:highlight w:val="none"/>
        </w:rPr>
      </w:pPr>
      <w:bookmarkStart w:id="111" w:name="_Toc24888"/>
      <w:r>
        <w:rPr>
          <w:rFonts w:hint="eastAsia" w:ascii="宋体" w:hAnsi="宋体" w:eastAsia="宋体" w:cs="宋体"/>
          <w:color w:val="auto"/>
          <w:highlight w:val="none"/>
        </w:rPr>
        <w:t>二、</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资质（按资格要求提供）</w:t>
      </w:r>
      <w:bookmarkEnd w:id="111"/>
    </w:p>
    <w:p w14:paraId="3C69B765">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rFonts w:ascii="黑体" w:hAnsi="黑体" w:eastAsia="黑体" w:cs="黑体"/>
          <w:b/>
          <w:color w:val="auto"/>
          <w:sz w:val="32"/>
          <w:highlight w:val="none"/>
        </w:rPr>
        <w:t>    </w:t>
      </w:r>
    </w:p>
    <w:p w14:paraId="14CFEE3C">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rFonts w:ascii="黑体" w:hAnsi="黑体" w:eastAsia="黑体" w:cs="黑体"/>
          <w:b/>
          <w:color w:val="auto"/>
          <w:sz w:val="32"/>
          <w:highlight w:val="none"/>
        </w:rPr>
        <w:t> </w:t>
      </w:r>
    </w:p>
    <w:p w14:paraId="7271BA62">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2F0AB4AC">
      <w:pPr>
        <w:pStyle w:val="371"/>
        <w:outlineLvl w:val="1"/>
        <w:rPr>
          <w:rFonts w:hint="eastAsia" w:ascii="宋体" w:hAnsi="宋体" w:eastAsia="宋体" w:cs="宋体"/>
          <w:color w:val="auto"/>
          <w:highlight w:val="none"/>
          <w:lang w:val="en-US" w:eastAsia="zh-CN"/>
        </w:rPr>
      </w:pPr>
      <w:bookmarkStart w:id="112" w:name="_Toc19262"/>
      <w:r>
        <w:rPr>
          <w:rFonts w:hint="eastAsia" w:ascii="宋体" w:hAnsi="宋体" w:eastAsia="宋体" w:cs="宋体"/>
          <w:color w:val="auto"/>
          <w:highlight w:val="none"/>
          <w:lang w:val="en-US" w:eastAsia="zh-CN"/>
        </w:rPr>
        <w:t>三、供应商财务状况报告</w:t>
      </w:r>
      <w:bookmarkEnd w:id="112"/>
    </w:p>
    <w:p w14:paraId="177F842E">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rFonts w:ascii="黑体" w:hAnsi="黑体" w:eastAsia="黑体" w:cs="黑体"/>
          <w:color w:val="auto"/>
          <w:sz w:val="22"/>
          <w:highlight w:val="none"/>
        </w:rPr>
        <w:t>指</w:t>
      </w:r>
      <w:r>
        <w:rPr>
          <w:rFonts w:hint="eastAsia" w:ascii="黑体" w:hAnsi="黑体" w:eastAsia="黑体" w:cs="黑体"/>
          <w:color w:val="auto"/>
          <w:sz w:val="22"/>
          <w:highlight w:val="none"/>
          <w:lang w:eastAsia="zh-CN"/>
        </w:rPr>
        <w:t>供应商</w:t>
      </w:r>
      <w:r>
        <w:rPr>
          <w:rFonts w:ascii="黑体" w:hAnsi="黑体" w:eastAsia="黑体" w:cs="黑体"/>
          <w:color w:val="auto"/>
          <w:sz w:val="22"/>
          <w:highlight w:val="none"/>
        </w:rPr>
        <w:t>的财务报告或银行出具的资信证明</w:t>
      </w:r>
    </w:p>
    <w:p w14:paraId="61881700">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7F4698D5">
      <w:pPr>
        <w:pStyle w:val="371"/>
        <w:outlineLvl w:val="1"/>
        <w:rPr>
          <w:rFonts w:hint="eastAsia" w:ascii="宋体" w:hAnsi="宋体" w:eastAsia="宋体" w:cs="宋体"/>
          <w:color w:val="auto"/>
          <w:highlight w:val="none"/>
          <w:lang w:val="en-US" w:eastAsia="zh-CN"/>
        </w:rPr>
      </w:pPr>
      <w:bookmarkStart w:id="113" w:name="_Toc30874"/>
      <w:r>
        <w:rPr>
          <w:rFonts w:hint="eastAsia" w:ascii="宋体" w:hAnsi="宋体" w:eastAsia="宋体" w:cs="宋体"/>
          <w:color w:val="auto"/>
          <w:highlight w:val="none"/>
          <w:lang w:val="en-US" w:eastAsia="zh-CN"/>
        </w:rPr>
        <w:t>四、缴纳税收和社会保障资金凭据</w:t>
      </w:r>
      <w:bookmarkEnd w:id="113"/>
    </w:p>
    <w:p w14:paraId="2EAB6E46">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rFonts w:ascii="黑体" w:hAnsi="黑体" w:eastAsia="黑体" w:cs="黑体"/>
          <w:color w:val="auto"/>
          <w:sz w:val="22"/>
          <w:highlight w:val="none"/>
        </w:rPr>
        <w:t>提供符合</w:t>
      </w:r>
      <w:r>
        <w:rPr>
          <w:rFonts w:hint="eastAsia" w:ascii="黑体" w:hAnsi="黑体" w:eastAsia="黑体" w:cs="黑体"/>
          <w:color w:val="auto"/>
          <w:sz w:val="22"/>
          <w:highlight w:val="none"/>
          <w:lang w:val="en-US" w:eastAsia="zh-CN"/>
        </w:rPr>
        <w:t>磋商</w:t>
      </w:r>
      <w:r>
        <w:rPr>
          <w:rFonts w:ascii="黑体" w:hAnsi="黑体" w:eastAsia="黑体" w:cs="黑体"/>
          <w:color w:val="auto"/>
          <w:sz w:val="22"/>
          <w:highlight w:val="none"/>
        </w:rPr>
        <w:t>文件要求的依法缴纳税收和社会保障资金的凭据</w:t>
      </w:r>
    </w:p>
    <w:p w14:paraId="46ADEAA3">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004DEB10">
      <w:pPr>
        <w:pStyle w:val="371"/>
        <w:outlineLvl w:val="1"/>
        <w:rPr>
          <w:rFonts w:hint="eastAsia" w:ascii="宋体" w:hAnsi="宋体" w:eastAsia="宋体" w:cs="宋体"/>
          <w:color w:val="auto"/>
          <w:highlight w:val="none"/>
          <w:lang w:val="en-US" w:eastAsia="zh-CN"/>
        </w:rPr>
      </w:pPr>
      <w:bookmarkStart w:id="114" w:name="_Toc30831"/>
      <w:r>
        <w:rPr>
          <w:rFonts w:hint="eastAsia" w:ascii="宋体" w:hAnsi="宋体" w:eastAsia="宋体" w:cs="宋体"/>
          <w:color w:val="auto"/>
          <w:highlight w:val="none"/>
          <w:lang w:val="en-US" w:eastAsia="zh-CN"/>
        </w:rPr>
        <w:t>五、履行合同所必需的设备和专业技术能力的声明</w:t>
      </w:r>
      <w:bookmarkEnd w:id="114"/>
    </w:p>
    <w:p w14:paraId="3BF06AA2">
      <w:pPr>
        <w:pBdr>
          <w:top w:val="none" w:color="000000" w:sz="0" w:space="0"/>
          <w:left w:val="none" w:color="000000" w:sz="0" w:space="0"/>
          <w:bottom w:val="none" w:color="000000" w:sz="0" w:space="0"/>
          <w:right w:val="none" w:color="000000" w:sz="0" w:space="0"/>
        </w:pBdr>
        <w:spacing w:before="240" w:after="240" w:line="600" w:lineRule="atLeast"/>
        <w:ind w:left="0" w:right="0" w:firstLine="0"/>
        <w:jc w:val="center"/>
        <w:rPr>
          <w:color w:val="auto"/>
          <w:highlight w:val="none"/>
        </w:rPr>
      </w:pPr>
      <w:r>
        <w:rPr>
          <w:rFonts w:ascii="黑体" w:hAnsi="黑体" w:eastAsia="黑体" w:cs="黑体"/>
          <w:b/>
          <w:color w:val="auto"/>
          <w:sz w:val="32"/>
          <w:highlight w:val="none"/>
        </w:rPr>
        <w:t>具备履行合同所必需的设备和专业技术能力的声明</w:t>
      </w:r>
    </w:p>
    <w:p w14:paraId="5F922DAD">
      <w:pPr>
        <w:pBdr>
          <w:top w:val="none" w:color="000000" w:sz="0" w:space="0"/>
          <w:left w:val="none" w:color="000000" w:sz="0" w:space="0"/>
          <w:bottom w:val="none" w:color="000000" w:sz="0" w:space="0"/>
          <w:right w:val="none" w:color="000000" w:sz="0" w:space="0"/>
        </w:pBdr>
        <w:spacing w:before="240" w:after="240" w:line="600" w:lineRule="atLeast"/>
        <w:ind w:right="0"/>
        <w:rPr>
          <w:color w:val="auto"/>
          <w:highlight w:val="none"/>
        </w:rPr>
      </w:pPr>
      <w:r>
        <w:rPr>
          <w:rFonts w:ascii="仿宋" w:hAnsi="仿宋" w:eastAsia="仿宋" w:cs="仿宋"/>
          <w:color w:val="auto"/>
          <w:sz w:val="24"/>
          <w:highlight w:val="none"/>
          <w:u w:val="single"/>
        </w:rPr>
        <w:t> </w:t>
      </w:r>
    </w:p>
    <w:p w14:paraId="66F67E1A">
      <w:pPr>
        <w:pBdr>
          <w:top w:val="none" w:color="000000" w:sz="0" w:space="0"/>
          <w:left w:val="none" w:color="000000" w:sz="0" w:space="0"/>
          <w:bottom w:val="none" w:color="000000" w:sz="0" w:space="0"/>
          <w:right w:val="none" w:color="000000" w:sz="0" w:space="0"/>
        </w:pBdr>
        <w:spacing w:before="240" w:after="240" w:line="600" w:lineRule="atLeast"/>
        <w:ind w:left="0" w:right="0" w:firstLine="0"/>
        <w:rPr>
          <w:color w:val="auto"/>
          <w:highlight w:val="none"/>
        </w:rPr>
      </w:pPr>
      <w:r>
        <w:rPr>
          <w:rFonts w:ascii="仿宋" w:hAnsi="仿宋" w:eastAsia="仿宋" w:cs="仿宋"/>
          <w:color w:val="auto"/>
          <w:sz w:val="24"/>
          <w:highlight w:val="none"/>
          <w:u w:val="single"/>
        </w:rPr>
        <w:t>（采购单位）</w:t>
      </w:r>
      <w:r>
        <w:rPr>
          <w:rFonts w:ascii="仿宋" w:hAnsi="仿宋" w:eastAsia="仿宋" w:cs="仿宋"/>
          <w:color w:val="auto"/>
          <w:sz w:val="24"/>
          <w:highlight w:val="none"/>
        </w:rPr>
        <w:t>：</w:t>
      </w:r>
    </w:p>
    <w:p w14:paraId="5B86AF48">
      <w:pPr>
        <w:pBdr>
          <w:top w:val="none" w:color="000000" w:sz="0" w:space="0"/>
          <w:left w:val="none" w:color="000000" w:sz="0" w:space="0"/>
          <w:bottom w:val="none" w:color="000000" w:sz="0" w:space="0"/>
          <w:right w:val="none" w:color="000000" w:sz="0" w:space="0"/>
        </w:pBdr>
        <w:spacing w:before="240" w:after="240" w:line="600" w:lineRule="atLeast"/>
        <w:ind w:left="0" w:right="0" w:firstLine="0"/>
        <w:rPr>
          <w:color w:val="auto"/>
          <w:highlight w:val="none"/>
        </w:rPr>
      </w:pPr>
      <w:r>
        <w:rPr>
          <w:rFonts w:ascii="仿宋" w:hAnsi="仿宋" w:eastAsia="仿宋" w:cs="仿宋"/>
          <w:color w:val="auto"/>
          <w:sz w:val="24"/>
          <w:highlight w:val="none"/>
        </w:rPr>
        <w:t>   我公司具备履行编号为</w:t>
      </w:r>
      <w:r>
        <w:rPr>
          <w:rFonts w:ascii="仿宋" w:hAnsi="仿宋" w:eastAsia="仿宋" w:cs="仿宋"/>
          <w:color w:val="auto"/>
          <w:sz w:val="24"/>
          <w:highlight w:val="none"/>
          <w:u w:val="single"/>
        </w:rPr>
        <w:t>       号项目</w:t>
      </w:r>
      <w:r>
        <w:rPr>
          <w:rFonts w:ascii="仿宋" w:hAnsi="仿宋" w:eastAsia="仿宋" w:cs="仿宋"/>
          <w:color w:val="auto"/>
          <w:sz w:val="24"/>
          <w:highlight w:val="none"/>
        </w:rPr>
        <w:t>合同的设备和专业技术能力。</w:t>
      </w:r>
    </w:p>
    <w:p w14:paraId="60535586">
      <w:pPr>
        <w:pBdr>
          <w:top w:val="none" w:color="000000" w:sz="0" w:space="0"/>
          <w:left w:val="none" w:color="000000" w:sz="0" w:space="0"/>
          <w:bottom w:val="none" w:color="000000" w:sz="0" w:space="0"/>
          <w:right w:val="none" w:color="000000" w:sz="0" w:space="0"/>
        </w:pBdr>
        <w:spacing w:before="240" w:after="240" w:line="600" w:lineRule="atLeast"/>
        <w:ind w:left="0" w:right="0" w:firstLine="480"/>
        <w:rPr>
          <w:color w:val="auto"/>
          <w:highlight w:val="none"/>
        </w:rPr>
      </w:pPr>
      <w:r>
        <w:rPr>
          <w:rFonts w:ascii="仿宋" w:hAnsi="仿宋" w:eastAsia="仿宋" w:cs="仿宋"/>
          <w:color w:val="auto"/>
          <w:sz w:val="24"/>
          <w:highlight w:val="none"/>
        </w:rPr>
        <w:t>特此声明。</w:t>
      </w:r>
    </w:p>
    <w:p w14:paraId="2F8F8258">
      <w:pPr>
        <w:pBdr>
          <w:top w:val="none" w:color="000000" w:sz="0" w:space="0"/>
          <w:left w:val="none" w:color="000000" w:sz="0" w:space="0"/>
          <w:bottom w:val="none" w:color="000000" w:sz="0" w:space="0"/>
          <w:right w:val="none" w:color="000000" w:sz="0" w:space="0"/>
        </w:pBdr>
        <w:spacing w:before="240" w:after="240" w:line="600" w:lineRule="atLeast"/>
        <w:ind w:left="0" w:right="0" w:firstLine="480"/>
        <w:rPr>
          <w:color w:val="auto"/>
          <w:highlight w:val="none"/>
        </w:rPr>
      </w:pPr>
      <w:r>
        <w:rPr>
          <w:rFonts w:ascii="仿宋" w:hAnsi="仿宋" w:eastAsia="仿宋" w:cs="仿宋"/>
          <w:color w:val="auto"/>
          <w:sz w:val="24"/>
          <w:highlight w:val="none"/>
        </w:rPr>
        <w:t> </w:t>
      </w:r>
    </w:p>
    <w:p w14:paraId="744EBE2E">
      <w:pPr>
        <w:pBdr>
          <w:top w:val="none" w:color="000000" w:sz="0" w:space="0"/>
          <w:left w:val="none" w:color="000000" w:sz="0" w:space="0"/>
          <w:bottom w:val="none" w:color="000000" w:sz="0" w:space="0"/>
          <w:right w:val="none" w:color="000000" w:sz="0" w:space="0"/>
        </w:pBdr>
        <w:spacing w:before="240" w:after="240" w:line="600" w:lineRule="atLeast"/>
        <w:ind w:left="0" w:right="0" w:firstLine="0"/>
        <w:jc w:val="center"/>
        <w:rPr>
          <w:color w:val="auto"/>
          <w:highlight w:val="none"/>
        </w:rPr>
      </w:pPr>
      <w:r>
        <w:rPr>
          <w:rFonts w:ascii="黑体" w:hAnsi="黑体" w:eastAsia="黑体" w:cs="黑体"/>
          <w:b/>
          <w:color w:val="auto"/>
          <w:sz w:val="32"/>
          <w:highlight w:val="none"/>
        </w:rPr>
        <w:t> </w:t>
      </w:r>
    </w:p>
    <w:p w14:paraId="6028C6E7">
      <w:pPr>
        <w:pBdr>
          <w:top w:val="none" w:color="000000" w:sz="0" w:space="0"/>
          <w:left w:val="none" w:color="000000" w:sz="0" w:space="0"/>
          <w:bottom w:val="none" w:color="000000" w:sz="0" w:space="0"/>
          <w:right w:val="none" w:color="000000" w:sz="0" w:space="0"/>
        </w:pBdr>
        <w:spacing w:before="240" w:after="240" w:line="700" w:lineRule="atLeast"/>
        <w:ind w:left="0" w:right="0" w:firstLine="629"/>
        <w:rPr>
          <w:color w:val="auto"/>
          <w:highlight w:val="none"/>
        </w:rPr>
      </w:pPr>
      <w:r>
        <w:rPr>
          <w:rFonts w:ascii="仿宋" w:hAnsi="仿宋" w:eastAsia="仿宋" w:cs="仿宋"/>
          <w:color w:val="auto"/>
          <w:sz w:val="24"/>
          <w:highlight w:val="none"/>
        </w:rPr>
        <w:t>单位名称：（盖章）</w:t>
      </w:r>
      <w:r>
        <w:rPr>
          <w:rFonts w:ascii="仿宋" w:hAnsi="仿宋" w:eastAsia="仿宋" w:cs="仿宋"/>
          <w:color w:val="auto"/>
          <w:sz w:val="24"/>
          <w:highlight w:val="none"/>
          <w:u w:val="single"/>
        </w:rPr>
        <w:t>                 </w:t>
      </w:r>
    </w:p>
    <w:p w14:paraId="32883F48">
      <w:pPr>
        <w:pBdr>
          <w:top w:val="none" w:color="000000" w:sz="0" w:space="0"/>
          <w:left w:val="none" w:color="000000" w:sz="0" w:space="0"/>
          <w:bottom w:val="none" w:color="000000" w:sz="0" w:space="0"/>
          <w:right w:val="none" w:color="000000" w:sz="0" w:space="0"/>
        </w:pBdr>
        <w:spacing w:before="240" w:after="240" w:line="700" w:lineRule="atLeast"/>
        <w:ind w:left="0" w:right="0" w:firstLine="629"/>
        <w:rPr>
          <w:color w:val="auto"/>
          <w:highlight w:val="none"/>
        </w:rPr>
      </w:pPr>
      <w:r>
        <w:rPr>
          <w:rFonts w:ascii="仿宋" w:hAnsi="仿宋" w:eastAsia="仿宋" w:cs="仿宋"/>
          <w:color w:val="auto"/>
          <w:sz w:val="24"/>
          <w:highlight w:val="none"/>
        </w:rPr>
        <w:t>法定代表人（或授权代表）：（签字）</w:t>
      </w:r>
      <w:r>
        <w:rPr>
          <w:rFonts w:ascii="仿宋" w:hAnsi="仿宋" w:eastAsia="仿宋" w:cs="仿宋"/>
          <w:color w:val="auto"/>
          <w:sz w:val="24"/>
          <w:highlight w:val="none"/>
          <w:u w:val="single"/>
        </w:rPr>
        <w:t>              </w:t>
      </w:r>
    </w:p>
    <w:p w14:paraId="1B4A0D01">
      <w:pPr>
        <w:pBdr>
          <w:top w:val="none" w:color="000000" w:sz="0" w:space="0"/>
          <w:left w:val="none" w:color="000000" w:sz="0" w:space="0"/>
          <w:bottom w:val="none" w:color="000000" w:sz="0" w:space="0"/>
          <w:right w:val="none" w:color="000000" w:sz="0" w:space="0"/>
        </w:pBdr>
        <w:spacing w:before="240" w:after="240"/>
        <w:ind w:left="0" w:right="0" w:firstLine="720"/>
        <w:rPr>
          <w:color w:val="auto"/>
          <w:highlight w:val="none"/>
        </w:rPr>
      </w:pPr>
      <w:r>
        <w:rPr>
          <w:rFonts w:ascii="仿宋" w:hAnsi="仿宋" w:eastAsia="仿宋" w:cs="仿宋"/>
          <w:color w:val="auto"/>
          <w:sz w:val="24"/>
          <w:highlight w:val="none"/>
          <w:u w:val="single"/>
        </w:rPr>
        <w:t>     </w:t>
      </w:r>
      <w:r>
        <w:rPr>
          <w:rFonts w:ascii="仿宋" w:hAnsi="仿宋" w:eastAsia="仿宋" w:cs="仿宋"/>
          <w:color w:val="auto"/>
          <w:sz w:val="24"/>
          <w:highlight w:val="none"/>
        </w:rPr>
        <w:t>年</w:t>
      </w:r>
      <w:r>
        <w:rPr>
          <w:rFonts w:ascii="仿宋" w:hAnsi="仿宋" w:eastAsia="仿宋" w:cs="仿宋"/>
          <w:color w:val="auto"/>
          <w:sz w:val="24"/>
          <w:highlight w:val="none"/>
          <w:u w:val="single"/>
        </w:rPr>
        <w:t>      </w:t>
      </w:r>
      <w:r>
        <w:rPr>
          <w:rFonts w:ascii="仿宋" w:hAnsi="仿宋" w:eastAsia="仿宋" w:cs="仿宋"/>
          <w:color w:val="auto"/>
          <w:sz w:val="24"/>
          <w:highlight w:val="none"/>
        </w:rPr>
        <w:t>月</w:t>
      </w:r>
      <w:r>
        <w:rPr>
          <w:rFonts w:ascii="仿宋" w:hAnsi="仿宋" w:eastAsia="仿宋" w:cs="仿宋"/>
          <w:color w:val="auto"/>
          <w:sz w:val="24"/>
          <w:highlight w:val="none"/>
          <w:u w:val="single"/>
        </w:rPr>
        <w:t>      </w:t>
      </w:r>
      <w:r>
        <w:rPr>
          <w:rFonts w:ascii="仿宋" w:hAnsi="仿宋" w:eastAsia="仿宋" w:cs="仿宋"/>
          <w:color w:val="auto"/>
          <w:sz w:val="24"/>
          <w:highlight w:val="none"/>
        </w:rPr>
        <w:t>日</w:t>
      </w:r>
    </w:p>
    <w:p w14:paraId="68B86D0D">
      <w:pPr>
        <w:pBdr>
          <w:top w:val="none" w:color="000000" w:sz="0" w:space="0"/>
          <w:left w:val="none" w:color="000000" w:sz="0" w:space="0"/>
          <w:bottom w:val="none" w:color="000000" w:sz="0" w:space="0"/>
          <w:right w:val="none" w:color="000000" w:sz="0" w:space="0"/>
        </w:pBdr>
        <w:spacing w:before="240" w:after="240"/>
        <w:ind w:left="0" w:right="0" w:firstLine="0"/>
        <w:rPr>
          <w:color w:val="auto"/>
          <w:highlight w:val="none"/>
        </w:rPr>
      </w:pPr>
      <w:r>
        <w:rPr>
          <w:color w:val="auto"/>
          <w:highlight w:val="none"/>
        </w:rPr>
        <w:br w:type="page" w:clear="all"/>
      </w:r>
    </w:p>
    <w:p w14:paraId="6F858C9A">
      <w:pPr>
        <w:pStyle w:val="371"/>
        <w:outlineLvl w:val="1"/>
        <w:rPr>
          <w:rFonts w:hint="eastAsia" w:ascii="宋体" w:hAnsi="宋体" w:eastAsia="宋体" w:cs="宋体"/>
          <w:color w:val="auto"/>
          <w:highlight w:val="none"/>
          <w:lang w:val="en-US" w:eastAsia="zh-CN"/>
        </w:rPr>
      </w:pPr>
      <w:bookmarkStart w:id="115" w:name="_Toc17060"/>
      <w:r>
        <w:rPr>
          <w:rFonts w:hint="eastAsia" w:ascii="宋体" w:hAnsi="宋体" w:eastAsia="宋体" w:cs="宋体"/>
          <w:color w:val="auto"/>
          <w:highlight w:val="none"/>
          <w:lang w:val="en-US" w:eastAsia="zh-CN"/>
        </w:rPr>
        <w:t>六、无重大违法行为声明</w:t>
      </w:r>
      <w:bookmarkEnd w:id="115"/>
    </w:p>
    <w:p w14:paraId="46BB9D21">
      <w:pPr>
        <w:pBdr>
          <w:top w:val="none" w:color="000000" w:sz="0" w:space="0"/>
          <w:left w:val="none" w:color="000000" w:sz="0" w:space="0"/>
          <w:bottom w:val="none" w:color="000000" w:sz="0" w:space="0"/>
          <w:right w:val="none" w:color="000000" w:sz="0" w:space="0"/>
        </w:pBdr>
        <w:spacing w:before="240" w:after="240" w:line="579" w:lineRule="atLeast"/>
        <w:ind w:left="0" w:right="0" w:firstLine="0"/>
        <w:jc w:val="center"/>
        <w:rPr>
          <w:color w:val="auto"/>
          <w:highlight w:val="none"/>
        </w:rPr>
      </w:pPr>
      <w:r>
        <w:rPr>
          <w:rFonts w:ascii="黑体" w:hAnsi="黑体" w:eastAsia="黑体" w:cs="黑体"/>
          <w:b/>
          <w:color w:val="auto"/>
          <w:sz w:val="32"/>
          <w:highlight w:val="none"/>
        </w:rPr>
        <w:t>无重大违法行为声明</w:t>
      </w:r>
    </w:p>
    <w:p w14:paraId="0AFA4CDC">
      <w:pPr>
        <w:pBdr>
          <w:top w:val="none" w:color="000000" w:sz="0" w:space="0"/>
          <w:left w:val="none" w:color="000000" w:sz="0" w:space="0"/>
          <w:bottom w:val="none" w:color="000000" w:sz="0" w:space="0"/>
          <w:right w:val="none" w:color="000000" w:sz="0" w:space="0"/>
        </w:pBdr>
        <w:spacing w:before="240" w:after="240" w:line="579" w:lineRule="atLeast"/>
        <w:ind w:left="0" w:right="0" w:firstLine="0"/>
        <w:rPr>
          <w:color w:val="auto"/>
          <w:highlight w:val="none"/>
        </w:rPr>
      </w:pPr>
      <w:r>
        <w:rPr>
          <w:rFonts w:ascii="黑体" w:hAnsi="黑体" w:eastAsia="黑体" w:cs="黑体"/>
          <w:color w:val="auto"/>
          <w:sz w:val="24"/>
          <w:highlight w:val="none"/>
          <w:u w:val="single"/>
        </w:rPr>
        <w:t>   （采购人名称）    </w:t>
      </w:r>
      <w:r>
        <w:rPr>
          <w:rFonts w:ascii="仿宋" w:hAnsi="仿宋" w:eastAsia="仿宋" w:cs="仿宋"/>
          <w:color w:val="auto"/>
          <w:sz w:val="24"/>
          <w:highlight w:val="none"/>
        </w:rPr>
        <w:t>：</w:t>
      </w:r>
    </w:p>
    <w:p w14:paraId="6B1CB768">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我公司在参加编号为</w:t>
      </w:r>
      <w:r>
        <w:rPr>
          <w:rFonts w:ascii="仿宋" w:hAnsi="仿宋" w:eastAsia="仿宋" w:cs="仿宋"/>
          <w:color w:val="auto"/>
          <w:sz w:val="24"/>
          <w:highlight w:val="none"/>
          <w:u w:val="single"/>
        </w:rPr>
        <w:t>     </w:t>
      </w:r>
      <w:r>
        <w:rPr>
          <w:rFonts w:ascii="仿宋" w:hAnsi="仿宋" w:eastAsia="仿宋" w:cs="仿宋"/>
          <w:color w:val="auto"/>
          <w:sz w:val="24"/>
          <w:highlight w:val="none"/>
        </w:rPr>
        <w:t>号</w:t>
      </w:r>
      <w:r>
        <w:rPr>
          <w:rFonts w:ascii="仿宋" w:hAnsi="仿宋" w:eastAsia="仿宋" w:cs="仿宋"/>
          <w:color w:val="auto"/>
          <w:sz w:val="24"/>
          <w:highlight w:val="none"/>
          <w:u w:val="single"/>
        </w:rPr>
        <w:t>                    </w:t>
      </w:r>
      <w:r>
        <w:rPr>
          <w:rFonts w:ascii="仿宋" w:hAnsi="仿宋" w:eastAsia="仿宋" w:cs="仿宋"/>
          <w:color w:val="auto"/>
          <w:sz w:val="24"/>
          <w:highlight w:val="none"/>
        </w:rPr>
        <w:t>项目的投标活动前3年内，在经营活动中没有重大违法记录。</w:t>
      </w:r>
    </w:p>
    <w:p w14:paraId="18F04773">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特此声明。</w:t>
      </w:r>
    </w:p>
    <w:p w14:paraId="06E5E93C">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 </w:t>
      </w:r>
    </w:p>
    <w:p w14:paraId="79D60B67">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注：重大违法记录，是指供应商因违法经营受到刑事处罚或者责令停产停业、吊销许可证或者执照、较大数额罚款等行政处罚。</w:t>
      </w:r>
    </w:p>
    <w:p w14:paraId="01F132DF">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 </w:t>
      </w:r>
    </w:p>
    <w:p w14:paraId="0743A29D">
      <w:pPr>
        <w:pBdr>
          <w:top w:val="none" w:color="000000" w:sz="0" w:space="0"/>
          <w:left w:val="none" w:color="000000" w:sz="0" w:space="0"/>
          <w:bottom w:val="none" w:color="000000" w:sz="0" w:space="0"/>
          <w:right w:val="none" w:color="000000" w:sz="0" w:space="0"/>
        </w:pBdr>
        <w:spacing w:before="240" w:after="240" w:line="600" w:lineRule="atLeast"/>
        <w:ind w:left="0" w:right="0" w:firstLine="600"/>
        <w:rPr>
          <w:color w:val="auto"/>
          <w:highlight w:val="none"/>
        </w:rPr>
      </w:pPr>
      <w:r>
        <w:rPr>
          <w:rFonts w:ascii="仿宋" w:hAnsi="仿宋" w:eastAsia="仿宋" w:cs="仿宋"/>
          <w:color w:val="auto"/>
          <w:sz w:val="24"/>
          <w:highlight w:val="none"/>
        </w:rPr>
        <w:t> </w:t>
      </w:r>
    </w:p>
    <w:p w14:paraId="367B984B">
      <w:pPr>
        <w:pBdr>
          <w:top w:val="none" w:color="000000" w:sz="0" w:space="0"/>
          <w:left w:val="none" w:color="000000" w:sz="0" w:space="0"/>
          <w:bottom w:val="none" w:color="000000" w:sz="0" w:space="0"/>
          <w:right w:val="none" w:color="000000" w:sz="0" w:space="0"/>
        </w:pBdr>
        <w:spacing w:before="240" w:after="240" w:line="700" w:lineRule="atLeast"/>
        <w:ind w:left="0" w:right="0" w:firstLine="629"/>
        <w:rPr>
          <w:color w:val="auto"/>
          <w:highlight w:val="none"/>
        </w:rPr>
      </w:pPr>
      <w:r>
        <w:rPr>
          <w:rFonts w:ascii="仿宋" w:hAnsi="仿宋" w:eastAsia="仿宋" w:cs="仿宋"/>
          <w:color w:val="auto"/>
          <w:sz w:val="24"/>
          <w:highlight w:val="none"/>
        </w:rPr>
        <w:t>单位名称：（盖章）</w:t>
      </w:r>
      <w:r>
        <w:rPr>
          <w:rFonts w:ascii="仿宋" w:hAnsi="仿宋" w:eastAsia="仿宋" w:cs="仿宋"/>
          <w:color w:val="auto"/>
          <w:sz w:val="24"/>
          <w:highlight w:val="none"/>
          <w:u w:val="single"/>
        </w:rPr>
        <w:t>                 </w:t>
      </w:r>
    </w:p>
    <w:p w14:paraId="7312CB6F">
      <w:pPr>
        <w:pBdr>
          <w:top w:val="none" w:color="000000" w:sz="0" w:space="0"/>
          <w:left w:val="none" w:color="000000" w:sz="0" w:space="0"/>
          <w:bottom w:val="none" w:color="000000" w:sz="0" w:space="0"/>
          <w:right w:val="none" w:color="000000" w:sz="0" w:space="0"/>
        </w:pBdr>
        <w:spacing w:before="240" w:after="240" w:line="700" w:lineRule="atLeast"/>
        <w:ind w:left="0" w:right="0" w:firstLine="629"/>
        <w:rPr>
          <w:color w:val="auto"/>
          <w:highlight w:val="none"/>
        </w:rPr>
      </w:pPr>
      <w:r>
        <w:rPr>
          <w:rFonts w:ascii="仿宋" w:hAnsi="仿宋" w:eastAsia="仿宋" w:cs="仿宋"/>
          <w:color w:val="auto"/>
          <w:sz w:val="24"/>
          <w:highlight w:val="none"/>
        </w:rPr>
        <w:t>法定代表人（或授权代表）：（签字）</w:t>
      </w:r>
      <w:r>
        <w:rPr>
          <w:rFonts w:ascii="仿宋" w:hAnsi="仿宋" w:eastAsia="仿宋" w:cs="仿宋"/>
          <w:color w:val="auto"/>
          <w:sz w:val="24"/>
          <w:highlight w:val="none"/>
          <w:u w:val="single"/>
        </w:rPr>
        <w:t>              </w:t>
      </w:r>
    </w:p>
    <w:p w14:paraId="261DC908">
      <w:pPr>
        <w:pBdr>
          <w:top w:val="none" w:color="000000" w:sz="0" w:space="0"/>
          <w:left w:val="none" w:color="000000" w:sz="0" w:space="0"/>
          <w:bottom w:val="none" w:color="000000" w:sz="0" w:space="0"/>
          <w:right w:val="none" w:color="000000" w:sz="0" w:space="0"/>
        </w:pBdr>
        <w:spacing w:before="240" w:after="240"/>
        <w:ind w:left="0" w:right="0" w:firstLine="720"/>
        <w:rPr>
          <w:color w:val="auto"/>
          <w:highlight w:val="none"/>
        </w:rPr>
      </w:pPr>
      <w:r>
        <w:rPr>
          <w:rFonts w:ascii="仿宋" w:hAnsi="仿宋" w:eastAsia="仿宋" w:cs="仿宋"/>
          <w:color w:val="auto"/>
          <w:sz w:val="24"/>
          <w:highlight w:val="none"/>
          <w:u w:val="single"/>
        </w:rPr>
        <w:t>     </w:t>
      </w:r>
      <w:r>
        <w:rPr>
          <w:rFonts w:ascii="仿宋" w:hAnsi="仿宋" w:eastAsia="仿宋" w:cs="仿宋"/>
          <w:color w:val="auto"/>
          <w:sz w:val="24"/>
          <w:highlight w:val="none"/>
        </w:rPr>
        <w:t>年</w:t>
      </w:r>
      <w:r>
        <w:rPr>
          <w:rFonts w:ascii="仿宋" w:hAnsi="仿宋" w:eastAsia="仿宋" w:cs="仿宋"/>
          <w:color w:val="auto"/>
          <w:sz w:val="24"/>
          <w:highlight w:val="none"/>
          <w:u w:val="single"/>
        </w:rPr>
        <w:t>      </w:t>
      </w:r>
      <w:r>
        <w:rPr>
          <w:rFonts w:ascii="仿宋" w:hAnsi="仿宋" w:eastAsia="仿宋" w:cs="仿宋"/>
          <w:color w:val="auto"/>
          <w:sz w:val="24"/>
          <w:highlight w:val="none"/>
        </w:rPr>
        <w:t>月</w:t>
      </w:r>
      <w:r>
        <w:rPr>
          <w:rFonts w:ascii="仿宋" w:hAnsi="仿宋" w:eastAsia="仿宋" w:cs="仿宋"/>
          <w:color w:val="auto"/>
          <w:sz w:val="24"/>
          <w:highlight w:val="none"/>
          <w:u w:val="single"/>
        </w:rPr>
        <w:t>      </w:t>
      </w:r>
      <w:r>
        <w:rPr>
          <w:rFonts w:ascii="仿宋" w:hAnsi="仿宋" w:eastAsia="仿宋" w:cs="仿宋"/>
          <w:color w:val="auto"/>
          <w:sz w:val="24"/>
          <w:highlight w:val="none"/>
        </w:rPr>
        <w:t>日</w:t>
      </w:r>
    </w:p>
    <w:p w14:paraId="11F12230">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1755512B">
      <w:pPr>
        <w:pStyle w:val="371"/>
        <w:outlineLvl w:val="1"/>
        <w:rPr>
          <w:rFonts w:hint="eastAsia" w:ascii="宋体" w:hAnsi="宋体" w:eastAsia="宋体" w:cs="宋体"/>
          <w:color w:val="auto"/>
          <w:highlight w:val="none"/>
        </w:rPr>
      </w:pPr>
      <w:bookmarkStart w:id="116" w:name="_Toc8858"/>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、磋商申请及声明</w:t>
      </w:r>
      <w:bookmarkEnd w:id="110"/>
      <w:bookmarkEnd w:id="116"/>
    </w:p>
    <w:p w14:paraId="4F814EA6">
      <w:pPr>
        <w:pStyle w:val="342"/>
        <w:spacing w:line="56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磋商申请及声明</w:t>
      </w:r>
    </w:p>
    <w:p w14:paraId="086BF759">
      <w:pPr>
        <w:pStyle w:val="261"/>
        <w:tabs>
          <w:tab w:val="left" w:pos="1498"/>
        </w:tabs>
        <w:spacing w:line="580" w:lineRule="exact"/>
        <w:rPr>
          <w:rFonts w:hint="eastAsia" w:ascii="宋体" w:hAnsi="宋体" w:cs="宋体"/>
          <w:color w:val="auto"/>
          <w:sz w:val="24"/>
          <w:szCs w:val="22"/>
          <w:highlight w:val="none"/>
        </w:rPr>
      </w:pPr>
      <w:r>
        <w:rPr>
          <w:rFonts w:hint="eastAsia" w:ascii="宋体" w:hAnsi="宋体" w:cs="宋体"/>
          <w:color w:val="auto"/>
          <w:sz w:val="24"/>
          <w:highlight w:val="none"/>
          <w:u w:val="single"/>
        </w:rPr>
        <w:t>（采购人）</w:t>
      </w:r>
      <w:r>
        <w:rPr>
          <w:rFonts w:hint="eastAsia" w:ascii="宋体" w:hAnsi="宋体" w:cs="宋体"/>
          <w:color w:val="auto"/>
          <w:sz w:val="24"/>
          <w:highlight w:val="none"/>
        </w:rPr>
        <w:t>：</w:t>
      </w:r>
    </w:p>
    <w:p w14:paraId="329D954E">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经研究，我们决定参加</w:t>
      </w:r>
      <w:r>
        <w:rPr>
          <w:rFonts w:hint="eastAsia" w:ascii="宋体" w:hAnsi="宋体" w:cs="宋体"/>
          <w:color w:val="auto"/>
          <w:sz w:val="24"/>
          <w:highlight w:val="none"/>
          <w:lang w:val="en-US" w:eastAsia="zh-CN"/>
        </w:rPr>
        <w:t>项目名称：</w:t>
      </w:r>
      <w:r>
        <w:rPr>
          <w:rFonts w:hint="eastAsia" w:ascii="宋体" w:hAnsi="宋体" w:cs="宋体"/>
          <w:color w:val="auto"/>
          <w:sz w:val="24"/>
          <w:highlight w:val="none"/>
          <w:u w:val="none"/>
          <w:lang w:val="en-US" w:eastAsia="zh-CN"/>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rPr>
        <w:t>编号</w:t>
      </w:r>
      <w:r>
        <w:rPr>
          <w:rFonts w:hint="eastAsia" w:ascii="宋体" w:hAnsi="宋体" w:cs="宋体"/>
          <w:color w:val="auto"/>
          <w:sz w:val="24"/>
          <w:highlight w:val="none"/>
          <w:lang w:eastAsia="zh-CN"/>
        </w:rPr>
        <w:t>：</w:t>
      </w:r>
      <w:r>
        <w:rPr>
          <w:rFonts w:hint="eastAsia" w:ascii="宋体" w:hAnsi="宋体" w:cs="宋体"/>
          <w:color w:val="auto"/>
          <w:sz w:val="24"/>
          <w:highlight w:val="none"/>
          <w:u w:val="none"/>
          <w:lang w:val="en-US" w:eastAsia="zh-CN"/>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w:t>
      </w:r>
      <w:r>
        <w:rPr>
          <w:rFonts w:hint="eastAsia" w:ascii="宋体" w:hAnsi="宋体" w:cs="宋体"/>
          <w:color w:val="auto"/>
          <w:sz w:val="24"/>
          <w:highlight w:val="none"/>
        </w:rPr>
        <w:t>的</w:t>
      </w:r>
      <w:r>
        <w:rPr>
          <w:rFonts w:hint="eastAsia" w:ascii="宋体" w:hAnsi="宋体" w:cs="宋体"/>
          <w:color w:val="auto"/>
          <w:sz w:val="24"/>
          <w:highlight w:val="none"/>
          <w:lang w:eastAsia="zh-CN"/>
        </w:rPr>
        <w:t>磋商</w:t>
      </w:r>
      <w:r>
        <w:rPr>
          <w:rFonts w:hint="eastAsia" w:ascii="宋体" w:hAnsi="宋体" w:cs="宋体"/>
          <w:color w:val="auto"/>
          <w:sz w:val="24"/>
          <w:highlight w:val="none"/>
        </w:rPr>
        <w:t>活动并，为此，我方郑重声明以下诸点，并负法律责任。</w:t>
      </w:r>
    </w:p>
    <w:p w14:paraId="3355422E">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一、我方按磋商文件要求提交响应文件；</w:t>
      </w:r>
    </w:p>
    <w:p w14:paraId="646B76C2">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二、我方具备履行合同所必需的设备和专业技术能力；如果我们的响应文件被接受，我们将履行磋商文件中规定的每项要求，并按我们响应文件中的承诺按期、按质、按量交付履约方；</w:t>
      </w:r>
    </w:p>
    <w:p w14:paraId="65F00F5B">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三、我们理解，最低报价不是成交的唯一条件，你们有选择成交人的权利；</w:t>
      </w:r>
    </w:p>
    <w:p w14:paraId="0C1A9DD4">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四、我方愿按《中华人民共和国民法典》及其他有关法律、法规的规定，自觉履行自己的全部责任；</w:t>
      </w:r>
    </w:p>
    <w:p w14:paraId="45F4FDB4">
      <w:pPr>
        <w:pStyle w:val="261"/>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五、我们遵守贵方有关</w:t>
      </w:r>
      <w:r>
        <w:rPr>
          <w:rFonts w:hint="eastAsia" w:ascii="宋体" w:hAnsi="宋体" w:cs="宋体"/>
          <w:color w:val="auto"/>
          <w:sz w:val="24"/>
          <w:highlight w:val="none"/>
          <w:lang w:eastAsia="zh-CN"/>
        </w:rPr>
        <w:t>磋商</w:t>
      </w:r>
      <w:r>
        <w:rPr>
          <w:rFonts w:hint="eastAsia" w:ascii="宋体" w:hAnsi="宋体" w:cs="宋体"/>
          <w:color w:val="auto"/>
          <w:sz w:val="24"/>
          <w:highlight w:val="none"/>
        </w:rPr>
        <w:t>的各项规定；</w:t>
      </w:r>
    </w:p>
    <w:p w14:paraId="00726355">
      <w:pPr>
        <w:pStyle w:val="312"/>
        <w:tabs>
          <w:tab w:val="left" w:pos="1498"/>
        </w:tabs>
        <w:spacing w:line="5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六、我方响应磋商文件规定的响应有效期。</w:t>
      </w:r>
    </w:p>
    <w:p w14:paraId="4ED37368">
      <w:pPr>
        <w:pStyle w:val="261"/>
        <w:tabs>
          <w:tab w:val="left" w:pos="1498"/>
        </w:tabs>
        <w:spacing w:line="580" w:lineRule="exact"/>
        <w:ind w:firstLine="480" w:firstLineChars="200"/>
        <w:rPr>
          <w:rFonts w:hint="eastAsia" w:ascii="宋体" w:hAnsi="宋体" w:cs="宋体"/>
          <w:color w:val="auto"/>
          <w:sz w:val="24"/>
          <w:highlight w:val="none"/>
        </w:rPr>
      </w:pPr>
    </w:p>
    <w:p w14:paraId="5D4A6361">
      <w:pPr>
        <w:pStyle w:val="261"/>
        <w:spacing w:line="700" w:lineRule="exact"/>
        <w:ind w:firstLine="629"/>
        <w:jc w:val="right"/>
        <w:rPr>
          <w:rFonts w:hint="eastAsia" w:ascii="宋体" w:hAnsi="宋体" w:cs="宋体"/>
          <w:color w:val="auto"/>
          <w:sz w:val="24"/>
          <w:highlight w:val="none"/>
        </w:rPr>
      </w:pPr>
      <w:r>
        <w:rPr>
          <w:rFonts w:hint="eastAsia" w:ascii="宋体" w:hAnsi="宋体" w:cs="宋体"/>
          <w:color w:val="auto"/>
          <w:sz w:val="24"/>
          <w:highlight w:val="none"/>
        </w:rPr>
        <w:t>单位名称：（签章）</w:t>
      </w:r>
    </w:p>
    <w:p w14:paraId="7352FA3E">
      <w:pPr>
        <w:pStyle w:val="261"/>
        <w:spacing w:line="700" w:lineRule="exact"/>
        <w:ind w:firstLine="988" w:firstLineChars="412"/>
        <w:jc w:val="right"/>
        <w:rPr>
          <w:rFonts w:hint="eastAsia" w:ascii="宋体" w:hAnsi="宋体" w:cs="宋体"/>
          <w:color w:val="auto"/>
          <w:sz w:val="24"/>
          <w:highlight w:val="none"/>
        </w:rPr>
      </w:pPr>
      <w:r>
        <w:rPr>
          <w:rFonts w:hint="eastAsia" w:ascii="宋体" w:hAnsi="宋体" w:cs="宋体"/>
          <w:color w:val="auto"/>
          <w:sz w:val="24"/>
          <w:highlight w:val="none"/>
        </w:rPr>
        <w:t>法定代表人（或授权代表）：（签字或签章）</w:t>
      </w:r>
    </w:p>
    <w:p w14:paraId="1C2C7B19">
      <w:pPr>
        <w:pStyle w:val="261"/>
        <w:spacing w:line="700" w:lineRule="exact"/>
        <w:ind w:firstLine="988" w:firstLineChars="412"/>
        <w:jc w:val="right"/>
        <w:rPr>
          <w:rFonts w:hint="eastAsia" w:ascii="宋体" w:hAnsi="宋体" w:cs="宋体"/>
          <w:color w:val="auto"/>
          <w:sz w:val="24"/>
          <w:highlight w:val="none"/>
          <w:u w:val="single"/>
        </w:rPr>
      </w:pP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14:paraId="7442E46F">
      <w:pPr>
        <w:pStyle w:val="231"/>
        <w:outlineLvl w:val="1"/>
        <w:rPr>
          <w:rFonts w:hint="eastAsia" w:ascii="宋体" w:hAnsi="宋体" w:eastAsia="宋体" w:cs="宋体"/>
          <w:color w:val="auto"/>
          <w:highlight w:val="none"/>
          <w:lang w:val="en-US" w:eastAsia="zh-CN"/>
        </w:rPr>
      </w:pPr>
      <w:bookmarkStart w:id="117" w:name="_Toc14723"/>
      <w:bookmarkStart w:id="118" w:name="_Toc26034"/>
    </w:p>
    <w:p w14:paraId="4670459B">
      <w:pPr>
        <w:pStyle w:val="231"/>
        <w:outlineLvl w:val="1"/>
        <w:rPr>
          <w:rFonts w:hint="eastAsia" w:ascii="宋体" w:hAnsi="宋体" w:eastAsia="宋体" w:cs="宋体"/>
          <w:color w:val="auto"/>
          <w:highlight w:val="none"/>
          <w:lang w:val="en-US" w:eastAsia="zh-CN"/>
        </w:rPr>
      </w:pPr>
    </w:p>
    <w:p w14:paraId="5A1C2A3E">
      <w:pPr>
        <w:pStyle w:val="231"/>
        <w:outlineLvl w:val="1"/>
        <w:rPr>
          <w:rFonts w:hint="eastAsia" w:ascii="宋体" w:hAnsi="宋体" w:eastAsia="宋体" w:cs="宋体"/>
          <w:color w:val="auto"/>
          <w:highlight w:val="none"/>
          <w:lang w:val="en-US" w:eastAsia="zh-CN"/>
        </w:rPr>
      </w:pPr>
    </w:p>
    <w:p w14:paraId="6425EB90">
      <w:pPr>
        <w:pStyle w:val="231"/>
        <w:outlineLvl w:val="1"/>
        <w:rPr>
          <w:rFonts w:hint="eastAsia" w:ascii="宋体" w:hAnsi="宋体" w:eastAsia="宋体" w:cs="宋体"/>
          <w:color w:val="auto"/>
          <w:highlight w:val="none"/>
          <w:lang w:val="en-US" w:eastAsia="zh-CN"/>
        </w:rPr>
      </w:pPr>
    </w:p>
    <w:p w14:paraId="4E085A71">
      <w:pPr>
        <w:pStyle w:val="231"/>
        <w:outlineLvl w:val="1"/>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八、</w:t>
      </w:r>
      <w:bookmarkEnd w:id="117"/>
      <w:r>
        <w:rPr>
          <w:rFonts w:hint="eastAsia" w:ascii="宋体" w:hAnsi="宋体" w:eastAsia="宋体" w:cs="宋体"/>
          <w:color w:val="auto"/>
          <w:highlight w:val="none"/>
          <w:lang w:eastAsia="zh-CN"/>
        </w:rPr>
        <w:t>首轮报价表</w:t>
      </w:r>
      <w:bookmarkEnd w:id="118"/>
    </w:p>
    <w:p w14:paraId="63F3F710">
      <w:pPr>
        <w:pStyle w:val="288"/>
        <w:spacing w:line="360" w:lineRule="auto"/>
        <w:outlineLvl w:val="9"/>
        <w:rPr>
          <w:rFonts w:hint="eastAsia" w:ascii="宋体" w:hAnsi="宋体" w:eastAsia="宋体" w:cs="宋体"/>
          <w:b w:val="0"/>
          <w:color w:val="auto"/>
          <w:kern w:val="2"/>
          <w:sz w:val="24"/>
          <w:szCs w:val="20"/>
          <w:highlight w:val="none"/>
          <w:lang w:val="en-US" w:eastAsia="zh-CN"/>
        </w:rPr>
      </w:pPr>
      <w:bookmarkStart w:id="119" w:name="_Toc520796417"/>
      <w:r>
        <w:rPr>
          <w:rFonts w:hint="eastAsia" w:ascii="宋体" w:hAnsi="宋体" w:eastAsia="宋体" w:cs="宋体"/>
          <w:b w:val="0"/>
          <w:color w:val="auto"/>
          <w:kern w:val="2"/>
          <w:sz w:val="24"/>
          <w:szCs w:val="20"/>
          <w:highlight w:val="none"/>
          <w:lang w:val="en-US" w:eastAsia="zh-CN"/>
        </w:rPr>
        <w:t>项目编号：</w:t>
      </w:r>
    </w:p>
    <w:p w14:paraId="66E88FE5">
      <w:pPr>
        <w:pStyle w:val="288"/>
        <w:spacing w:line="360" w:lineRule="auto"/>
        <w:outlineLvl w:val="9"/>
        <w:rPr>
          <w:rFonts w:hint="eastAsia" w:ascii="宋体" w:hAnsi="宋体" w:eastAsia="宋体" w:cs="宋体"/>
          <w:b w:val="0"/>
          <w:color w:val="auto"/>
          <w:kern w:val="2"/>
          <w:sz w:val="24"/>
          <w:szCs w:val="20"/>
          <w:highlight w:val="none"/>
          <w:lang w:val="en-US" w:eastAsia="zh-CN"/>
        </w:rPr>
      </w:pPr>
      <w:r>
        <w:rPr>
          <w:rFonts w:hint="eastAsia" w:ascii="宋体" w:hAnsi="宋体" w:eastAsia="宋体" w:cs="宋体"/>
          <w:b w:val="0"/>
          <w:color w:val="auto"/>
          <w:kern w:val="2"/>
          <w:sz w:val="24"/>
          <w:szCs w:val="20"/>
          <w:highlight w:val="none"/>
          <w:lang w:val="en-US" w:eastAsia="zh-CN"/>
        </w:rPr>
        <w:t>项目名称：</w:t>
      </w:r>
    </w:p>
    <w:p w14:paraId="5AE02968">
      <w:pPr>
        <w:pStyle w:val="288"/>
        <w:spacing w:line="360" w:lineRule="auto"/>
        <w:outlineLvl w:val="9"/>
        <w:rPr>
          <w:rFonts w:hint="default" w:ascii="宋体" w:hAnsi="宋体" w:eastAsia="宋体" w:cs="宋体"/>
          <w:b w:val="0"/>
          <w:color w:val="auto"/>
          <w:kern w:val="2"/>
          <w:sz w:val="24"/>
          <w:szCs w:val="20"/>
          <w:highlight w:val="none"/>
          <w:lang w:val="en-US" w:eastAsia="zh-CN"/>
        </w:rPr>
      </w:pPr>
      <w:r>
        <w:rPr>
          <w:rFonts w:hint="eastAsia" w:ascii="宋体" w:hAnsi="宋体" w:eastAsia="宋体" w:cs="宋体"/>
          <w:b w:val="0"/>
          <w:color w:val="auto"/>
          <w:kern w:val="2"/>
          <w:sz w:val="24"/>
          <w:szCs w:val="20"/>
          <w:highlight w:val="none"/>
          <w:lang w:val="en-US" w:eastAsia="zh-CN"/>
        </w:rPr>
        <w:t>分包号：</w:t>
      </w:r>
    </w:p>
    <w:tbl>
      <w:tblPr>
        <w:tblStyle w:val="63"/>
        <w:tblW w:w="0" w:type="auto"/>
        <w:tblInd w:w="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0" w:type="dxa"/>
          <w:left w:w="108" w:type="dxa"/>
          <w:bottom w:w="100" w:type="dxa"/>
          <w:right w:w="108" w:type="dxa"/>
        </w:tblCellMar>
      </w:tblPr>
      <w:tblGrid>
        <w:gridCol w:w="3400"/>
        <w:gridCol w:w="4535"/>
      </w:tblGrid>
      <w:tr w14:paraId="670BC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519" w:hRule="atLeast"/>
          <w:tblHeader/>
        </w:trPr>
        <w:tc>
          <w:tcPr>
            <w:tcW w:w="3400" w:type="dxa"/>
            <w:noWrap w:val="0"/>
            <w:tcMar>
              <w:top w:w="100" w:type="dxa"/>
              <w:bottom w:w="100" w:type="dxa"/>
            </w:tcMar>
            <w:vAlign w:val="center"/>
          </w:tcPr>
          <w:p w14:paraId="1E7D69F9">
            <w:pPr>
              <w:pStyle w:val="339"/>
              <w:rPr>
                <w:rFonts w:hint="eastAsia" w:ascii="宋体" w:eastAsia="宋体" w:cs="宋体"/>
                <w:color w:val="auto"/>
                <w:highlight w:val="none"/>
              </w:rPr>
            </w:pPr>
            <w:r>
              <w:rPr>
                <w:rFonts w:hint="eastAsia" w:ascii="宋体" w:eastAsia="宋体" w:cs="宋体"/>
                <w:b/>
                <w:color w:val="auto"/>
                <w:highlight w:val="none"/>
              </w:rPr>
              <w:t>标题</w:t>
            </w:r>
          </w:p>
        </w:tc>
        <w:tc>
          <w:tcPr>
            <w:tcW w:w="4535" w:type="dxa"/>
            <w:noWrap w:val="0"/>
            <w:tcMar>
              <w:top w:w="100" w:type="dxa"/>
              <w:bottom w:w="100" w:type="dxa"/>
            </w:tcMar>
            <w:vAlign w:val="center"/>
          </w:tcPr>
          <w:p w14:paraId="5E7EE658">
            <w:pPr>
              <w:pStyle w:val="339"/>
              <w:rPr>
                <w:rFonts w:hint="eastAsia" w:ascii="宋体" w:eastAsia="宋体" w:cs="宋体"/>
                <w:b/>
                <w:color w:val="auto"/>
                <w:highlight w:val="none"/>
              </w:rPr>
            </w:pPr>
            <w:r>
              <w:rPr>
                <w:rFonts w:hint="eastAsia" w:ascii="宋体" w:eastAsia="宋体" w:cs="宋体"/>
                <w:b/>
                <w:color w:val="auto"/>
                <w:highlight w:val="none"/>
              </w:rPr>
              <w:t>内容</w:t>
            </w:r>
          </w:p>
        </w:tc>
      </w:tr>
      <w:tr w14:paraId="32F99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1418" w:hRule="atLeast"/>
          <w:tblHeader/>
        </w:trPr>
        <w:tc>
          <w:tcPr>
            <w:tcW w:w="3400" w:type="dxa"/>
            <w:noWrap w:val="0"/>
            <w:tcMar>
              <w:top w:w="100" w:type="dxa"/>
              <w:bottom w:w="100" w:type="dxa"/>
            </w:tcMar>
            <w:vAlign w:val="center"/>
          </w:tcPr>
          <w:p w14:paraId="55721F1C">
            <w:pPr>
              <w:spacing w:line="360" w:lineRule="auto"/>
              <w:jc w:val="center"/>
              <w:rPr>
                <w:rFonts w:hint="eastAsia" w:ascii="宋体" w:eastAsia="宋体" w:cs="宋体"/>
                <w:b/>
                <w:color w:val="auto"/>
                <w:highlight w:val="none"/>
                <w:lang w:eastAsia="zh-CN"/>
              </w:rPr>
            </w:pPr>
            <w:r>
              <w:rPr>
                <w:rFonts w:hint="eastAsia" w:ascii="Arial" w:hAnsi="Arial" w:cs="Arial"/>
                <w:color w:val="auto"/>
                <w:szCs w:val="21"/>
                <w:highlight w:val="none"/>
                <w:lang w:val="en-US" w:eastAsia="zh-CN"/>
              </w:rPr>
              <w:t xml:space="preserve">投标总价 </w:t>
            </w:r>
          </w:p>
        </w:tc>
        <w:tc>
          <w:tcPr>
            <w:tcW w:w="4535" w:type="dxa"/>
            <w:noWrap w:val="0"/>
            <w:tcMar>
              <w:top w:w="100" w:type="dxa"/>
              <w:bottom w:w="100" w:type="dxa"/>
            </w:tcMar>
            <w:vAlign w:val="center"/>
          </w:tcPr>
          <w:p w14:paraId="5F7AA230">
            <w:pPr>
              <w:spacing w:line="360" w:lineRule="auto"/>
              <w:rPr>
                <w:rFonts w:ascii="宋体" w:cs="宋体"/>
                <w:color w:val="auto"/>
                <w:highlight w:val="none"/>
                <w:lang w:val="en-US"/>
              </w:rPr>
            </w:pPr>
            <w:r>
              <w:rPr>
                <w:rFonts w:hint="eastAsia" w:ascii="宋体" w:hAnsi="宋体" w:eastAsia="宋体" w:cs="宋体"/>
                <w:color w:val="auto"/>
                <w:szCs w:val="21"/>
                <w:highlight w:val="none"/>
                <w:u w:val="single"/>
                <w:lang w:val="en-US" w:eastAsia="zh-CN"/>
              </w:rPr>
              <w:t xml:space="preserve">               </w:t>
            </w:r>
            <w:r>
              <w:rPr>
                <w:rFonts w:hint="eastAsia" w:ascii="Arial" w:hAnsi="Arial" w:cs="Arial"/>
                <w:color w:val="auto"/>
                <w:szCs w:val="21"/>
                <w:highlight w:val="none"/>
                <w:lang w:val="en-US" w:eastAsia="zh-CN"/>
              </w:rPr>
              <w:t>元</w:t>
            </w:r>
          </w:p>
        </w:tc>
      </w:tr>
      <w:tr w14:paraId="37932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0" w:type="dxa"/>
            <w:left w:w="108" w:type="dxa"/>
            <w:bottom w:w="100" w:type="dxa"/>
            <w:right w:w="108" w:type="dxa"/>
          </w:tblCellMar>
        </w:tblPrEx>
        <w:trPr>
          <w:trHeight w:val="1222" w:hRule="atLeast"/>
          <w:tblHeader/>
        </w:trPr>
        <w:tc>
          <w:tcPr>
            <w:tcW w:w="3400" w:type="dxa"/>
            <w:noWrap w:val="0"/>
            <w:tcMar>
              <w:top w:w="100" w:type="dxa"/>
              <w:bottom w:w="100" w:type="dxa"/>
            </w:tcMar>
            <w:vAlign w:val="center"/>
          </w:tcPr>
          <w:p w14:paraId="0A760793">
            <w:pPr>
              <w:spacing w:line="360" w:lineRule="auto"/>
              <w:jc w:val="center"/>
              <w:rPr>
                <w:rFonts w:ascii="Arial" w:hAnsi="Arial" w:cs="Arial"/>
                <w:color w:val="auto"/>
                <w:szCs w:val="21"/>
                <w:highlight w:val="none"/>
              </w:rPr>
            </w:pPr>
            <w:r>
              <w:rPr>
                <w:rFonts w:hint="eastAsia" w:ascii="Arial" w:hAnsi="Arial" w:cs="Arial"/>
                <w:color w:val="auto"/>
                <w:szCs w:val="21"/>
                <w:highlight w:val="none"/>
              </w:rPr>
              <w:t>服务期</w:t>
            </w:r>
          </w:p>
        </w:tc>
        <w:tc>
          <w:tcPr>
            <w:tcW w:w="4535" w:type="dxa"/>
            <w:noWrap w:val="0"/>
            <w:tcMar>
              <w:top w:w="100" w:type="dxa"/>
              <w:bottom w:w="100" w:type="dxa"/>
            </w:tcMar>
            <w:vAlign w:val="center"/>
          </w:tcPr>
          <w:p w14:paraId="65AF52F0">
            <w:pPr>
              <w:spacing w:line="360" w:lineRule="auto"/>
              <w:rPr>
                <w:rFonts w:ascii="Arial" w:hAnsi="Arial" w:cs="Arial"/>
                <w:color w:val="auto"/>
                <w:szCs w:val="21"/>
                <w:highlight w:val="none"/>
                <w:u w:val="single"/>
              </w:rPr>
            </w:pPr>
            <w:r>
              <w:rPr>
                <w:rFonts w:hint="eastAsia" w:ascii="Arial" w:hAnsi="Arial" w:cs="Arial"/>
                <w:color w:val="auto"/>
                <w:szCs w:val="21"/>
                <w:highlight w:val="none"/>
                <w:u w:val="single"/>
              </w:rPr>
              <w:t>满足</w:t>
            </w:r>
            <w:r>
              <w:rPr>
                <w:rFonts w:hint="eastAsia" w:ascii="Arial" w:hAnsi="Arial" w:eastAsia="宋体" w:cs="Arial"/>
                <w:color w:val="auto"/>
                <w:szCs w:val="21"/>
                <w:highlight w:val="none"/>
                <w:u w:val="single"/>
                <w:lang w:val="en-US" w:eastAsia="zh-CN"/>
              </w:rPr>
              <w:t>磋商</w:t>
            </w:r>
            <w:r>
              <w:rPr>
                <w:rFonts w:hint="eastAsia" w:ascii="Arial" w:hAnsi="Arial" w:cs="Arial"/>
                <w:color w:val="auto"/>
                <w:szCs w:val="21"/>
                <w:highlight w:val="none"/>
                <w:u w:val="single"/>
              </w:rPr>
              <w:t>文件要求</w:t>
            </w:r>
          </w:p>
        </w:tc>
      </w:tr>
    </w:tbl>
    <w:p w14:paraId="754107D7">
      <w:pPr>
        <w:pStyle w:val="434"/>
        <w:spacing w:line="700" w:lineRule="exact"/>
        <w:outlineLvl w:val="9"/>
        <w:rPr>
          <w:rFonts w:hint="eastAsia" w:ascii="仿宋_GB2312" w:eastAsia="仿宋_GB2312"/>
          <w:color w:val="auto"/>
          <w:sz w:val="24"/>
          <w:highlight w:val="none"/>
          <w:u w:val="single"/>
        </w:rPr>
      </w:pPr>
      <w:r>
        <w:rPr>
          <w:rFonts w:hint="eastAsia" w:ascii="仿宋_GB2312" w:eastAsia="仿宋_GB2312"/>
          <w:color w:val="auto"/>
          <w:sz w:val="24"/>
          <w:highlight w:val="none"/>
        </w:rPr>
        <w:t>单位名称：（盖章）</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p>
    <w:p w14:paraId="69C9DBE8">
      <w:pPr>
        <w:pStyle w:val="434"/>
        <w:spacing w:line="700" w:lineRule="exact"/>
        <w:outlineLvl w:val="9"/>
        <w:rPr>
          <w:rFonts w:hint="eastAsia" w:ascii="仿宋_GB2312" w:eastAsia="仿宋_GB2312"/>
          <w:color w:val="auto"/>
          <w:sz w:val="24"/>
          <w:highlight w:val="none"/>
        </w:rPr>
      </w:pPr>
      <w:r>
        <w:rPr>
          <w:rFonts w:hint="eastAsia" w:ascii="仿宋_GB2312" w:eastAsia="仿宋_GB2312"/>
          <w:color w:val="auto"/>
          <w:sz w:val="24"/>
          <w:highlight w:val="none"/>
        </w:rPr>
        <w:t>法定代表人（或授权代表）：（签字）</w:t>
      </w:r>
      <w:r>
        <w:rPr>
          <w:rFonts w:hint="eastAsia" w:ascii="仿宋_GB2312" w:eastAsia="仿宋_GB2312"/>
          <w:color w:val="auto"/>
          <w:sz w:val="24"/>
          <w:highlight w:val="none"/>
          <w:u w:val="single"/>
        </w:rPr>
        <w:t xml:space="preserve">              </w:t>
      </w:r>
    </w:p>
    <w:p w14:paraId="38671D34">
      <w:pPr>
        <w:widowControl/>
        <w:shd w:val="clear" w:color="auto" w:fill="FFFFFF"/>
        <w:spacing w:line="360" w:lineRule="auto"/>
        <w:jc w:val="left"/>
        <w:outlineLvl w:val="9"/>
        <w:rPr>
          <w:rFonts w:hint="eastAsia" w:ascii="宋体" w:hAnsi="宋体" w:cs="Arial"/>
          <w:color w:val="auto"/>
          <w:kern w:val="0"/>
          <w:highlight w:val="none"/>
        </w:rPr>
      </w:pPr>
    </w:p>
    <w:p w14:paraId="25D65EB0">
      <w:pPr>
        <w:rPr>
          <w:rFonts w:hint="eastAsia" w:ascii="宋体" w:hAnsi="宋体" w:cs="宋体"/>
          <w:color w:val="auto"/>
          <w:sz w:val="24"/>
          <w:highlight w:val="none"/>
        </w:rPr>
      </w:pPr>
      <w:r>
        <w:rPr>
          <w:rFonts w:hint="eastAsia" w:ascii="仿宋" w:hAnsi="仿宋" w:eastAsia="仿宋" w:cs="仿宋"/>
          <w:b/>
          <w:bCs/>
          <w:color w:val="auto"/>
          <w:sz w:val="24"/>
          <w:szCs w:val="24"/>
          <w:highlight w:val="none"/>
        </w:rPr>
        <w:br w:type="page"/>
      </w:r>
    </w:p>
    <w:bookmarkEnd w:id="119"/>
    <w:p w14:paraId="255E65F4">
      <w:pPr>
        <w:pStyle w:val="418"/>
        <w:numPr>
          <w:ilvl w:val="0"/>
          <w:numId w:val="0"/>
        </w:numPr>
        <w:outlineLvl w:val="1"/>
        <w:rPr>
          <w:color w:val="auto"/>
          <w:highlight w:val="none"/>
        </w:rPr>
      </w:pPr>
      <w:bookmarkStart w:id="120" w:name="_Toc8851"/>
      <w:bookmarkStart w:id="121" w:name="_Toc514054495"/>
      <w:bookmarkStart w:id="122" w:name="_Toc29624"/>
      <w:r>
        <w:rPr>
          <w:rFonts w:hint="eastAsia"/>
          <w:color w:val="auto"/>
          <w:highlight w:val="none"/>
          <w:lang w:val="en-US" w:eastAsia="zh-CN"/>
        </w:rPr>
        <w:t>九、</w:t>
      </w:r>
      <w:r>
        <w:rPr>
          <w:color w:val="auto"/>
          <w:highlight w:val="none"/>
        </w:rPr>
        <w:t>明细报价表</w:t>
      </w:r>
      <w:bookmarkEnd w:id="120"/>
      <w:bookmarkEnd w:id="121"/>
      <w:bookmarkEnd w:id="122"/>
    </w:p>
    <w:p w14:paraId="730B2CD7">
      <w:pPr>
        <w:spacing w:line="400" w:lineRule="exact"/>
        <w:rPr>
          <w:rFonts w:hint="eastAsia" w:hAnsi="宋体"/>
          <w:color w:val="auto"/>
          <w:szCs w:val="24"/>
          <w:highlight w:val="none"/>
        </w:rPr>
      </w:pPr>
      <w:bookmarkStart w:id="123" w:name="_Toc514054496"/>
      <w:r>
        <w:rPr>
          <w:rFonts w:hint="eastAsia" w:hAnsi="宋体" w:eastAsia="宋体"/>
          <w:color w:val="auto"/>
          <w:szCs w:val="24"/>
          <w:highlight w:val="none"/>
          <w:lang w:eastAsia="zh-CN"/>
        </w:rPr>
        <w:t>项目</w:t>
      </w:r>
      <w:r>
        <w:rPr>
          <w:rFonts w:hint="eastAsia" w:hAnsi="宋体"/>
          <w:color w:val="auto"/>
          <w:szCs w:val="24"/>
          <w:highlight w:val="none"/>
        </w:rPr>
        <w:t>编号：</w:t>
      </w:r>
    </w:p>
    <w:p w14:paraId="430514D7">
      <w:pPr>
        <w:spacing w:line="400" w:lineRule="exact"/>
        <w:rPr>
          <w:rFonts w:hint="eastAsia" w:hAnsi="宋体" w:eastAsia="宋体"/>
          <w:bCs/>
          <w:color w:val="auto"/>
          <w:szCs w:val="24"/>
          <w:highlight w:val="none"/>
          <w:lang w:eastAsia="zh-CN"/>
        </w:rPr>
      </w:pPr>
      <w:r>
        <w:rPr>
          <w:rFonts w:hint="eastAsia" w:hAnsi="宋体" w:eastAsia="宋体"/>
          <w:bCs/>
          <w:color w:val="auto"/>
          <w:szCs w:val="24"/>
          <w:highlight w:val="none"/>
          <w:lang w:eastAsia="zh-CN"/>
        </w:rPr>
        <w:t>项目名称：</w:t>
      </w:r>
    </w:p>
    <w:p w14:paraId="6E9B95AE">
      <w:pPr>
        <w:spacing w:line="400" w:lineRule="exact"/>
        <w:rPr>
          <w:rFonts w:hint="default" w:hAnsi="宋体" w:eastAsia="宋体"/>
          <w:bCs/>
          <w:color w:val="auto"/>
          <w:szCs w:val="24"/>
          <w:highlight w:val="none"/>
          <w:lang w:val="en-US" w:eastAsia="zh-CN"/>
        </w:rPr>
      </w:pPr>
      <w:r>
        <w:rPr>
          <w:rFonts w:hint="eastAsia" w:hAnsi="宋体" w:eastAsia="宋体"/>
          <w:bCs/>
          <w:color w:val="auto"/>
          <w:szCs w:val="24"/>
          <w:highlight w:val="none"/>
          <w:lang w:val="en-US" w:eastAsia="zh-CN"/>
        </w:rPr>
        <w:t>分包号：</w:t>
      </w:r>
    </w:p>
    <w:tbl>
      <w:tblPr>
        <w:tblStyle w:val="63"/>
        <w:tblW w:w="8745" w:type="dxa"/>
        <w:tblInd w:w="3" w:type="dxa"/>
        <w:tblLayout w:type="fixed"/>
        <w:tblCellMar>
          <w:top w:w="0" w:type="dxa"/>
          <w:left w:w="108" w:type="dxa"/>
          <w:bottom w:w="0" w:type="dxa"/>
          <w:right w:w="108" w:type="dxa"/>
        </w:tblCellMar>
      </w:tblPr>
      <w:tblGrid>
        <w:gridCol w:w="1066"/>
        <w:gridCol w:w="2436"/>
        <w:gridCol w:w="1988"/>
        <w:gridCol w:w="1410"/>
        <w:gridCol w:w="1845"/>
      </w:tblGrid>
      <w:tr w14:paraId="1479DA30">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1C34F208">
            <w:pPr>
              <w:autoSpaceDE w:val="0"/>
              <w:autoSpaceDN w:val="0"/>
              <w:spacing w:line="500" w:lineRule="exact"/>
              <w:ind w:right="-5"/>
              <w:jc w:val="center"/>
              <w:textAlignment w:val="bottom"/>
              <w:rPr>
                <w:b/>
                <w:color w:val="auto"/>
                <w:szCs w:val="24"/>
                <w:highlight w:val="none"/>
              </w:rPr>
            </w:pPr>
          </w:p>
        </w:tc>
        <w:tc>
          <w:tcPr>
            <w:tcW w:w="2436" w:type="dxa"/>
            <w:tcBorders>
              <w:top w:val="single" w:color="auto" w:sz="4" w:space="0"/>
              <w:left w:val="single" w:color="auto" w:sz="6" w:space="0"/>
              <w:bottom w:val="single" w:color="auto" w:sz="4" w:space="0"/>
              <w:right w:val="single" w:color="auto" w:sz="4" w:space="0"/>
            </w:tcBorders>
          </w:tcPr>
          <w:p w14:paraId="1ECC3EDB">
            <w:pPr>
              <w:autoSpaceDE w:val="0"/>
              <w:autoSpaceDN w:val="0"/>
              <w:spacing w:line="500" w:lineRule="exact"/>
              <w:ind w:right="-5"/>
              <w:jc w:val="center"/>
              <w:textAlignment w:val="bottom"/>
              <w:rPr>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vAlign w:val="center"/>
          </w:tcPr>
          <w:p w14:paraId="2DE4427D">
            <w:pPr>
              <w:autoSpaceDE w:val="0"/>
              <w:autoSpaceDN w:val="0"/>
              <w:adjustRightInd w:val="0"/>
              <w:jc w:val="center"/>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vAlign w:val="center"/>
          </w:tcPr>
          <w:p w14:paraId="0DB4DA6A">
            <w:pPr>
              <w:autoSpaceDE w:val="0"/>
              <w:autoSpaceDN w:val="0"/>
              <w:adjustRightInd w:val="0"/>
              <w:jc w:val="center"/>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27E1DC6B">
            <w:pPr>
              <w:autoSpaceDE w:val="0"/>
              <w:autoSpaceDN w:val="0"/>
              <w:spacing w:line="500" w:lineRule="exact"/>
              <w:ind w:right="-5"/>
              <w:jc w:val="center"/>
              <w:textAlignment w:val="bottom"/>
              <w:rPr>
                <w:b/>
                <w:color w:val="auto"/>
                <w:szCs w:val="24"/>
                <w:highlight w:val="none"/>
              </w:rPr>
            </w:pPr>
          </w:p>
        </w:tc>
      </w:tr>
      <w:tr w14:paraId="4D7E0B42">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5567E750">
            <w:pPr>
              <w:autoSpaceDE w:val="0"/>
              <w:autoSpaceDN w:val="0"/>
              <w:spacing w:line="500" w:lineRule="exact"/>
              <w:ind w:right="-5"/>
              <w:jc w:val="center"/>
              <w:textAlignment w:val="bottom"/>
              <w:rPr>
                <w:rFonts w:hint="eastAsia" w:eastAsia="宋体"/>
                <w:b w:val="0"/>
                <w:bCs/>
                <w:color w:val="auto"/>
                <w:szCs w:val="24"/>
                <w:highlight w:val="none"/>
                <w:lang w:val="en-US" w:eastAsia="zh-CN"/>
              </w:rPr>
            </w:pPr>
          </w:p>
        </w:tc>
        <w:tc>
          <w:tcPr>
            <w:tcW w:w="2436" w:type="dxa"/>
            <w:tcBorders>
              <w:top w:val="single" w:color="auto" w:sz="4" w:space="0"/>
              <w:left w:val="single" w:color="auto" w:sz="6" w:space="0"/>
              <w:bottom w:val="single" w:color="auto" w:sz="4" w:space="0"/>
              <w:right w:val="single" w:color="auto" w:sz="4" w:space="0"/>
            </w:tcBorders>
          </w:tcPr>
          <w:p w14:paraId="4E1654E3">
            <w:pPr>
              <w:autoSpaceDE w:val="0"/>
              <w:autoSpaceDN w:val="0"/>
              <w:spacing w:line="500" w:lineRule="exact"/>
              <w:ind w:right="-5"/>
              <w:jc w:val="center"/>
              <w:textAlignment w:val="bottom"/>
              <w:rPr>
                <w:rFonts w:ascii="Times New Roman"/>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tcPr>
          <w:p w14:paraId="2E923BF1">
            <w:pPr>
              <w:autoSpaceDE w:val="0"/>
              <w:autoSpaceDN w:val="0"/>
              <w:spacing w:line="500" w:lineRule="exact"/>
              <w:ind w:right="-5"/>
              <w:jc w:val="center"/>
              <w:textAlignment w:val="bottom"/>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tcPr>
          <w:p w14:paraId="3526AEA7">
            <w:pPr>
              <w:autoSpaceDE w:val="0"/>
              <w:autoSpaceDN w:val="0"/>
              <w:spacing w:line="500" w:lineRule="exact"/>
              <w:ind w:right="-5"/>
              <w:jc w:val="center"/>
              <w:textAlignment w:val="bottom"/>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105BD43D">
            <w:pPr>
              <w:autoSpaceDE w:val="0"/>
              <w:autoSpaceDN w:val="0"/>
              <w:spacing w:line="500" w:lineRule="exact"/>
              <w:ind w:right="-5"/>
              <w:jc w:val="center"/>
              <w:textAlignment w:val="bottom"/>
              <w:rPr>
                <w:b/>
                <w:color w:val="auto"/>
                <w:szCs w:val="24"/>
                <w:highlight w:val="none"/>
              </w:rPr>
            </w:pPr>
          </w:p>
        </w:tc>
      </w:tr>
      <w:tr w14:paraId="59BB4C17">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30957E68">
            <w:pPr>
              <w:autoSpaceDE w:val="0"/>
              <w:autoSpaceDN w:val="0"/>
              <w:spacing w:line="500" w:lineRule="exact"/>
              <w:ind w:right="-5"/>
              <w:jc w:val="center"/>
              <w:textAlignment w:val="bottom"/>
              <w:rPr>
                <w:rFonts w:hint="eastAsia" w:eastAsia="宋体"/>
                <w:b w:val="0"/>
                <w:bCs/>
                <w:color w:val="auto"/>
                <w:szCs w:val="24"/>
                <w:highlight w:val="none"/>
                <w:lang w:val="en-US" w:eastAsia="zh-CN"/>
              </w:rPr>
            </w:pPr>
          </w:p>
        </w:tc>
        <w:tc>
          <w:tcPr>
            <w:tcW w:w="2436" w:type="dxa"/>
            <w:tcBorders>
              <w:top w:val="single" w:color="auto" w:sz="4" w:space="0"/>
              <w:left w:val="single" w:color="auto" w:sz="6" w:space="0"/>
              <w:bottom w:val="single" w:color="auto" w:sz="4" w:space="0"/>
              <w:right w:val="single" w:color="auto" w:sz="4" w:space="0"/>
            </w:tcBorders>
          </w:tcPr>
          <w:p w14:paraId="09C8E9E4">
            <w:pPr>
              <w:autoSpaceDE w:val="0"/>
              <w:autoSpaceDN w:val="0"/>
              <w:spacing w:line="500" w:lineRule="exact"/>
              <w:ind w:right="-5"/>
              <w:jc w:val="center"/>
              <w:textAlignment w:val="bottom"/>
              <w:rPr>
                <w:rFonts w:ascii="Times New Roman"/>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tcPr>
          <w:p w14:paraId="0408E722">
            <w:pPr>
              <w:autoSpaceDE w:val="0"/>
              <w:autoSpaceDN w:val="0"/>
              <w:spacing w:line="500" w:lineRule="exact"/>
              <w:ind w:right="-5"/>
              <w:jc w:val="center"/>
              <w:textAlignment w:val="bottom"/>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tcPr>
          <w:p w14:paraId="27E7C148">
            <w:pPr>
              <w:autoSpaceDE w:val="0"/>
              <w:autoSpaceDN w:val="0"/>
              <w:spacing w:line="500" w:lineRule="exact"/>
              <w:ind w:right="-5"/>
              <w:jc w:val="center"/>
              <w:textAlignment w:val="bottom"/>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067DB677">
            <w:pPr>
              <w:autoSpaceDE w:val="0"/>
              <w:autoSpaceDN w:val="0"/>
              <w:spacing w:line="500" w:lineRule="exact"/>
              <w:ind w:right="-5"/>
              <w:jc w:val="center"/>
              <w:textAlignment w:val="bottom"/>
              <w:rPr>
                <w:b/>
                <w:color w:val="auto"/>
                <w:szCs w:val="24"/>
                <w:highlight w:val="none"/>
              </w:rPr>
            </w:pPr>
          </w:p>
        </w:tc>
      </w:tr>
      <w:tr w14:paraId="44667291">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2AD215C6">
            <w:pPr>
              <w:autoSpaceDE w:val="0"/>
              <w:autoSpaceDN w:val="0"/>
              <w:spacing w:line="500" w:lineRule="exact"/>
              <w:ind w:right="-5"/>
              <w:jc w:val="center"/>
              <w:textAlignment w:val="bottom"/>
              <w:rPr>
                <w:rFonts w:hint="default" w:eastAsia="宋体"/>
                <w:b w:val="0"/>
                <w:bCs/>
                <w:color w:val="auto"/>
                <w:szCs w:val="24"/>
                <w:highlight w:val="none"/>
                <w:lang w:val="en-US" w:eastAsia="zh-CN"/>
              </w:rPr>
            </w:pPr>
          </w:p>
        </w:tc>
        <w:tc>
          <w:tcPr>
            <w:tcW w:w="2436" w:type="dxa"/>
            <w:tcBorders>
              <w:top w:val="single" w:color="auto" w:sz="4" w:space="0"/>
              <w:left w:val="single" w:color="auto" w:sz="6" w:space="0"/>
              <w:bottom w:val="single" w:color="auto" w:sz="4" w:space="0"/>
              <w:right w:val="single" w:color="auto" w:sz="4" w:space="0"/>
            </w:tcBorders>
          </w:tcPr>
          <w:p w14:paraId="5A6F1F75">
            <w:pPr>
              <w:autoSpaceDE w:val="0"/>
              <w:autoSpaceDN w:val="0"/>
              <w:spacing w:line="500" w:lineRule="exact"/>
              <w:ind w:right="-5"/>
              <w:jc w:val="center"/>
              <w:textAlignment w:val="bottom"/>
              <w:rPr>
                <w:rFonts w:ascii="Times New Roman"/>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tcPr>
          <w:p w14:paraId="1D92DD9F">
            <w:pPr>
              <w:autoSpaceDE w:val="0"/>
              <w:autoSpaceDN w:val="0"/>
              <w:spacing w:line="500" w:lineRule="exact"/>
              <w:ind w:right="-5"/>
              <w:jc w:val="center"/>
              <w:textAlignment w:val="bottom"/>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tcPr>
          <w:p w14:paraId="39F06CBB">
            <w:pPr>
              <w:autoSpaceDE w:val="0"/>
              <w:autoSpaceDN w:val="0"/>
              <w:spacing w:line="500" w:lineRule="exact"/>
              <w:ind w:right="-5"/>
              <w:jc w:val="center"/>
              <w:textAlignment w:val="bottom"/>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5EC87671">
            <w:pPr>
              <w:autoSpaceDE w:val="0"/>
              <w:autoSpaceDN w:val="0"/>
              <w:spacing w:line="500" w:lineRule="exact"/>
              <w:ind w:right="-5"/>
              <w:jc w:val="center"/>
              <w:textAlignment w:val="bottom"/>
              <w:rPr>
                <w:b/>
                <w:color w:val="auto"/>
                <w:szCs w:val="24"/>
                <w:highlight w:val="none"/>
              </w:rPr>
            </w:pPr>
          </w:p>
        </w:tc>
      </w:tr>
      <w:tr w14:paraId="13080DCE">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5D25E6A2">
            <w:pPr>
              <w:autoSpaceDE w:val="0"/>
              <w:autoSpaceDN w:val="0"/>
              <w:spacing w:line="500" w:lineRule="exact"/>
              <w:ind w:right="-5"/>
              <w:jc w:val="center"/>
              <w:textAlignment w:val="bottom"/>
              <w:rPr>
                <w:rFonts w:hint="eastAsia" w:eastAsia="宋体"/>
                <w:b w:val="0"/>
                <w:bCs/>
                <w:color w:val="auto"/>
                <w:szCs w:val="24"/>
                <w:highlight w:val="none"/>
                <w:lang w:val="en-US" w:eastAsia="zh-CN"/>
              </w:rPr>
            </w:pPr>
          </w:p>
        </w:tc>
        <w:tc>
          <w:tcPr>
            <w:tcW w:w="2436" w:type="dxa"/>
            <w:tcBorders>
              <w:top w:val="single" w:color="auto" w:sz="4" w:space="0"/>
              <w:left w:val="single" w:color="auto" w:sz="6" w:space="0"/>
              <w:bottom w:val="single" w:color="auto" w:sz="4" w:space="0"/>
              <w:right w:val="single" w:color="auto" w:sz="4" w:space="0"/>
            </w:tcBorders>
          </w:tcPr>
          <w:p w14:paraId="7B841C65">
            <w:pPr>
              <w:autoSpaceDE w:val="0"/>
              <w:autoSpaceDN w:val="0"/>
              <w:spacing w:line="500" w:lineRule="exact"/>
              <w:ind w:right="-5"/>
              <w:jc w:val="center"/>
              <w:textAlignment w:val="bottom"/>
              <w:rPr>
                <w:rFonts w:ascii="Times New Roman"/>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tcPr>
          <w:p w14:paraId="1FC52937">
            <w:pPr>
              <w:autoSpaceDE w:val="0"/>
              <w:autoSpaceDN w:val="0"/>
              <w:spacing w:line="500" w:lineRule="exact"/>
              <w:ind w:right="-5"/>
              <w:jc w:val="center"/>
              <w:textAlignment w:val="bottom"/>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tcPr>
          <w:p w14:paraId="66832515">
            <w:pPr>
              <w:autoSpaceDE w:val="0"/>
              <w:autoSpaceDN w:val="0"/>
              <w:spacing w:line="500" w:lineRule="exact"/>
              <w:ind w:right="-5"/>
              <w:jc w:val="center"/>
              <w:textAlignment w:val="bottom"/>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448C7BF8">
            <w:pPr>
              <w:autoSpaceDE w:val="0"/>
              <w:autoSpaceDN w:val="0"/>
              <w:spacing w:line="500" w:lineRule="exact"/>
              <w:ind w:right="-5"/>
              <w:jc w:val="center"/>
              <w:textAlignment w:val="bottom"/>
              <w:rPr>
                <w:b/>
                <w:color w:val="auto"/>
                <w:szCs w:val="24"/>
                <w:highlight w:val="none"/>
              </w:rPr>
            </w:pPr>
          </w:p>
        </w:tc>
      </w:tr>
      <w:tr w14:paraId="11DC7241">
        <w:tblPrEx>
          <w:tblCellMar>
            <w:top w:w="0" w:type="dxa"/>
            <w:left w:w="108" w:type="dxa"/>
            <w:bottom w:w="0" w:type="dxa"/>
            <w:right w:w="108" w:type="dxa"/>
          </w:tblCellMar>
        </w:tblPrEx>
        <w:trPr>
          <w:cantSplit/>
          <w:trHeight w:val="669" w:hRule="atLeast"/>
        </w:trPr>
        <w:tc>
          <w:tcPr>
            <w:tcW w:w="1066" w:type="dxa"/>
            <w:tcBorders>
              <w:top w:val="single" w:color="auto" w:sz="4" w:space="0"/>
              <w:left w:val="single" w:color="auto" w:sz="4" w:space="0"/>
              <w:bottom w:val="single" w:color="auto" w:sz="4" w:space="0"/>
              <w:right w:val="single" w:color="auto" w:sz="6" w:space="0"/>
            </w:tcBorders>
          </w:tcPr>
          <w:p w14:paraId="21C084AC">
            <w:pPr>
              <w:autoSpaceDE w:val="0"/>
              <w:autoSpaceDN w:val="0"/>
              <w:spacing w:line="500" w:lineRule="exact"/>
              <w:ind w:right="-5"/>
              <w:jc w:val="center"/>
              <w:textAlignment w:val="bottom"/>
              <w:rPr>
                <w:rFonts w:hint="eastAsia" w:eastAsia="宋体"/>
                <w:b w:val="0"/>
                <w:bCs/>
                <w:color w:val="auto"/>
                <w:szCs w:val="24"/>
                <w:highlight w:val="none"/>
                <w:lang w:val="en-US" w:eastAsia="zh-CN"/>
              </w:rPr>
            </w:pPr>
          </w:p>
        </w:tc>
        <w:tc>
          <w:tcPr>
            <w:tcW w:w="2436" w:type="dxa"/>
            <w:tcBorders>
              <w:top w:val="single" w:color="auto" w:sz="4" w:space="0"/>
              <w:left w:val="single" w:color="auto" w:sz="6" w:space="0"/>
              <w:bottom w:val="single" w:color="auto" w:sz="4" w:space="0"/>
              <w:right w:val="single" w:color="auto" w:sz="4" w:space="0"/>
            </w:tcBorders>
          </w:tcPr>
          <w:p w14:paraId="30932FC4">
            <w:pPr>
              <w:autoSpaceDE w:val="0"/>
              <w:autoSpaceDN w:val="0"/>
              <w:spacing w:line="500" w:lineRule="exact"/>
              <w:ind w:right="-5"/>
              <w:jc w:val="center"/>
              <w:textAlignment w:val="bottom"/>
              <w:rPr>
                <w:rFonts w:ascii="Times New Roman"/>
                <w:b/>
                <w:color w:val="auto"/>
                <w:szCs w:val="24"/>
                <w:highlight w:val="none"/>
              </w:rPr>
            </w:pPr>
          </w:p>
        </w:tc>
        <w:tc>
          <w:tcPr>
            <w:tcW w:w="1988" w:type="dxa"/>
            <w:tcBorders>
              <w:top w:val="single" w:color="auto" w:sz="4" w:space="0"/>
              <w:left w:val="single" w:color="auto" w:sz="6" w:space="0"/>
              <w:bottom w:val="single" w:color="auto" w:sz="4" w:space="0"/>
              <w:right w:val="single" w:color="auto" w:sz="6" w:space="0"/>
            </w:tcBorders>
          </w:tcPr>
          <w:p w14:paraId="2B6D5E8E">
            <w:pPr>
              <w:autoSpaceDE w:val="0"/>
              <w:autoSpaceDN w:val="0"/>
              <w:spacing w:line="500" w:lineRule="exact"/>
              <w:ind w:right="-5"/>
              <w:jc w:val="center"/>
              <w:textAlignment w:val="bottom"/>
              <w:rPr>
                <w:b/>
                <w:color w:val="auto"/>
                <w:szCs w:val="24"/>
                <w:highlight w:val="none"/>
              </w:rPr>
            </w:pPr>
          </w:p>
        </w:tc>
        <w:tc>
          <w:tcPr>
            <w:tcW w:w="1410" w:type="dxa"/>
            <w:tcBorders>
              <w:top w:val="single" w:color="auto" w:sz="4" w:space="0"/>
              <w:left w:val="single" w:color="auto" w:sz="6" w:space="0"/>
              <w:bottom w:val="single" w:color="auto" w:sz="4" w:space="0"/>
              <w:right w:val="single" w:color="auto" w:sz="6" w:space="0"/>
            </w:tcBorders>
          </w:tcPr>
          <w:p w14:paraId="448C89C9">
            <w:pPr>
              <w:autoSpaceDE w:val="0"/>
              <w:autoSpaceDN w:val="0"/>
              <w:spacing w:line="500" w:lineRule="exact"/>
              <w:ind w:right="-5"/>
              <w:jc w:val="center"/>
              <w:textAlignment w:val="bottom"/>
              <w:rPr>
                <w:b/>
                <w:color w:val="auto"/>
                <w:szCs w:val="24"/>
                <w:highlight w:val="none"/>
              </w:rPr>
            </w:pPr>
          </w:p>
        </w:tc>
        <w:tc>
          <w:tcPr>
            <w:tcW w:w="1845" w:type="dxa"/>
            <w:tcBorders>
              <w:top w:val="single" w:color="auto" w:sz="4" w:space="0"/>
              <w:left w:val="single" w:color="auto" w:sz="6" w:space="0"/>
              <w:bottom w:val="single" w:color="auto" w:sz="4" w:space="0"/>
              <w:right w:val="single" w:color="auto" w:sz="4" w:space="0"/>
            </w:tcBorders>
          </w:tcPr>
          <w:p w14:paraId="0A6B8500">
            <w:pPr>
              <w:autoSpaceDE w:val="0"/>
              <w:autoSpaceDN w:val="0"/>
              <w:spacing w:line="500" w:lineRule="exact"/>
              <w:ind w:right="-5"/>
              <w:jc w:val="center"/>
              <w:textAlignment w:val="bottom"/>
              <w:rPr>
                <w:b/>
                <w:color w:val="auto"/>
                <w:szCs w:val="24"/>
                <w:highlight w:val="none"/>
              </w:rPr>
            </w:pPr>
          </w:p>
        </w:tc>
      </w:tr>
      <w:tr w14:paraId="6E351F07">
        <w:tblPrEx>
          <w:tblCellMar>
            <w:top w:w="0" w:type="dxa"/>
            <w:left w:w="108" w:type="dxa"/>
            <w:bottom w:w="0" w:type="dxa"/>
            <w:right w:w="108" w:type="dxa"/>
          </w:tblCellMar>
        </w:tblPrEx>
        <w:trPr>
          <w:cantSplit/>
          <w:trHeight w:val="669" w:hRule="atLeast"/>
        </w:trPr>
        <w:tc>
          <w:tcPr>
            <w:tcW w:w="3502" w:type="dxa"/>
            <w:gridSpan w:val="2"/>
            <w:tcBorders>
              <w:top w:val="single" w:color="auto" w:sz="4" w:space="0"/>
              <w:left w:val="single" w:color="auto" w:sz="4" w:space="0"/>
              <w:bottom w:val="single" w:color="auto" w:sz="4" w:space="0"/>
              <w:right w:val="single" w:color="auto" w:sz="4" w:space="0"/>
            </w:tcBorders>
            <w:vAlign w:val="center"/>
          </w:tcPr>
          <w:p w14:paraId="00DE43F7">
            <w:pPr>
              <w:keepNext w:val="0"/>
              <w:keepLines w:val="0"/>
              <w:pageBreakBefore w:val="0"/>
              <w:widowControl w:val="0"/>
              <w:kinsoku/>
              <w:wordWrap/>
              <w:overflowPunct/>
              <w:topLinePunct w:val="0"/>
              <w:autoSpaceDE w:val="0"/>
              <w:autoSpaceDN w:val="0"/>
              <w:bidi w:val="0"/>
              <w:adjustRightInd w:val="0"/>
              <w:snapToGrid/>
              <w:ind w:left="240" w:leftChars="100" w:firstLine="0" w:firstLineChars="0"/>
              <w:jc w:val="left"/>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投标</w:t>
            </w:r>
          </w:p>
          <w:p w14:paraId="33EAB72F">
            <w:pPr>
              <w:keepNext w:val="0"/>
              <w:keepLines w:val="0"/>
              <w:pageBreakBefore w:val="0"/>
              <w:widowControl w:val="0"/>
              <w:kinsoku/>
              <w:wordWrap/>
              <w:overflowPunct/>
              <w:topLinePunct w:val="0"/>
              <w:autoSpaceDE w:val="0"/>
              <w:autoSpaceDN w:val="0"/>
              <w:bidi w:val="0"/>
              <w:adjustRightInd w:val="0"/>
              <w:snapToGrid/>
              <w:ind w:left="240" w:leftChars="100" w:firstLine="0" w:firstLineChars="0"/>
              <w:jc w:val="left"/>
              <w:textAlignment w:val="auto"/>
              <w:rPr>
                <w:rFonts w:ascii="Times New Roman"/>
                <w:b/>
                <w:color w:val="auto"/>
                <w:szCs w:val="24"/>
                <w:highlight w:val="none"/>
              </w:rPr>
            </w:pPr>
            <w:r>
              <w:rPr>
                <w:rFonts w:hint="eastAsia" w:ascii="Times New Roman" w:hAnsi="Times New Roman" w:eastAsia="宋体" w:cs="Times New Roman"/>
                <w:color w:val="auto"/>
                <w:highlight w:val="none"/>
                <w:lang w:val="en-US" w:eastAsia="zh-CN"/>
              </w:rPr>
              <w:t>报价总计</w:t>
            </w:r>
          </w:p>
        </w:tc>
        <w:tc>
          <w:tcPr>
            <w:tcW w:w="5243" w:type="dxa"/>
            <w:gridSpan w:val="3"/>
            <w:tcBorders>
              <w:top w:val="single" w:color="auto" w:sz="4" w:space="0"/>
              <w:left w:val="single" w:color="auto" w:sz="6" w:space="0"/>
              <w:bottom w:val="single" w:color="auto" w:sz="4" w:space="0"/>
              <w:right w:val="single" w:color="auto" w:sz="4" w:space="0"/>
            </w:tcBorders>
            <w:vAlign w:val="center"/>
          </w:tcPr>
          <w:p w14:paraId="2B8055D5">
            <w:pPr>
              <w:pBdr>
                <w:top w:val="none" w:color="000000" w:sz="0" w:space="0"/>
                <w:left w:val="none" w:color="000000" w:sz="0" w:space="0"/>
                <w:bottom w:val="none" w:color="000000" w:sz="0" w:space="0"/>
                <w:right w:val="none" w:color="000000" w:sz="0" w:space="0"/>
              </w:pBdr>
              <w:spacing w:before="200" w:after="200" w:line="559" w:lineRule="atLeast"/>
              <w:ind w:left="0" w:right="0" w:firstLine="0"/>
              <w:rPr>
                <w:color w:val="auto"/>
                <w:highlight w:val="none"/>
              </w:rPr>
            </w:pPr>
            <w:r>
              <w:rPr>
                <w:rFonts w:ascii="仿宋" w:hAnsi="仿宋" w:eastAsia="仿宋" w:cs="仿宋"/>
                <w:b/>
                <w:color w:val="auto"/>
                <w:sz w:val="24"/>
                <w:highlight w:val="none"/>
              </w:rPr>
              <w:t>￥</w:t>
            </w:r>
            <w:r>
              <w:rPr>
                <w:rFonts w:ascii="仿宋" w:hAnsi="仿宋" w:eastAsia="仿宋" w:cs="仿宋"/>
                <w:b/>
                <w:color w:val="auto"/>
                <w:sz w:val="24"/>
                <w:highlight w:val="none"/>
                <w:u w:val="single"/>
              </w:rPr>
              <w:t>                          </w:t>
            </w:r>
          </w:p>
          <w:p w14:paraId="4F9BA034">
            <w:pPr>
              <w:pBdr>
                <w:top w:val="none" w:color="000000" w:sz="0" w:space="0"/>
                <w:left w:val="none" w:color="000000" w:sz="0" w:space="0"/>
                <w:bottom w:val="none" w:color="000000" w:sz="0" w:space="0"/>
                <w:right w:val="none" w:color="000000" w:sz="0" w:space="0"/>
              </w:pBdr>
              <w:spacing w:before="200" w:after="200" w:line="559" w:lineRule="atLeast"/>
              <w:ind w:left="0" w:leftChars="0" w:right="0" w:rightChars="0" w:firstLine="0" w:firstLineChars="0"/>
              <w:rPr>
                <w:b/>
                <w:color w:val="auto"/>
                <w:szCs w:val="24"/>
                <w:highlight w:val="none"/>
              </w:rPr>
            </w:pPr>
            <w:r>
              <w:rPr>
                <w:rFonts w:ascii="仿宋" w:hAnsi="仿宋" w:eastAsia="仿宋" w:cs="仿宋"/>
                <w:b/>
                <w:color w:val="auto"/>
                <w:sz w:val="24"/>
                <w:highlight w:val="none"/>
              </w:rPr>
              <w:t>人民币（大写）：</w:t>
            </w:r>
            <w:r>
              <w:rPr>
                <w:rFonts w:ascii="仿宋" w:hAnsi="仿宋" w:eastAsia="仿宋" w:cs="仿宋"/>
                <w:b/>
                <w:color w:val="auto"/>
                <w:sz w:val="24"/>
                <w:highlight w:val="none"/>
                <w:u w:val="single"/>
              </w:rPr>
              <w:t>                          </w:t>
            </w:r>
          </w:p>
        </w:tc>
      </w:tr>
    </w:tbl>
    <w:p w14:paraId="43897056">
      <w:pPr>
        <w:pStyle w:val="434"/>
        <w:ind w:firstLine="629"/>
        <w:rPr>
          <w:rFonts w:hint="eastAsia" w:ascii="宋体" w:hAnsi="宋体" w:cs="宋体"/>
          <w:color w:val="auto"/>
          <w:spacing w:val="20"/>
          <w:sz w:val="24"/>
          <w:szCs w:val="24"/>
          <w:highlight w:val="none"/>
        </w:rPr>
      </w:pPr>
    </w:p>
    <w:p w14:paraId="2E308D24">
      <w:pPr>
        <w:pStyle w:val="434"/>
        <w:rPr>
          <w:rFonts w:hint="eastAsia" w:ascii="宋体" w:hAnsi="宋体" w:eastAsia="宋体" w:cs="宋体"/>
          <w:b w:val="0"/>
          <w:color w:val="auto"/>
          <w:spacing w:val="20"/>
          <w:kern w:val="2"/>
          <w:sz w:val="24"/>
          <w:szCs w:val="24"/>
          <w:highlight w:val="none"/>
          <w:lang w:val="en-US" w:eastAsia="zh-CN" w:bidi="ar-SA"/>
        </w:rPr>
      </w:pPr>
    </w:p>
    <w:p w14:paraId="4C7916CB">
      <w:pPr>
        <w:pStyle w:val="434"/>
        <w:rPr>
          <w:rFonts w:hint="eastAsia" w:ascii="宋体" w:hAnsi="宋体" w:eastAsia="宋体" w:cs="宋体"/>
          <w:b w:val="0"/>
          <w:color w:val="auto"/>
          <w:spacing w:val="20"/>
          <w:kern w:val="2"/>
          <w:sz w:val="24"/>
          <w:szCs w:val="24"/>
          <w:highlight w:val="none"/>
          <w:lang w:val="en-US" w:eastAsia="zh-CN" w:bidi="ar-SA"/>
        </w:rPr>
      </w:pPr>
      <w:r>
        <w:rPr>
          <w:rFonts w:hint="eastAsia" w:ascii="宋体" w:hAnsi="宋体" w:eastAsia="宋体" w:cs="宋体"/>
          <w:b w:val="0"/>
          <w:color w:val="auto"/>
          <w:spacing w:val="20"/>
          <w:kern w:val="2"/>
          <w:sz w:val="24"/>
          <w:szCs w:val="24"/>
          <w:highlight w:val="none"/>
          <w:lang w:val="en-US" w:eastAsia="zh-CN" w:bidi="ar-SA"/>
        </w:rPr>
        <w:t>（1）供应商应当根据</w:t>
      </w:r>
      <w:r>
        <w:rPr>
          <w:rFonts w:hint="eastAsia" w:ascii="宋体" w:hAnsi="宋体" w:eastAsia="宋体" w:cs="宋体"/>
          <w:b w:val="0"/>
          <w:color w:val="auto"/>
          <w:spacing w:val="20"/>
          <w:kern w:val="2"/>
          <w:sz w:val="24"/>
          <w:szCs w:val="24"/>
          <w:highlight w:val="none"/>
          <w:lang w:val="zh-CN" w:eastAsia="zh-CN" w:bidi="ar-SA"/>
        </w:rPr>
        <w:t>第</w:t>
      </w:r>
      <w:r>
        <w:rPr>
          <w:rFonts w:hint="eastAsia" w:ascii="宋体" w:hAnsi="宋体" w:eastAsia="宋体" w:cs="宋体"/>
          <w:b w:val="0"/>
          <w:color w:val="auto"/>
          <w:spacing w:val="20"/>
          <w:kern w:val="2"/>
          <w:sz w:val="24"/>
          <w:szCs w:val="24"/>
          <w:highlight w:val="none"/>
          <w:lang w:val="en-US" w:eastAsia="zh-CN" w:bidi="ar-SA"/>
        </w:rPr>
        <w:t>四部分</w:t>
      </w:r>
      <w:r>
        <w:rPr>
          <w:rFonts w:hint="eastAsia" w:ascii="宋体" w:hAnsi="宋体" w:eastAsia="宋体" w:cs="宋体"/>
          <w:b w:val="0"/>
          <w:color w:val="auto"/>
          <w:spacing w:val="20"/>
          <w:kern w:val="2"/>
          <w:sz w:val="24"/>
          <w:szCs w:val="24"/>
          <w:highlight w:val="none"/>
          <w:lang w:val="zh-CN" w:eastAsia="zh-CN" w:bidi="ar-SA"/>
        </w:rPr>
        <w:t xml:space="preserve"> </w:t>
      </w:r>
      <w:r>
        <w:rPr>
          <w:rFonts w:hint="eastAsia" w:ascii="宋体" w:hAnsi="宋体" w:eastAsia="宋体" w:cs="宋体"/>
          <w:b w:val="0"/>
          <w:color w:val="auto"/>
          <w:spacing w:val="20"/>
          <w:kern w:val="2"/>
          <w:sz w:val="24"/>
          <w:szCs w:val="24"/>
          <w:highlight w:val="none"/>
          <w:lang w:val="en-US" w:eastAsia="zh-CN" w:bidi="ar-SA"/>
        </w:rPr>
        <w:t>采购需求的内容和格式等要求详细填写，包含但不限于以上内容，请各供应商自行补充完善；</w:t>
      </w:r>
    </w:p>
    <w:p w14:paraId="44BCE1E7">
      <w:pPr>
        <w:pStyle w:val="434"/>
        <w:rPr>
          <w:rFonts w:hint="eastAsia" w:ascii="宋体" w:hAnsi="宋体" w:eastAsia="宋体" w:cs="宋体"/>
          <w:b w:val="0"/>
          <w:color w:val="auto"/>
          <w:spacing w:val="20"/>
          <w:kern w:val="2"/>
          <w:sz w:val="24"/>
          <w:szCs w:val="24"/>
          <w:highlight w:val="none"/>
          <w:lang w:val="en-US" w:eastAsia="zh-CN" w:bidi="ar-SA"/>
        </w:rPr>
      </w:pPr>
    </w:p>
    <w:p w14:paraId="4CA24AC6">
      <w:pPr>
        <w:pStyle w:val="434"/>
        <w:rPr>
          <w:rFonts w:hint="eastAsia" w:ascii="宋体" w:hAnsi="宋体" w:eastAsia="宋体" w:cs="宋体"/>
          <w:b w:val="0"/>
          <w:color w:val="auto"/>
          <w:spacing w:val="20"/>
          <w:kern w:val="2"/>
          <w:sz w:val="24"/>
          <w:szCs w:val="24"/>
          <w:highlight w:val="none"/>
          <w:lang w:val="en-US" w:eastAsia="zh-CN" w:bidi="ar-SA"/>
        </w:rPr>
      </w:pPr>
      <w:r>
        <w:rPr>
          <w:rFonts w:hint="eastAsia" w:ascii="宋体" w:hAnsi="宋体" w:eastAsia="宋体" w:cs="宋体"/>
          <w:b w:val="0"/>
          <w:color w:val="auto"/>
          <w:spacing w:val="20"/>
          <w:kern w:val="2"/>
          <w:sz w:val="24"/>
          <w:szCs w:val="24"/>
          <w:highlight w:val="none"/>
          <w:lang w:val="en-US" w:eastAsia="zh-CN" w:bidi="ar-SA"/>
        </w:rPr>
        <w:t>（2）表格不够可自行延长。</w:t>
      </w:r>
    </w:p>
    <w:p w14:paraId="72AAE23A">
      <w:pPr>
        <w:pStyle w:val="434"/>
        <w:rPr>
          <w:rFonts w:hint="eastAsia" w:ascii="宋体" w:hAnsi="宋体" w:cs="宋体"/>
          <w:color w:val="auto"/>
          <w:spacing w:val="20"/>
          <w:sz w:val="24"/>
          <w:szCs w:val="24"/>
          <w:highlight w:val="none"/>
        </w:rPr>
      </w:pPr>
    </w:p>
    <w:p w14:paraId="6E1D0241">
      <w:pPr>
        <w:pStyle w:val="434"/>
        <w:ind w:firstLine="629"/>
        <w:rPr>
          <w:rFonts w:hint="eastAsia" w:ascii="宋体" w:hAnsi="宋体" w:cs="宋体"/>
          <w:color w:val="auto"/>
          <w:spacing w:val="20"/>
          <w:sz w:val="24"/>
          <w:szCs w:val="24"/>
          <w:highlight w:val="none"/>
        </w:rPr>
      </w:pPr>
      <w:r>
        <w:rPr>
          <w:rFonts w:hint="eastAsia" w:ascii="宋体" w:hAnsi="宋体" w:cs="宋体"/>
          <w:color w:val="auto"/>
          <w:spacing w:val="20"/>
          <w:sz w:val="24"/>
          <w:szCs w:val="24"/>
          <w:highlight w:val="none"/>
        </w:rPr>
        <w:t>单位名称：</w:t>
      </w:r>
      <w:r>
        <w:rPr>
          <w:rFonts w:hint="eastAsia" w:ascii="宋体" w:hAnsi="宋体" w:cs="宋体"/>
          <w:color w:val="auto"/>
          <w:spacing w:val="20"/>
          <w:sz w:val="24"/>
          <w:szCs w:val="24"/>
          <w:highlight w:val="none"/>
          <w:u w:val="single"/>
        </w:rPr>
        <w:t xml:space="preserve">             </w:t>
      </w:r>
      <w:r>
        <w:rPr>
          <w:rFonts w:hint="eastAsia" w:ascii="宋体" w:hAnsi="宋体" w:cs="宋体"/>
          <w:color w:val="auto"/>
          <w:spacing w:val="20"/>
          <w:sz w:val="24"/>
          <w:szCs w:val="24"/>
          <w:highlight w:val="none"/>
        </w:rPr>
        <w:t xml:space="preserve">（盖章）                 </w:t>
      </w:r>
    </w:p>
    <w:p w14:paraId="151E255C">
      <w:pPr>
        <w:pStyle w:val="434"/>
        <w:ind w:firstLine="629"/>
        <w:rPr>
          <w:rFonts w:hint="eastAsia" w:ascii="宋体" w:hAnsi="宋体" w:cs="宋体"/>
          <w:color w:val="auto"/>
          <w:spacing w:val="20"/>
          <w:sz w:val="24"/>
          <w:szCs w:val="24"/>
          <w:highlight w:val="none"/>
        </w:rPr>
      </w:pPr>
    </w:p>
    <w:p w14:paraId="5068BF92">
      <w:pPr>
        <w:pStyle w:val="434"/>
        <w:ind w:firstLine="629"/>
        <w:rPr>
          <w:rFonts w:hint="eastAsia" w:ascii="宋体" w:hAnsi="宋体" w:cs="宋体"/>
          <w:color w:val="auto"/>
          <w:spacing w:val="20"/>
          <w:sz w:val="24"/>
          <w:szCs w:val="24"/>
          <w:highlight w:val="none"/>
        </w:rPr>
      </w:pPr>
      <w:r>
        <w:rPr>
          <w:rFonts w:hint="eastAsia" w:ascii="宋体" w:hAnsi="宋体" w:cs="宋体"/>
          <w:color w:val="auto"/>
          <w:spacing w:val="20"/>
          <w:sz w:val="24"/>
          <w:szCs w:val="24"/>
          <w:highlight w:val="none"/>
        </w:rPr>
        <w:t>法定代表人（或授权代表）：</w:t>
      </w:r>
      <w:r>
        <w:rPr>
          <w:rFonts w:hint="eastAsia" w:ascii="宋体" w:hAnsi="宋体" w:cs="宋体"/>
          <w:color w:val="auto"/>
          <w:spacing w:val="20"/>
          <w:sz w:val="24"/>
          <w:szCs w:val="24"/>
          <w:highlight w:val="none"/>
          <w:u w:val="single"/>
        </w:rPr>
        <w:t xml:space="preserve">          </w:t>
      </w:r>
      <w:r>
        <w:rPr>
          <w:rFonts w:hint="eastAsia" w:ascii="宋体" w:hAnsi="宋体" w:cs="宋体"/>
          <w:color w:val="auto"/>
          <w:spacing w:val="20"/>
          <w:sz w:val="24"/>
          <w:szCs w:val="24"/>
          <w:highlight w:val="none"/>
        </w:rPr>
        <w:t xml:space="preserve">（签字）              </w:t>
      </w:r>
    </w:p>
    <w:bookmarkEnd w:id="123"/>
    <w:p w14:paraId="3FD7C7F1">
      <w:pPr>
        <w:pStyle w:val="418"/>
        <w:numPr>
          <w:ilvl w:val="0"/>
          <w:numId w:val="0"/>
        </w:numPr>
        <w:outlineLvl w:val="1"/>
        <w:rPr>
          <w:rFonts w:hint="eastAsia" w:ascii="宋体" w:hAnsi="宋体" w:eastAsia="宋体" w:cs="宋体"/>
          <w:bCs/>
          <w:color w:val="auto"/>
          <w:sz w:val="24"/>
          <w:szCs w:val="24"/>
          <w:highlight w:val="none"/>
        </w:rPr>
      </w:pPr>
      <w:bookmarkStart w:id="124" w:name="_Toc16234"/>
      <w:bookmarkStart w:id="125" w:name="_Toc514054497"/>
      <w:bookmarkStart w:id="126" w:name="_Toc1527"/>
      <w:r>
        <w:rPr>
          <w:rFonts w:hint="eastAsia" w:ascii="宋体" w:hAnsi="宋体" w:eastAsia="宋体" w:cs="宋体"/>
          <w:color w:val="auto"/>
          <w:highlight w:val="none"/>
        </w:rPr>
        <w:br w:type="page"/>
      </w:r>
      <w:bookmarkStart w:id="127" w:name="_Toc13284"/>
      <w:bookmarkStart w:id="128" w:name="_Toc18309"/>
      <w:r>
        <w:rPr>
          <w:rFonts w:hint="eastAsia" w:cs="Times New Roman"/>
          <w:color w:val="auto"/>
          <w:highlight w:val="none"/>
          <w:lang w:val="en-US" w:eastAsia="zh-CN"/>
        </w:rPr>
        <w:t>十、</w:t>
      </w:r>
      <w:r>
        <w:rPr>
          <w:rFonts w:hint="eastAsia" w:cs="Times New Roman"/>
          <w:color w:val="auto"/>
          <w:highlight w:val="none"/>
        </w:rPr>
        <w:t>中小企业声明函（工程、服务）</w:t>
      </w:r>
    </w:p>
    <w:p w14:paraId="0B4FC747">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b w:val="0"/>
          <w:color w:val="auto"/>
          <w:sz w:val="24"/>
          <w:szCs w:val="24"/>
          <w:highlight w:val="none"/>
          <w:u w:val="single"/>
        </w:rPr>
        <w:t>（单位名称）</w:t>
      </w:r>
      <w:r>
        <w:rPr>
          <w:rFonts w:hint="eastAsia" w:ascii="宋体" w:hAnsi="宋体" w:eastAsia="宋体" w:cs="宋体"/>
          <w:b w:val="0"/>
          <w:color w:val="auto"/>
          <w:sz w:val="24"/>
          <w:szCs w:val="24"/>
          <w:highlight w:val="none"/>
        </w:rPr>
        <w:t>的</w:t>
      </w:r>
      <w:r>
        <w:rPr>
          <w:rFonts w:hint="eastAsia" w:ascii="宋体" w:hAnsi="宋体" w:eastAsia="宋体" w:cs="宋体"/>
          <w:b w:val="0"/>
          <w:color w:val="auto"/>
          <w:sz w:val="24"/>
          <w:szCs w:val="24"/>
          <w:highlight w:val="none"/>
          <w:u w:val="single"/>
        </w:rPr>
        <w:t>（项目名称）</w:t>
      </w:r>
      <w:r>
        <w:rPr>
          <w:rFonts w:hint="eastAsia" w:ascii="宋体" w:hAnsi="宋体" w:eastAsia="宋体" w:cs="宋体"/>
          <w:b w:val="0"/>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5E662FA">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1. </w:t>
      </w:r>
      <w:r>
        <w:rPr>
          <w:rFonts w:hint="eastAsia" w:ascii="宋体" w:hAnsi="宋体" w:eastAsia="宋体" w:cs="宋体"/>
          <w:b w:val="0"/>
          <w:color w:val="auto"/>
          <w:sz w:val="24"/>
          <w:szCs w:val="24"/>
          <w:highlight w:val="none"/>
          <w:u w:val="single"/>
        </w:rPr>
        <w:t>（标的名称）</w:t>
      </w:r>
      <w:r>
        <w:rPr>
          <w:rFonts w:hint="eastAsia" w:ascii="宋体" w:hAnsi="宋体" w:eastAsia="宋体" w:cs="宋体"/>
          <w:b w:val="0"/>
          <w:color w:val="auto"/>
          <w:sz w:val="24"/>
          <w:szCs w:val="24"/>
          <w:highlight w:val="none"/>
        </w:rPr>
        <w:t>，属于</w:t>
      </w:r>
      <w:r>
        <w:rPr>
          <w:rFonts w:hint="eastAsia" w:ascii="宋体" w:hAnsi="宋体" w:eastAsia="宋体" w:cs="宋体"/>
          <w:b w:val="0"/>
          <w:color w:val="auto"/>
          <w:sz w:val="24"/>
          <w:szCs w:val="24"/>
          <w:highlight w:val="none"/>
          <w:u w:val="single"/>
          <w:lang w:val="en-US" w:eastAsia="zh-CN"/>
        </w:rPr>
        <w:t>软件和信息技术服务业</w:t>
      </w:r>
      <w:r>
        <w:rPr>
          <w:rFonts w:hint="eastAsia" w:ascii="宋体" w:hAnsi="宋体" w:eastAsia="宋体" w:cs="宋体"/>
          <w:b w:val="0"/>
          <w:color w:val="auto"/>
          <w:sz w:val="24"/>
          <w:szCs w:val="24"/>
          <w:highlight w:val="none"/>
        </w:rPr>
        <w:t>；承建（承接）企业为</w:t>
      </w:r>
      <w:r>
        <w:rPr>
          <w:rFonts w:hint="eastAsia" w:ascii="宋体" w:hAnsi="宋体" w:eastAsia="宋体" w:cs="宋体"/>
          <w:b w:val="0"/>
          <w:color w:val="auto"/>
          <w:sz w:val="24"/>
          <w:szCs w:val="24"/>
          <w:highlight w:val="none"/>
          <w:u w:val="single"/>
        </w:rPr>
        <w:t>（企业名称）</w:t>
      </w:r>
      <w:r>
        <w:rPr>
          <w:rFonts w:hint="eastAsia" w:ascii="宋体" w:hAnsi="宋体" w:eastAsia="宋体" w:cs="宋体"/>
          <w:b w:val="0"/>
          <w:color w:val="auto"/>
          <w:sz w:val="24"/>
          <w:szCs w:val="24"/>
          <w:highlight w:val="none"/>
        </w:rPr>
        <w:t>，从业人员</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人，营业收入为</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万元，资产总额为</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万元，属于</w:t>
      </w:r>
      <w:r>
        <w:rPr>
          <w:rFonts w:hint="eastAsia" w:ascii="宋体" w:hAnsi="宋体" w:eastAsia="宋体" w:cs="宋体"/>
          <w:b w:val="0"/>
          <w:color w:val="auto"/>
          <w:sz w:val="24"/>
          <w:szCs w:val="24"/>
          <w:highlight w:val="none"/>
          <w:u w:val="single"/>
        </w:rPr>
        <w:t>（□中型企业、□小型企业、□微型企业）</w:t>
      </w:r>
      <w:r>
        <w:rPr>
          <w:rFonts w:hint="eastAsia" w:ascii="宋体" w:hAnsi="宋体" w:eastAsia="宋体" w:cs="宋体"/>
          <w:b w:val="0"/>
          <w:color w:val="auto"/>
          <w:sz w:val="24"/>
          <w:szCs w:val="24"/>
          <w:highlight w:val="none"/>
        </w:rPr>
        <w:t>；</w:t>
      </w:r>
    </w:p>
    <w:p w14:paraId="6CD0B9FB">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2. </w:t>
      </w:r>
      <w:r>
        <w:rPr>
          <w:rFonts w:hint="eastAsia" w:ascii="宋体" w:hAnsi="宋体" w:eastAsia="宋体" w:cs="宋体"/>
          <w:b w:val="0"/>
          <w:color w:val="auto"/>
          <w:sz w:val="24"/>
          <w:szCs w:val="24"/>
          <w:highlight w:val="none"/>
          <w:u w:val="single"/>
        </w:rPr>
        <w:t>（标的名称）</w:t>
      </w:r>
      <w:r>
        <w:rPr>
          <w:rFonts w:hint="eastAsia" w:ascii="宋体" w:hAnsi="宋体" w:eastAsia="宋体" w:cs="宋体"/>
          <w:b w:val="0"/>
          <w:color w:val="auto"/>
          <w:sz w:val="24"/>
          <w:szCs w:val="24"/>
          <w:highlight w:val="none"/>
        </w:rPr>
        <w:t>，属于</w:t>
      </w:r>
      <w:r>
        <w:rPr>
          <w:rFonts w:hint="eastAsia" w:ascii="宋体" w:hAnsi="宋体" w:eastAsia="宋体" w:cs="宋体"/>
          <w:b w:val="0"/>
          <w:color w:val="auto"/>
          <w:sz w:val="24"/>
          <w:szCs w:val="24"/>
          <w:highlight w:val="none"/>
          <w:u w:val="single"/>
        </w:rPr>
        <w:t>（招标文件中明确的所属行业）</w:t>
      </w:r>
      <w:r>
        <w:rPr>
          <w:rFonts w:hint="eastAsia" w:ascii="宋体" w:hAnsi="宋体" w:eastAsia="宋体" w:cs="宋体"/>
          <w:b w:val="0"/>
          <w:color w:val="auto"/>
          <w:sz w:val="24"/>
          <w:szCs w:val="24"/>
          <w:highlight w:val="none"/>
        </w:rPr>
        <w:t>；承建（承接）企业为</w:t>
      </w:r>
      <w:r>
        <w:rPr>
          <w:rFonts w:hint="eastAsia" w:ascii="宋体" w:hAnsi="宋体" w:eastAsia="宋体" w:cs="宋体"/>
          <w:b w:val="0"/>
          <w:color w:val="auto"/>
          <w:sz w:val="24"/>
          <w:szCs w:val="24"/>
          <w:highlight w:val="none"/>
          <w:u w:val="single"/>
        </w:rPr>
        <w:t>（企业名称）</w:t>
      </w:r>
      <w:r>
        <w:rPr>
          <w:rFonts w:hint="eastAsia" w:ascii="宋体" w:hAnsi="宋体" w:eastAsia="宋体" w:cs="宋体"/>
          <w:b w:val="0"/>
          <w:color w:val="auto"/>
          <w:sz w:val="24"/>
          <w:szCs w:val="24"/>
          <w:highlight w:val="none"/>
        </w:rPr>
        <w:t>，从业人员</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人，营业收入为</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万元，资产总额为</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万元，属于</w:t>
      </w:r>
      <w:r>
        <w:rPr>
          <w:rFonts w:hint="eastAsia" w:ascii="宋体" w:hAnsi="宋体" w:eastAsia="宋体" w:cs="宋体"/>
          <w:b w:val="0"/>
          <w:color w:val="auto"/>
          <w:sz w:val="24"/>
          <w:szCs w:val="24"/>
          <w:highlight w:val="none"/>
          <w:u w:val="single"/>
        </w:rPr>
        <w:t>（□中型企业、□小型企业、□微型企业）</w:t>
      </w:r>
      <w:r>
        <w:rPr>
          <w:rFonts w:hint="eastAsia" w:ascii="宋体" w:hAnsi="宋体" w:eastAsia="宋体" w:cs="宋体"/>
          <w:b w:val="0"/>
          <w:color w:val="auto"/>
          <w:sz w:val="24"/>
          <w:szCs w:val="24"/>
          <w:highlight w:val="none"/>
        </w:rPr>
        <w:t>；</w:t>
      </w:r>
    </w:p>
    <w:p w14:paraId="06925498">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w:t>
      </w:r>
    </w:p>
    <w:p w14:paraId="126A7B50">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以上企业，不属于大企业的分支机构，不存在控股股东为大企业的情形，也不存在与大企业的负责人为同一人的情形。</w:t>
      </w:r>
    </w:p>
    <w:p w14:paraId="377B5EEC">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本企业对上述声明内容的真实性负责。如有虚假，将依法承担相应责任。</w:t>
      </w:r>
    </w:p>
    <w:p w14:paraId="589D5520">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p>
    <w:p w14:paraId="0B157CEB">
      <w:pPr>
        <w:pStyle w:val="24"/>
        <w:tabs>
          <w:tab w:val="left" w:pos="7098"/>
        </w:tabs>
        <w:spacing w:line="360" w:lineRule="auto"/>
        <w:ind w:firstLine="6000" w:firstLineChars="25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投标人名称（公章）：</w:t>
      </w:r>
    </w:p>
    <w:p w14:paraId="7C27C6E4">
      <w:pPr>
        <w:pStyle w:val="24"/>
        <w:tabs>
          <w:tab w:val="left" w:pos="7098"/>
        </w:tabs>
        <w:spacing w:line="360" w:lineRule="auto"/>
        <w:ind w:firstLine="6000" w:firstLineChars="2500"/>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日 期：</w:t>
      </w:r>
    </w:p>
    <w:p w14:paraId="32BF8229">
      <w:pPr>
        <w:autoSpaceDE w:val="0"/>
        <w:autoSpaceDN w:val="0"/>
        <w:adjustRightInd w:val="0"/>
        <w:snapToGrid w:val="0"/>
        <w:spacing w:line="360" w:lineRule="auto"/>
        <w:contextualSpacing/>
        <w:jc w:val="left"/>
        <w:rPr>
          <w:rFonts w:hint="eastAsia" w:ascii="宋体" w:hAnsi="宋体" w:eastAsia="宋体" w:cs="宋体"/>
          <w:b w:val="0"/>
          <w:color w:val="auto"/>
          <w:sz w:val="24"/>
          <w:szCs w:val="24"/>
          <w:highlight w:val="none"/>
        </w:rPr>
      </w:pPr>
    </w:p>
    <w:p w14:paraId="74074EAD">
      <w:pPr>
        <w:autoSpaceDE w:val="0"/>
        <w:autoSpaceDN w:val="0"/>
        <w:adjustRightInd w:val="0"/>
        <w:snapToGrid w:val="0"/>
        <w:spacing w:line="360" w:lineRule="auto"/>
        <w:ind w:firstLine="480" w:firstLineChars="200"/>
        <w:contextualSpacing/>
        <w:jc w:val="left"/>
        <w:rPr>
          <w:rFonts w:hint="eastAsia" w:ascii="宋体" w:hAnsi="宋体" w:eastAsia="宋体" w:cs="宋体"/>
          <w:b w:val="0"/>
          <w:color w:val="auto"/>
          <w:sz w:val="24"/>
          <w:szCs w:val="24"/>
          <w:highlight w:val="none"/>
        </w:rPr>
      </w:pPr>
    </w:p>
    <w:p w14:paraId="717D5063">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6CFF5C48">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11DBE1E3">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2.专门面向中小微型企业采购的项目，供应商如不提供此声明函，则不能通过资格审查；非专门面向中小微型企业采购的项目，供应商如不提供此声明函，价格将不做相应扣除。</w:t>
      </w:r>
    </w:p>
    <w:p w14:paraId="0F6C812B">
      <w:pPr>
        <w:spacing w:line="400" w:lineRule="exact"/>
        <w:ind w:left="600" w:leftChars="200" w:hanging="120" w:hangingChar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3.供应商应对照《工业和信息化部、国家统计局、国家发展和改革委员会、</w:t>
      </w:r>
    </w:p>
    <w:p w14:paraId="0EB1169E">
      <w:pPr>
        <w:pStyle w:val="45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财政部关于印发中小企业划型标准规定的通知》(工信部联企业〔2011〕300号)《国家统计局关于印发〈统计上大中小微型企业划分办法（2017）〉的通知》（国统字〔2017〕213号）的规定，自行勾选制造商的企业规模类型。 </w:t>
      </w:r>
      <w:r>
        <w:rPr>
          <w:rFonts w:hint="eastAsia" w:ascii="宋体" w:hAnsi="宋体" w:eastAsia="宋体" w:cs="宋体"/>
          <w:color w:val="auto"/>
          <w:sz w:val="24"/>
          <w:szCs w:val="24"/>
          <w:highlight w:val="none"/>
        </w:rPr>
        <w:br w:type="page"/>
      </w:r>
    </w:p>
    <w:p w14:paraId="5F8B77D5">
      <w:pPr>
        <w:pStyle w:val="458"/>
        <w:widowControl/>
        <w:shd w:val="clear" w:color="auto" w:fill="auto"/>
        <w:spacing w:before="300" w:after="300" w:line="360" w:lineRule="auto"/>
        <w:jc w:val="center"/>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t>中小微企业划型标准 </w:t>
      </w:r>
    </w:p>
    <w:p w14:paraId="57300B6A">
      <w:pPr>
        <w:pStyle w:val="459"/>
        <w:widowControl/>
        <w:shd w:val="clear" w:color="auto" w:fill="auto"/>
        <w:spacing w:before="300" w:after="452" w:line="360" w:lineRule="auto"/>
        <w:ind w:firstLine="420"/>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中小微企业划型标准如下：</w:t>
      </w:r>
    </w:p>
    <w:tbl>
      <w:tblPr>
        <w:tblStyle w:val="63"/>
        <w:tblW w:w="4998" w:type="pct"/>
        <w:jc w:val="center"/>
        <w:tblCellSpacing w:w="15" w:type="dxa"/>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Layout w:type="autofit"/>
        <w:tblCellMar>
          <w:top w:w="0" w:type="dxa"/>
          <w:left w:w="105" w:type="dxa"/>
          <w:bottom w:w="0" w:type="dxa"/>
          <w:right w:w="105" w:type="dxa"/>
        </w:tblCellMar>
      </w:tblPr>
      <w:tblGrid>
        <w:gridCol w:w="1467"/>
        <w:gridCol w:w="1766"/>
        <w:gridCol w:w="513"/>
        <w:gridCol w:w="2121"/>
        <w:gridCol w:w="1736"/>
        <w:gridCol w:w="1522"/>
      </w:tblGrid>
      <w:tr w14:paraId="7157E50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85" w:hRule="atLeast"/>
          <w:tblCellSpacing w:w="15" w:type="dxa"/>
          <w:jc w:val="center"/>
        </w:trPr>
        <w:tc>
          <w:tcPr>
            <w:tcW w:w="1325" w:type="dxa"/>
            <w:noWrap w:val="0"/>
            <w:tcMar>
              <w:top w:w="0" w:type="dxa"/>
              <w:left w:w="105" w:type="dxa"/>
              <w:bottom w:w="0" w:type="dxa"/>
              <w:right w:w="105" w:type="dxa"/>
            </w:tcMar>
            <w:vAlign w:val="center"/>
          </w:tcPr>
          <w:p w14:paraId="1DE0456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行业名称</w:t>
            </w:r>
          </w:p>
        </w:tc>
        <w:tc>
          <w:tcPr>
            <w:tcW w:w="1618" w:type="dxa"/>
            <w:noWrap w:val="0"/>
            <w:tcMar>
              <w:top w:w="0" w:type="dxa"/>
              <w:left w:w="105" w:type="dxa"/>
              <w:bottom w:w="0" w:type="dxa"/>
              <w:right w:w="105" w:type="dxa"/>
            </w:tcMar>
            <w:vAlign w:val="center"/>
          </w:tcPr>
          <w:p w14:paraId="425BBE4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指标名称</w:t>
            </w:r>
          </w:p>
        </w:tc>
        <w:tc>
          <w:tcPr>
            <w:tcW w:w="448" w:type="dxa"/>
            <w:noWrap w:val="0"/>
            <w:tcMar>
              <w:top w:w="0" w:type="dxa"/>
              <w:left w:w="105" w:type="dxa"/>
              <w:bottom w:w="0" w:type="dxa"/>
              <w:right w:w="105" w:type="dxa"/>
            </w:tcMar>
            <w:vAlign w:val="center"/>
          </w:tcPr>
          <w:p w14:paraId="33FF2E3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计量单位</w:t>
            </w:r>
          </w:p>
        </w:tc>
        <w:tc>
          <w:tcPr>
            <w:tcW w:w="1949" w:type="dxa"/>
            <w:noWrap w:val="0"/>
            <w:tcMar>
              <w:top w:w="0" w:type="dxa"/>
              <w:left w:w="105" w:type="dxa"/>
              <w:bottom w:w="0" w:type="dxa"/>
              <w:right w:w="105" w:type="dxa"/>
            </w:tcMar>
            <w:vAlign w:val="center"/>
          </w:tcPr>
          <w:p w14:paraId="1920885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中型</w:t>
            </w:r>
          </w:p>
        </w:tc>
        <w:tc>
          <w:tcPr>
            <w:tcW w:w="1590" w:type="dxa"/>
            <w:noWrap w:val="0"/>
            <w:tcMar>
              <w:top w:w="0" w:type="dxa"/>
              <w:left w:w="105" w:type="dxa"/>
              <w:bottom w:w="0" w:type="dxa"/>
              <w:right w:w="105" w:type="dxa"/>
            </w:tcMar>
            <w:vAlign w:val="center"/>
          </w:tcPr>
          <w:p w14:paraId="120265D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小型</w:t>
            </w:r>
          </w:p>
        </w:tc>
        <w:tc>
          <w:tcPr>
            <w:tcW w:w="1376" w:type="dxa"/>
            <w:noWrap w:val="0"/>
            <w:tcMar>
              <w:top w:w="0" w:type="dxa"/>
              <w:left w:w="105" w:type="dxa"/>
              <w:bottom w:w="0" w:type="dxa"/>
              <w:right w:w="105" w:type="dxa"/>
            </w:tcMar>
            <w:vAlign w:val="center"/>
          </w:tcPr>
          <w:p w14:paraId="54D4E23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微型</w:t>
            </w:r>
          </w:p>
        </w:tc>
      </w:tr>
      <w:tr w14:paraId="1677426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noWrap w:val="0"/>
            <w:tcMar>
              <w:top w:w="0" w:type="dxa"/>
              <w:left w:w="105" w:type="dxa"/>
              <w:bottom w:w="0" w:type="dxa"/>
              <w:right w:w="105" w:type="dxa"/>
            </w:tcMar>
            <w:vAlign w:val="center"/>
          </w:tcPr>
          <w:p w14:paraId="525DE45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农、林、牧、渔</w:t>
            </w:r>
          </w:p>
        </w:tc>
        <w:tc>
          <w:tcPr>
            <w:tcW w:w="1618" w:type="dxa"/>
            <w:noWrap w:val="0"/>
            <w:tcMar>
              <w:top w:w="0" w:type="dxa"/>
              <w:left w:w="105" w:type="dxa"/>
              <w:bottom w:w="0" w:type="dxa"/>
              <w:right w:w="105" w:type="dxa"/>
            </w:tcMar>
            <w:vAlign w:val="center"/>
          </w:tcPr>
          <w:p w14:paraId="1B09333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2726357C">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379FC1A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500≤Y＜20000</w:t>
            </w:r>
          </w:p>
        </w:tc>
        <w:tc>
          <w:tcPr>
            <w:tcW w:w="1590" w:type="dxa"/>
            <w:noWrap w:val="0"/>
            <w:tcMar>
              <w:top w:w="0" w:type="dxa"/>
              <w:left w:w="105" w:type="dxa"/>
              <w:bottom w:w="0" w:type="dxa"/>
              <w:right w:w="105" w:type="dxa"/>
            </w:tcMar>
            <w:vAlign w:val="center"/>
          </w:tcPr>
          <w:p w14:paraId="5FB7BC3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50≤Y＜500</w:t>
            </w:r>
          </w:p>
        </w:tc>
        <w:tc>
          <w:tcPr>
            <w:tcW w:w="1376" w:type="dxa"/>
            <w:noWrap w:val="0"/>
            <w:tcMar>
              <w:top w:w="0" w:type="dxa"/>
              <w:left w:w="105" w:type="dxa"/>
              <w:bottom w:w="0" w:type="dxa"/>
              <w:right w:w="105" w:type="dxa"/>
            </w:tcMar>
            <w:vAlign w:val="center"/>
          </w:tcPr>
          <w:p w14:paraId="2E44649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Y＜50</w:t>
            </w:r>
          </w:p>
        </w:tc>
      </w:tr>
      <w:tr w14:paraId="485F8A2A">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7C27F78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工业</w:t>
            </w:r>
          </w:p>
        </w:tc>
        <w:tc>
          <w:tcPr>
            <w:tcW w:w="1618" w:type="dxa"/>
            <w:noWrap w:val="0"/>
            <w:tcMar>
              <w:top w:w="0" w:type="dxa"/>
              <w:left w:w="105" w:type="dxa"/>
              <w:bottom w:w="0" w:type="dxa"/>
              <w:right w:w="105" w:type="dxa"/>
            </w:tcMar>
            <w:vAlign w:val="center"/>
          </w:tcPr>
          <w:p w14:paraId="29C3B03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159EEC89">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2DF52F9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300≤X＜1000</w:t>
            </w:r>
          </w:p>
        </w:tc>
        <w:tc>
          <w:tcPr>
            <w:tcW w:w="1590" w:type="dxa"/>
            <w:noWrap w:val="0"/>
            <w:tcMar>
              <w:top w:w="0" w:type="dxa"/>
              <w:left w:w="105" w:type="dxa"/>
              <w:bottom w:w="0" w:type="dxa"/>
              <w:right w:w="105" w:type="dxa"/>
            </w:tcMar>
            <w:vAlign w:val="center"/>
          </w:tcPr>
          <w:p w14:paraId="358A249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20≤X＜300</w:t>
            </w:r>
          </w:p>
        </w:tc>
        <w:tc>
          <w:tcPr>
            <w:tcW w:w="1376" w:type="dxa"/>
            <w:noWrap w:val="0"/>
            <w:tcMar>
              <w:top w:w="0" w:type="dxa"/>
              <w:left w:w="105" w:type="dxa"/>
              <w:bottom w:w="0" w:type="dxa"/>
              <w:right w:w="105" w:type="dxa"/>
            </w:tcMar>
            <w:vAlign w:val="center"/>
          </w:tcPr>
          <w:p w14:paraId="6E309C7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X＜20</w:t>
            </w:r>
          </w:p>
        </w:tc>
      </w:tr>
      <w:tr w14:paraId="69FE1EFA">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47E2AE72">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7873E3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09A57F1B">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3D4B888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2000≤Y＜40000</w:t>
            </w:r>
          </w:p>
        </w:tc>
        <w:tc>
          <w:tcPr>
            <w:tcW w:w="1590" w:type="dxa"/>
            <w:noWrap w:val="0"/>
            <w:tcMar>
              <w:top w:w="0" w:type="dxa"/>
              <w:left w:w="105" w:type="dxa"/>
              <w:bottom w:w="0" w:type="dxa"/>
              <w:right w:w="105" w:type="dxa"/>
            </w:tcMar>
            <w:vAlign w:val="center"/>
          </w:tcPr>
          <w:p w14:paraId="72122EF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300≤Y＜2000</w:t>
            </w:r>
          </w:p>
        </w:tc>
        <w:tc>
          <w:tcPr>
            <w:tcW w:w="1376" w:type="dxa"/>
            <w:noWrap w:val="0"/>
            <w:tcMar>
              <w:top w:w="0" w:type="dxa"/>
              <w:left w:w="105" w:type="dxa"/>
              <w:bottom w:w="0" w:type="dxa"/>
              <w:right w:w="105" w:type="dxa"/>
            </w:tcMar>
            <w:vAlign w:val="center"/>
          </w:tcPr>
          <w:p w14:paraId="736FC75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Y＜300</w:t>
            </w:r>
          </w:p>
        </w:tc>
      </w:tr>
      <w:tr w14:paraId="67E815C4">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0A22C43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建筑业</w:t>
            </w:r>
          </w:p>
        </w:tc>
        <w:tc>
          <w:tcPr>
            <w:tcW w:w="1618" w:type="dxa"/>
            <w:noWrap w:val="0"/>
            <w:tcMar>
              <w:top w:w="0" w:type="dxa"/>
              <w:left w:w="105" w:type="dxa"/>
              <w:bottom w:w="0" w:type="dxa"/>
              <w:right w:w="105" w:type="dxa"/>
            </w:tcMar>
            <w:vAlign w:val="center"/>
          </w:tcPr>
          <w:p w14:paraId="084E1A6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2261A346">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0F83A2E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6000≤Y＜80000</w:t>
            </w:r>
          </w:p>
        </w:tc>
        <w:tc>
          <w:tcPr>
            <w:tcW w:w="1590" w:type="dxa"/>
            <w:noWrap w:val="0"/>
            <w:tcMar>
              <w:top w:w="0" w:type="dxa"/>
              <w:left w:w="105" w:type="dxa"/>
              <w:bottom w:w="0" w:type="dxa"/>
              <w:right w:w="105" w:type="dxa"/>
            </w:tcMar>
            <w:vAlign w:val="center"/>
          </w:tcPr>
          <w:p w14:paraId="2EA60AF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300≤Y＜6000</w:t>
            </w:r>
          </w:p>
        </w:tc>
        <w:tc>
          <w:tcPr>
            <w:tcW w:w="1376" w:type="dxa"/>
            <w:noWrap w:val="0"/>
            <w:tcMar>
              <w:top w:w="0" w:type="dxa"/>
              <w:left w:w="105" w:type="dxa"/>
              <w:bottom w:w="0" w:type="dxa"/>
              <w:right w:w="105" w:type="dxa"/>
            </w:tcMar>
            <w:vAlign w:val="center"/>
          </w:tcPr>
          <w:p w14:paraId="1CE31AD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Y＜300</w:t>
            </w:r>
          </w:p>
        </w:tc>
      </w:tr>
      <w:tr w14:paraId="13AC355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65181376">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DB8243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资产总额（Z）</w:t>
            </w:r>
          </w:p>
        </w:tc>
        <w:tc>
          <w:tcPr>
            <w:tcW w:w="448" w:type="dxa"/>
            <w:noWrap w:val="0"/>
            <w:tcMar>
              <w:top w:w="0" w:type="dxa"/>
              <w:left w:w="105" w:type="dxa"/>
              <w:bottom w:w="0" w:type="dxa"/>
              <w:right w:w="105" w:type="dxa"/>
            </w:tcMar>
            <w:vAlign w:val="center"/>
          </w:tcPr>
          <w:p w14:paraId="734B4EF0">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4E98D55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5000≤Z＜80000</w:t>
            </w:r>
          </w:p>
        </w:tc>
        <w:tc>
          <w:tcPr>
            <w:tcW w:w="1590" w:type="dxa"/>
            <w:noWrap w:val="0"/>
            <w:tcMar>
              <w:top w:w="0" w:type="dxa"/>
              <w:left w:w="105" w:type="dxa"/>
              <w:bottom w:w="0" w:type="dxa"/>
              <w:right w:w="105" w:type="dxa"/>
            </w:tcMar>
            <w:vAlign w:val="center"/>
          </w:tcPr>
          <w:p w14:paraId="7493B77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300≤Z＜5000</w:t>
            </w:r>
          </w:p>
        </w:tc>
        <w:tc>
          <w:tcPr>
            <w:tcW w:w="1376" w:type="dxa"/>
            <w:noWrap w:val="0"/>
            <w:tcMar>
              <w:top w:w="0" w:type="dxa"/>
              <w:left w:w="105" w:type="dxa"/>
              <w:bottom w:w="0" w:type="dxa"/>
              <w:right w:w="105" w:type="dxa"/>
            </w:tcMar>
            <w:vAlign w:val="center"/>
          </w:tcPr>
          <w:p w14:paraId="7255997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Z＜300</w:t>
            </w:r>
          </w:p>
        </w:tc>
      </w:tr>
      <w:tr w14:paraId="152C7663">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112ADB5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批发业</w:t>
            </w:r>
          </w:p>
        </w:tc>
        <w:tc>
          <w:tcPr>
            <w:tcW w:w="1618" w:type="dxa"/>
            <w:noWrap w:val="0"/>
            <w:tcMar>
              <w:top w:w="0" w:type="dxa"/>
              <w:left w:w="105" w:type="dxa"/>
              <w:bottom w:w="0" w:type="dxa"/>
              <w:right w:w="105" w:type="dxa"/>
            </w:tcMar>
            <w:vAlign w:val="center"/>
          </w:tcPr>
          <w:p w14:paraId="10537B9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5A4E535F">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71E673C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20≤X＜200</w:t>
            </w:r>
          </w:p>
        </w:tc>
        <w:tc>
          <w:tcPr>
            <w:tcW w:w="1590" w:type="dxa"/>
            <w:noWrap w:val="0"/>
            <w:tcMar>
              <w:top w:w="0" w:type="dxa"/>
              <w:left w:w="105" w:type="dxa"/>
              <w:bottom w:w="0" w:type="dxa"/>
              <w:right w:w="105" w:type="dxa"/>
            </w:tcMar>
            <w:vAlign w:val="center"/>
          </w:tcPr>
          <w:p w14:paraId="69F2189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5≤X＜20</w:t>
            </w:r>
          </w:p>
        </w:tc>
        <w:tc>
          <w:tcPr>
            <w:tcW w:w="1376" w:type="dxa"/>
            <w:noWrap w:val="0"/>
            <w:tcMar>
              <w:top w:w="0" w:type="dxa"/>
              <w:left w:w="105" w:type="dxa"/>
              <w:bottom w:w="0" w:type="dxa"/>
              <w:right w:w="105" w:type="dxa"/>
            </w:tcMar>
            <w:vAlign w:val="center"/>
          </w:tcPr>
          <w:p w14:paraId="7134606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X＜5</w:t>
            </w:r>
          </w:p>
        </w:tc>
      </w:tr>
      <w:tr w14:paraId="63BB2580">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5972E789">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16CEFF2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1D50F4C1">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49AD946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5000≤Y＜40000</w:t>
            </w:r>
          </w:p>
        </w:tc>
        <w:tc>
          <w:tcPr>
            <w:tcW w:w="1590" w:type="dxa"/>
            <w:noWrap w:val="0"/>
            <w:tcMar>
              <w:top w:w="0" w:type="dxa"/>
              <w:left w:w="105" w:type="dxa"/>
              <w:bottom w:w="0" w:type="dxa"/>
              <w:right w:w="105" w:type="dxa"/>
            </w:tcMar>
            <w:vAlign w:val="center"/>
          </w:tcPr>
          <w:p w14:paraId="78A6647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1000≤Y＜5000</w:t>
            </w:r>
          </w:p>
        </w:tc>
        <w:tc>
          <w:tcPr>
            <w:tcW w:w="1376" w:type="dxa"/>
            <w:noWrap w:val="0"/>
            <w:tcMar>
              <w:top w:w="0" w:type="dxa"/>
              <w:left w:w="105" w:type="dxa"/>
              <w:bottom w:w="0" w:type="dxa"/>
              <w:right w:w="105" w:type="dxa"/>
            </w:tcMar>
            <w:vAlign w:val="center"/>
          </w:tcPr>
          <w:p w14:paraId="4914AB4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Y＜1000</w:t>
            </w:r>
          </w:p>
        </w:tc>
      </w:tr>
      <w:tr w14:paraId="2E8DAE84">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6BEE67D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零售业</w:t>
            </w:r>
          </w:p>
        </w:tc>
        <w:tc>
          <w:tcPr>
            <w:tcW w:w="1618" w:type="dxa"/>
            <w:noWrap w:val="0"/>
            <w:tcMar>
              <w:top w:w="0" w:type="dxa"/>
              <w:left w:w="105" w:type="dxa"/>
              <w:bottom w:w="0" w:type="dxa"/>
              <w:right w:w="105" w:type="dxa"/>
            </w:tcMar>
            <w:vAlign w:val="center"/>
          </w:tcPr>
          <w:p w14:paraId="79DC262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7252AC4E">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45BC709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50≤X＜300</w:t>
            </w:r>
          </w:p>
        </w:tc>
        <w:tc>
          <w:tcPr>
            <w:tcW w:w="1590" w:type="dxa"/>
            <w:noWrap w:val="0"/>
            <w:tcMar>
              <w:top w:w="0" w:type="dxa"/>
              <w:left w:w="105" w:type="dxa"/>
              <w:bottom w:w="0" w:type="dxa"/>
              <w:right w:w="105" w:type="dxa"/>
            </w:tcMar>
            <w:vAlign w:val="center"/>
          </w:tcPr>
          <w:p w14:paraId="186307D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10≤X＜50</w:t>
            </w:r>
          </w:p>
        </w:tc>
        <w:tc>
          <w:tcPr>
            <w:tcW w:w="1376" w:type="dxa"/>
            <w:noWrap w:val="0"/>
            <w:tcMar>
              <w:top w:w="0" w:type="dxa"/>
              <w:left w:w="105" w:type="dxa"/>
              <w:bottom w:w="0" w:type="dxa"/>
              <w:right w:w="105" w:type="dxa"/>
            </w:tcMar>
            <w:vAlign w:val="center"/>
          </w:tcPr>
          <w:p w14:paraId="1825DF7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467DCDB4">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71552D57">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44C979D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7E4D5D6B">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5A630C0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500≤Y＜20000</w:t>
            </w:r>
          </w:p>
        </w:tc>
        <w:tc>
          <w:tcPr>
            <w:tcW w:w="1590" w:type="dxa"/>
            <w:noWrap w:val="0"/>
            <w:tcMar>
              <w:top w:w="0" w:type="dxa"/>
              <w:left w:w="105" w:type="dxa"/>
              <w:bottom w:w="0" w:type="dxa"/>
              <w:right w:w="105" w:type="dxa"/>
            </w:tcMar>
            <w:vAlign w:val="center"/>
          </w:tcPr>
          <w:p w14:paraId="38DFC22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100≤Y＜500</w:t>
            </w:r>
          </w:p>
        </w:tc>
        <w:tc>
          <w:tcPr>
            <w:tcW w:w="1376" w:type="dxa"/>
            <w:noWrap w:val="0"/>
            <w:tcMar>
              <w:top w:w="0" w:type="dxa"/>
              <w:left w:w="105" w:type="dxa"/>
              <w:bottom w:w="0" w:type="dxa"/>
              <w:right w:w="105" w:type="dxa"/>
            </w:tcMar>
            <w:vAlign w:val="center"/>
          </w:tcPr>
          <w:p w14:paraId="7ABA854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56F72C4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000193D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交通运输业</w:t>
            </w:r>
          </w:p>
        </w:tc>
        <w:tc>
          <w:tcPr>
            <w:tcW w:w="1618" w:type="dxa"/>
            <w:noWrap w:val="0"/>
            <w:tcMar>
              <w:top w:w="0" w:type="dxa"/>
              <w:left w:w="105" w:type="dxa"/>
              <w:bottom w:w="0" w:type="dxa"/>
              <w:right w:w="105" w:type="dxa"/>
            </w:tcMar>
            <w:vAlign w:val="center"/>
          </w:tcPr>
          <w:p w14:paraId="4CABB61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170336BC">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7101E75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300≤X＜1000</w:t>
            </w:r>
          </w:p>
        </w:tc>
        <w:tc>
          <w:tcPr>
            <w:tcW w:w="1590" w:type="dxa"/>
            <w:noWrap w:val="0"/>
            <w:tcMar>
              <w:top w:w="0" w:type="dxa"/>
              <w:left w:w="105" w:type="dxa"/>
              <w:bottom w:w="0" w:type="dxa"/>
              <w:right w:w="105" w:type="dxa"/>
            </w:tcMar>
            <w:vAlign w:val="center"/>
          </w:tcPr>
          <w:p w14:paraId="541D8C2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20≤X＜300</w:t>
            </w:r>
          </w:p>
        </w:tc>
        <w:tc>
          <w:tcPr>
            <w:tcW w:w="1376" w:type="dxa"/>
            <w:noWrap w:val="0"/>
            <w:tcMar>
              <w:top w:w="0" w:type="dxa"/>
              <w:left w:w="105" w:type="dxa"/>
              <w:bottom w:w="0" w:type="dxa"/>
              <w:right w:w="105" w:type="dxa"/>
            </w:tcMar>
            <w:vAlign w:val="center"/>
          </w:tcPr>
          <w:p w14:paraId="6BC5366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X＜20</w:t>
            </w:r>
          </w:p>
        </w:tc>
      </w:tr>
      <w:tr w14:paraId="721609D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2419962D">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767D80E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6FEC8997">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22C21CD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3000≤Y＜30000</w:t>
            </w:r>
          </w:p>
        </w:tc>
        <w:tc>
          <w:tcPr>
            <w:tcW w:w="1590" w:type="dxa"/>
            <w:noWrap w:val="0"/>
            <w:tcMar>
              <w:top w:w="0" w:type="dxa"/>
              <w:left w:w="105" w:type="dxa"/>
              <w:bottom w:w="0" w:type="dxa"/>
              <w:right w:w="105" w:type="dxa"/>
            </w:tcMar>
            <w:vAlign w:val="center"/>
          </w:tcPr>
          <w:p w14:paraId="643AFF1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200≤Y＜3000</w:t>
            </w:r>
          </w:p>
        </w:tc>
        <w:tc>
          <w:tcPr>
            <w:tcW w:w="1376" w:type="dxa"/>
            <w:noWrap w:val="0"/>
            <w:tcMar>
              <w:top w:w="0" w:type="dxa"/>
              <w:left w:w="105" w:type="dxa"/>
              <w:bottom w:w="0" w:type="dxa"/>
              <w:right w:w="105" w:type="dxa"/>
            </w:tcMar>
            <w:vAlign w:val="center"/>
          </w:tcPr>
          <w:p w14:paraId="66673CD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Y＜200</w:t>
            </w:r>
          </w:p>
        </w:tc>
      </w:tr>
      <w:tr w14:paraId="149E8BF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2A457D4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仓储业</w:t>
            </w:r>
          </w:p>
        </w:tc>
        <w:tc>
          <w:tcPr>
            <w:tcW w:w="1618" w:type="dxa"/>
            <w:noWrap w:val="0"/>
            <w:tcMar>
              <w:top w:w="0" w:type="dxa"/>
              <w:left w:w="105" w:type="dxa"/>
              <w:bottom w:w="0" w:type="dxa"/>
              <w:right w:w="105" w:type="dxa"/>
            </w:tcMar>
            <w:vAlign w:val="center"/>
          </w:tcPr>
          <w:p w14:paraId="60419BD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783442BD">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1B91A84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100≤X＜200</w:t>
            </w:r>
          </w:p>
        </w:tc>
        <w:tc>
          <w:tcPr>
            <w:tcW w:w="1590" w:type="dxa"/>
            <w:noWrap w:val="0"/>
            <w:tcMar>
              <w:top w:w="0" w:type="dxa"/>
              <w:left w:w="105" w:type="dxa"/>
              <w:bottom w:w="0" w:type="dxa"/>
              <w:right w:w="105" w:type="dxa"/>
            </w:tcMar>
            <w:vAlign w:val="center"/>
          </w:tcPr>
          <w:p w14:paraId="6B6E510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20≤X＜100</w:t>
            </w:r>
          </w:p>
        </w:tc>
        <w:tc>
          <w:tcPr>
            <w:tcW w:w="1376" w:type="dxa"/>
            <w:noWrap w:val="0"/>
            <w:tcMar>
              <w:top w:w="0" w:type="dxa"/>
              <w:left w:w="105" w:type="dxa"/>
              <w:bottom w:w="0" w:type="dxa"/>
              <w:right w:w="105" w:type="dxa"/>
            </w:tcMar>
            <w:vAlign w:val="center"/>
          </w:tcPr>
          <w:p w14:paraId="54751D9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X＜20</w:t>
            </w:r>
          </w:p>
        </w:tc>
      </w:tr>
      <w:tr w14:paraId="2113C53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6520306E">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52EA4D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01FFA417">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21364ED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1000≤Y＜30000</w:t>
            </w:r>
          </w:p>
        </w:tc>
        <w:tc>
          <w:tcPr>
            <w:tcW w:w="1590" w:type="dxa"/>
            <w:noWrap w:val="0"/>
            <w:tcMar>
              <w:top w:w="0" w:type="dxa"/>
              <w:left w:w="105" w:type="dxa"/>
              <w:bottom w:w="0" w:type="dxa"/>
              <w:right w:w="105" w:type="dxa"/>
            </w:tcMar>
            <w:vAlign w:val="center"/>
          </w:tcPr>
          <w:p w14:paraId="7AB0446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100≤Y＜1000</w:t>
            </w:r>
          </w:p>
        </w:tc>
        <w:tc>
          <w:tcPr>
            <w:tcW w:w="1376" w:type="dxa"/>
            <w:noWrap w:val="0"/>
            <w:tcMar>
              <w:top w:w="0" w:type="dxa"/>
              <w:left w:w="105" w:type="dxa"/>
              <w:bottom w:w="0" w:type="dxa"/>
              <w:right w:w="105" w:type="dxa"/>
            </w:tcMar>
            <w:vAlign w:val="center"/>
          </w:tcPr>
          <w:p w14:paraId="679F014F">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1835032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73DF797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邮政业</w:t>
            </w:r>
          </w:p>
        </w:tc>
        <w:tc>
          <w:tcPr>
            <w:tcW w:w="1618" w:type="dxa"/>
            <w:noWrap w:val="0"/>
            <w:tcMar>
              <w:top w:w="0" w:type="dxa"/>
              <w:left w:w="105" w:type="dxa"/>
              <w:bottom w:w="0" w:type="dxa"/>
              <w:right w:w="105" w:type="dxa"/>
            </w:tcMar>
            <w:vAlign w:val="center"/>
          </w:tcPr>
          <w:p w14:paraId="05A6D419">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77B74B40">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26F63A2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300≤X＜1000</w:t>
            </w:r>
          </w:p>
        </w:tc>
        <w:tc>
          <w:tcPr>
            <w:tcW w:w="1590" w:type="dxa"/>
            <w:noWrap w:val="0"/>
            <w:tcMar>
              <w:top w:w="0" w:type="dxa"/>
              <w:left w:w="105" w:type="dxa"/>
              <w:bottom w:w="0" w:type="dxa"/>
              <w:right w:w="105" w:type="dxa"/>
            </w:tcMar>
            <w:vAlign w:val="center"/>
          </w:tcPr>
          <w:p w14:paraId="051FF89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20≤X＜300</w:t>
            </w:r>
          </w:p>
        </w:tc>
        <w:tc>
          <w:tcPr>
            <w:tcW w:w="1376" w:type="dxa"/>
            <w:noWrap w:val="0"/>
            <w:tcMar>
              <w:top w:w="0" w:type="dxa"/>
              <w:left w:w="105" w:type="dxa"/>
              <w:bottom w:w="0" w:type="dxa"/>
              <w:right w:w="105" w:type="dxa"/>
            </w:tcMar>
            <w:vAlign w:val="center"/>
          </w:tcPr>
          <w:p w14:paraId="5C9BFC6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X＜20</w:t>
            </w:r>
          </w:p>
        </w:tc>
      </w:tr>
      <w:tr w14:paraId="18B157F0">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110B3010">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60E71E6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4AE318E8">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33FD76A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2000≤Y＜30000</w:t>
            </w:r>
          </w:p>
        </w:tc>
        <w:tc>
          <w:tcPr>
            <w:tcW w:w="1590" w:type="dxa"/>
            <w:noWrap w:val="0"/>
            <w:tcMar>
              <w:top w:w="0" w:type="dxa"/>
              <w:left w:w="105" w:type="dxa"/>
              <w:bottom w:w="0" w:type="dxa"/>
              <w:right w:w="105" w:type="dxa"/>
            </w:tcMar>
            <w:vAlign w:val="center"/>
          </w:tcPr>
          <w:p w14:paraId="1FAC900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100≤Y＜2000</w:t>
            </w:r>
          </w:p>
        </w:tc>
        <w:tc>
          <w:tcPr>
            <w:tcW w:w="1376" w:type="dxa"/>
            <w:noWrap w:val="0"/>
            <w:tcMar>
              <w:top w:w="0" w:type="dxa"/>
              <w:left w:w="105" w:type="dxa"/>
              <w:bottom w:w="0" w:type="dxa"/>
              <w:right w:w="105" w:type="dxa"/>
            </w:tcMar>
            <w:vAlign w:val="center"/>
          </w:tcPr>
          <w:p w14:paraId="02DE64F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7DC8F56E">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5F6F0E9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住宿业</w:t>
            </w:r>
          </w:p>
        </w:tc>
        <w:tc>
          <w:tcPr>
            <w:tcW w:w="1618" w:type="dxa"/>
            <w:noWrap w:val="0"/>
            <w:tcMar>
              <w:top w:w="0" w:type="dxa"/>
              <w:left w:w="105" w:type="dxa"/>
              <w:bottom w:w="0" w:type="dxa"/>
              <w:right w:w="105" w:type="dxa"/>
            </w:tcMar>
            <w:vAlign w:val="center"/>
          </w:tcPr>
          <w:p w14:paraId="02E5676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0DAEEFB5">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776DB36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590" w:type="dxa"/>
            <w:noWrap w:val="0"/>
            <w:tcMar>
              <w:top w:w="0" w:type="dxa"/>
              <w:left w:w="105" w:type="dxa"/>
              <w:bottom w:w="0" w:type="dxa"/>
              <w:right w:w="105" w:type="dxa"/>
            </w:tcMar>
            <w:vAlign w:val="center"/>
          </w:tcPr>
          <w:p w14:paraId="5DCB0AB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4076CB3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45ECC51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768FFE24">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BAF7AE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129C4C5D">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1E924BD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2000≤Y＜10000</w:t>
            </w:r>
          </w:p>
        </w:tc>
        <w:tc>
          <w:tcPr>
            <w:tcW w:w="1590" w:type="dxa"/>
            <w:noWrap w:val="0"/>
            <w:tcMar>
              <w:top w:w="0" w:type="dxa"/>
              <w:left w:w="105" w:type="dxa"/>
              <w:bottom w:w="0" w:type="dxa"/>
              <w:right w:w="105" w:type="dxa"/>
            </w:tcMar>
            <w:vAlign w:val="center"/>
          </w:tcPr>
          <w:p w14:paraId="36CE1A4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100≤Y＜2000</w:t>
            </w:r>
          </w:p>
        </w:tc>
        <w:tc>
          <w:tcPr>
            <w:tcW w:w="1376" w:type="dxa"/>
            <w:noWrap w:val="0"/>
            <w:tcMar>
              <w:top w:w="0" w:type="dxa"/>
              <w:left w:w="105" w:type="dxa"/>
              <w:bottom w:w="0" w:type="dxa"/>
              <w:right w:w="105" w:type="dxa"/>
            </w:tcMar>
            <w:vAlign w:val="center"/>
          </w:tcPr>
          <w:p w14:paraId="0BD8289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0EC8569E">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3424873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餐饮业</w:t>
            </w:r>
          </w:p>
        </w:tc>
        <w:tc>
          <w:tcPr>
            <w:tcW w:w="1618" w:type="dxa"/>
            <w:noWrap w:val="0"/>
            <w:tcMar>
              <w:top w:w="0" w:type="dxa"/>
              <w:left w:w="105" w:type="dxa"/>
              <w:bottom w:w="0" w:type="dxa"/>
              <w:right w:w="105" w:type="dxa"/>
            </w:tcMar>
            <w:vAlign w:val="center"/>
          </w:tcPr>
          <w:p w14:paraId="110AC62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420D9283">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328B31A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590" w:type="dxa"/>
            <w:noWrap w:val="0"/>
            <w:tcMar>
              <w:top w:w="0" w:type="dxa"/>
              <w:left w:w="105" w:type="dxa"/>
              <w:bottom w:w="0" w:type="dxa"/>
              <w:right w:w="105" w:type="dxa"/>
            </w:tcMar>
            <w:vAlign w:val="center"/>
          </w:tcPr>
          <w:p w14:paraId="4A836E4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6AEFEE0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2904043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16703635">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F87506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07DA5424">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6ACD213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2000≤Y＜10000</w:t>
            </w:r>
          </w:p>
        </w:tc>
        <w:tc>
          <w:tcPr>
            <w:tcW w:w="1590" w:type="dxa"/>
            <w:noWrap w:val="0"/>
            <w:tcMar>
              <w:top w:w="0" w:type="dxa"/>
              <w:left w:w="105" w:type="dxa"/>
              <w:bottom w:w="0" w:type="dxa"/>
              <w:right w:w="105" w:type="dxa"/>
            </w:tcMar>
            <w:vAlign w:val="center"/>
          </w:tcPr>
          <w:p w14:paraId="65A9344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100≤Y＜2000</w:t>
            </w:r>
          </w:p>
        </w:tc>
        <w:tc>
          <w:tcPr>
            <w:tcW w:w="1376" w:type="dxa"/>
            <w:noWrap w:val="0"/>
            <w:tcMar>
              <w:top w:w="0" w:type="dxa"/>
              <w:left w:w="105" w:type="dxa"/>
              <w:bottom w:w="0" w:type="dxa"/>
              <w:right w:w="105" w:type="dxa"/>
            </w:tcMar>
            <w:vAlign w:val="center"/>
          </w:tcPr>
          <w:p w14:paraId="1191F27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5C8B7A8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22D75F4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信息传输业</w:t>
            </w:r>
          </w:p>
        </w:tc>
        <w:tc>
          <w:tcPr>
            <w:tcW w:w="1618" w:type="dxa"/>
            <w:noWrap w:val="0"/>
            <w:tcMar>
              <w:top w:w="0" w:type="dxa"/>
              <w:left w:w="105" w:type="dxa"/>
              <w:bottom w:w="0" w:type="dxa"/>
              <w:right w:w="105" w:type="dxa"/>
            </w:tcMar>
            <w:vAlign w:val="center"/>
          </w:tcPr>
          <w:p w14:paraId="7CB65C3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0D922AB5">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62B037E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100≤X＜2000</w:t>
            </w:r>
          </w:p>
        </w:tc>
        <w:tc>
          <w:tcPr>
            <w:tcW w:w="1590" w:type="dxa"/>
            <w:noWrap w:val="0"/>
            <w:tcMar>
              <w:top w:w="0" w:type="dxa"/>
              <w:left w:w="105" w:type="dxa"/>
              <w:bottom w:w="0" w:type="dxa"/>
              <w:right w:w="105" w:type="dxa"/>
            </w:tcMar>
            <w:vAlign w:val="center"/>
          </w:tcPr>
          <w:p w14:paraId="1137B45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65DAF38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57D0DE8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5BC37DE1">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515EB45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195596C8">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199336E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1000≤Y＜100000</w:t>
            </w:r>
          </w:p>
        </w:tc>
        <w:tc>
          <w:tcPr>
            <w:tcW w:w="1590" w:type="dxa"/>
            <w:noWrap w:val="0"/>
            <w:tcMar>
              <w:top w:w="0" w:type="dxa"/>
              <w:left w:w="105" w:type="dxa"/>
              <w:bottom w:w="0" w:type="dxa"/>
              <w:right w:w="105" w:type="dxa"/>
            </w:tcMar>
            <w:vAlign w:val="center"/>
          </w:tcPr>
          <w:p w14:paraId="742C2A7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100≤Y＜1000</w:t>
            </w:r>
          </w:p>
        </w:tc>
        <w:tc>
          <w:tcPr>
            <w:tcW w:w="1376" w:type="dxa"/>
            <w:noWrap w:val="0"/>
            <w:tcMar>
              <w:top w:w="0" w:type="dxa"/>
              <w:left w:w="105" w:type="dxa"/>
              <w:bottom w:w="0" w:type="dxa"/>
              <w:right w:w="105" w:type="dxa"/>
            </w:tcMar>
            <w:vAlign w:val="center"/>
          </w:tcPr>
          <w:p w14:paraId="72019BB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7188668C">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44FFF5D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软件和信息技术服务业</w:t>
            </w:r>
          </w:p>
        </w:tc>
        <w:tc>
          <w:tcPr>
            <w:tcW w:w="1618" w:type="dxa"/>
            <w:noWrap w:val="0"/>
            <w:tcMar>
              <w:top w:w="0" w:type="dxa"/>
              <w:left w:w="105" w:type="dxa"/>
              <w:bottom w:w="0" w:type="dxa"/>
              <w:right w:w="105" w:type="dxa"/>
            </w:tcMar>
            <w:vAlign w:val="center"/>
          </w:tcPr>
          <w:p w14:paraId="6F06985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401E736E">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346FBB9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590" w:type="dxa"/>
            <w:noWrap w:val="0"/>
            <w:tcMar>
              <w:top w:w="0" w:type="dxa"/>
              <w:left w:w="105" w:type="dxa"/>
              <w:bottom w:w="0" w:type="dxa"/>
              <w:right w:w="105" w:type="dxa"/>
            </w:tcMar>
            <w:vAlign w:val="center"/>
          </w:tcPr>
          <w:p w14:paraId="50224AF7">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3478CB4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1299712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682443D5">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0B81676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33E74D65">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2060500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1000≤Y＜10000</w:t>
            </w:r>
          </w:p>
        </w:tc>
        <w:tc>
          <w:tcPr>
            <w:tcW w:w="1590" w:type="dxa"/>
            <w:noWrap w:val="0"/>
            <w:tcMar>
              <w:top w:w="0" w:type="dxa"/>
              <w:left w:w="105" w:type="dxa"/>
              <w:bottom w:w="0" w:type="dxa"/>
              <w:right w:w="105" w:type="dxa"/>
            </w:tcMar>
            <w:vAlign w:val="center"/>
          </w:tcPr>
          <w:p w14:paraId="2D7E0101">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50≤Y＜1000</w:t>
            </w:r>
          </w:p>
        </w:tc>
        <w:tc>
          <w:tcPr>
            <w:tcW w:w="1376" w:type="dxa"/>
            <w:noWrap w:val="0"/>
            <w:tcMar>
              <w:top w:w="0" w:type="dxa"/>
              <w:left w:w="105" w:type="dxa"/>
              <w:bottom w:w="0" w:type="dxa"/>
              <w:right w:w="105" w:type="dxa"/>
            </w:tcMar>
            <w:vAlign w:val="center"/>
          </w:tcPr>
          <w:p w14:paraId="589A02A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Y＜50</w:t>
            </w:r>
          </w:p>
        </w:tc>
      </w:tr>
      <w:tr w14:paraId="3C8ED874">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3CFD2A63">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房地产开发经营</w:t>
            </w:r>
          </w:p>
        </w:tc>
        <w:tc>
          <w:tcPr>
            <w:tcW w:w="1618" w:type="dxa"/>
            <w:noWrap w:val="0"/>
            <w:tcMar>
              <w:top w:w="0" w:type="dxa"/>
              <w:left w:w="105" w:type="dxa"/>
              <w:bottom w:w="0" w:type="dxa"/>
              <w:right w:w="105" w:type="dxa"/>
            </w:tcMar>
            <w:vAlign w:val="center"/>
          </w:tcPr>
          <w:p w14:paraId="6E47C7D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55EDF08E">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0A3C99A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1000≤Y＜200000</w:t>
            </w:r>
          </w:p>
        </w:tc>
        <w:tc>
          <w:tcPr>
            <w:tcW w:w="1590" w:type="dxa"/>
            <w:noWrap w:val="0"/>
            <w:tcMar>
              <w:top w:w="0" w:type="dxa"/>
              <w:left w:w="105" w:type="dxa"/>
              <w:bottom w:w="0" w:type="dxa"/>
              <w:right w:w="105" w:type="dxa"/>
            </w:tcMar>
            <w:vAlign w:val="center"/>
          </w:tcPr>
          <w:p w14:paraId="02D7038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100≤X＜1000</w:t>
            </w:r>
          </w:p>
        </w:tc>
        <w:tc>
          <w:tcPr>
            <w:tcW w:w="1376" w:type="dxa"/>
            <w:noWrap w:val="0"/>
            <w:tcMar>
              <w:top w:w="0" w:type="dxa"/>
              <w:left w:w="105" w:type="dxa"/>
              <w:bottom w:w="0" w:type="dxa"/>
              <w:right w:w="105" w:type="dxa"/>
            </w:tcMar>
            <w:vAlign w:val="center"/>
          </w:tcPr>
          <w:p w14:paraId="0567F1B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X＜100</w:t>
            </w:r>
          </w:p>
        </w:tc>
      </w:tr>
      <w:tr w14:paraId="62919D4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0586BAA5">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2B605E0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资产总额（Z）</w:t>
            </w:r>
          </w:p>
        </w:tc>
        <w:tc>
          <w:tcPr>
            <w:tcW w:w="448" w:type="dxa"/>
            <w:noWrap w:val="0"/>
            <w:tcMar>
              <w:top w:w="0" w:type="dxa"/>
              <w:left w:w="105" w:type="dxa"/>
              <w:bottom w:w="0" w:type="dxa"/>
              <w:right w:w="105" w:type="dxa"/>
            </w:tcMar>
            <w:vAlign w:val="center"/>
          </w:tcPr>
          <w:p w14:paraId="4043D1C5">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77D34F2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5000≤Z＜10000</w:t>
            </w:r>
          </w:p>
        </w:tc>
        <w:tc>
          <w:tcPr>
            <w:tcW w:w="1590" w:type="dxa"/>
            <w:noWrap w:val="0"/>
            <w:tcMar>
              <w:top w:w="0" w:type="dxa"/>
              <w:left w:w="105" w:type="dxa"/>
              <w:bottom w:w="0" w:type="dxa"/>
              <w:right w:w="105" w:type="dxa"/>
            </w:tcMar>
            <w:vAlign w:val="center"/>
          </w:tcPr>
          <w:p w14:paraId="2B5A172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2000≤Y＜5000</w:t>
            </w:r>
          </w:p>
        </w:tc>
        <w:tc>
          <w:tcPr>
            <w:tcW w:w="1376" w:type="dxa"/>
            <w:noWrap w:val="0"/>
            <w:tcMar>
              <w:top w:w="0" w:type="dxa"/>
              <w:left w:w="105" w:type="dxa"/>
              <w:bottom w:w="0" w:type="dxa"/>
              <w:right w:w="105" w:type="dxa"/>
            </w:tcMar>
            <w:vAlign w:val="center"/>
          </w:tcPr>
          <w:p w14:paraId="4DB95ED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Y＜2000</w:t>
            </w:r>
          </w:p>
        </w:tc>
      </w:tr>
      <w:tr w14:paraId="6BCEE82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7672F4FD">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物业管理</w:t>
            </w:r>
          </w:p>
        </w:tc>
        <w:tc>
          <w:tcPr>
            <w:tcW w:w="1618" w:type="dxa"/>
            <w:noWrap w:val="0"/>
            <w:tcMar>
              <w:top w:w="0" w:type="dxa"/>
              <w:left w:w="105" w:type="dxa"/>
              <w:bottom w:w="0" w:type="dxa"/>
              <w:right w:w="105" w:type="dxa"/>
            </w:tcMar>
            <w:vAlign w:val="center"/>
          </w:tcPr>
          <w:p w14:paraId="3CC1E8FB">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40932739">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65537E8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300≤X＜1000</w:t>
            </w:r>
          </w:p>
        </w:tc>
        <w:tc>
          <w:tcPr>
            <w:tcW w:w="1590" w:type="dxa"/>
            <w:noWrap w:val="0"/>
            <w:tcMar>
              <w:top w:w="0" w:type="dxa"/>
              <w:left w:w="105" w:type="dxa"/>
              <w:bottom w:w="0" w:type="dxa"/>
              <w:right w:w="105" w:type="dxa"/>
            </w:tcMar>
            <w:vAlign w:val="center"/>
          </w:tcPr>
          <w:p w14:paraId="295D5FD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376" w:type="dxa"/>
            <w:noWrap w:val="0"/>
            <w:tcMar>
              <w:top w:w="0" w:type="dxa"/>
              <w:left w:w="105" w:type="dxa"/>
              <w:bottom w:w="0" w:type="dxa"/>
              <w:right w:w="105" w:type="dxa"/>
            </w:tcMar>
            <w:vAlign w:val="center"/>
          </w:tcPr>
          <w:p w14:paraId="5A5626F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X＜100</w:t>
            </w:r>
          </w:p>
        </w:tc>
      </w:tr>
      <w:tr w14:paraId="418B349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1F1E058F">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162E638C">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营业收入（Y）</w:t>
            </w:r>
          </w:p>
        </w:tc>
        <w:tc>
          <w:tcPr>
            <w:tcW w:w="448" w:type="dxa"/>
            <w:noWrap w:val="0"/>
            <w:tcMar>
              <w:top w:w="0" w:type="dxa"/>
              <w:left w:w="105" w:type="dxa"/>
              <w:bottom w:w="0" w:type="dxa"/>
              <w:right w:w="105" w:type="dxa"/>
            </w:tcMar>
            <w:vAlign w:val="center"/>
          </w:tcPr>
          <w:p w14:paraId="4C7AB89F">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0E4FBD8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1000≤Y＜5000</w:t>
            </w:r>
          </w:p>
        </w:tc>
        <w:tc>
          <w:tcPr>
            <w:tcW w:w="1590" w:type="dxa"/>
            <w:noWrap w:val="0"/>
            <w:tcMar>
              <w:top w:w="0" w:type="dxa"/>
              <w:left w:w="105" w:type="dxa"/>
              <w:bottom w:w="0" w:type="dxa"/>
              <w:right w:w="105" w:type="dxa"/>
            </w:tcMar>
            <w:vAlign w:val="center"/>
          </w:tcPr>
          <w:p w14:paraId="3F68E59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500≤Y＜1000</w:t>
            </w:r>
          </w:p>
        </w:tc>
        <w:tc>
          <w:tcPr>
            <w:tcW w:w="1376" w:type="dxa"/>
            <w:noWrap w:val="0"/>
            <w:tcMar>
              <w:top w:w="0" w:type="dxa"/>
              <w:left w:w="105" w:type="dxa"/>
              <w:bottom w:w="0" w:type="dxa"/>
              <w:right w:w="105" w:type="dxa"/>
            </w:tcMar>
            <w:vAlign w:val="center"/>
          </w:tcPr>
          <w:p w14:paraId="0F1A88D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Y＜500</w:t>
            </w:r>
          </w:p>
        </w:tc>
      </w:tr>
      <w:tr w14:paraId="7942902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restart"/>
            <w:noWrap w:val="0"/>
            <w:tcMar>
              <w:top w:w="0" w:type="dxa"/>
              <w:left w:w="105" w:type="dxa"/>
              <w:bottom w:w="0" w:type="dxa"/>
              <w:right w:w="105" w:type="dxa"/>
            </w:tcMar>
            <w:vAlign w:val="center"/>
          </w:tcPr>
          <w:p w14:paraId="2918082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租赁和商务服务业</w:t>
            </w:r>
          </w:p>
        </w:tc>
        <w:tc>
          <w:tcPr>
            <w:tcW w:w="1618" w:type="dxa"/>
            <w:noWrap w:val="0"/>
            <w:tcMar>
              <w:top w:w="0" w:type="dxa"/>
              <w:left w:w="105" w:type="dxa"/>
              <w:bottom w:w="0" w:type="dxa"/>
              <w:right w:w="105" w:type="dxa"/>
            </w:tcMar>
            <w:vAlign w:val="center"/>
          </w:tcPr>
          <w:p w14:paraId="16C34E0F">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171840FF">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61E081A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590" w:type="dxa"/>
            <w:noWrap w:val="0"/>
            <w:tcMar>
              <w:top w:w="0" w:type="dxa"/>
              <w:left w:w="105" w:type="dxa"/>
              <w:bottom w:w="0" w:type="dxa"/>
              <w:right w:w="105" w:type="dxa"/>
            </w:tcMar>
            <w:vAlign w:val="center"/>
          </w:tcPr>
          <w:p w14:paraId="626656D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5421D58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r w14:paraId="4695580E">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vMerge w:val="continue"/>
            <w:noWrap w:val="0"/>
            <w:vAlign w:val="center"/>
          </w:tcPr>
          <w:p w14:paraId="541E9BFC">
            <w:pPr>
              <w:widowControl/>
              <w:shd w:val="clear" w:color="auto" w:fill="auto"/>
              <w:spacing w:line="360" w:lineRule="auto"/>
              <w:jc w:val="center"/>
              <w:rPr>
                <w:rFonts w:hint="eastAsia" w:ascii="宋体" w:hAnsi="宋体" w:eastAsia="宋体" w:cs="宋体"/>
                <w:color w:val="auto"/>
                <w:sz w:val="24"/>
                <w:szCs w:val="24"/>
                <w:highlight w:val="none"/>
              </w:rPr>
            </w:pPr>
          </w:p>
        </w:tc>
        <w:tc>
          <w:tcPr>
            <w:tcW w:w="1618" w:type="dxa"/>
            <w:noWrap w:val="0"/>
            <w:tcMar>
              <w:top w:w="0" w:type="dxa"/>
              <w:left w:w="105" w:type="dxa"/>
              <w:bottom w:w="0" w:type="dxa"/>
              <w:right w:w="105" w:type="dxa"/>
            </w:tcMar>
            <w:vAlign w:val="center"/>
          </w:tcPr>
          <w:p w14:paraId="562C869A">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资产总额（Z）</w:t>
            </w:r>
          </w:p>
        </w:tc>
        <w:tc>
          <w:tcPr>
            <w:tcW w:w="448" w:type="dxa"/>
            <w:noWrap w:val="0"/>
            <w:tcMar>
              <w:top w:w="0" w:type="dxa"/>
              <w:left w:w="105" w:type="dxa"/>
              <w:bottom w:w="0" w:type="dxa"/>
              <w:right w:w="105" w:type="dxa"/>
            </w:tcMar>
            <w:vAlign w:val="center"/>
          </w:tcPr>
          <w:p w14:paraId="4C11C0C2">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万元</w:t>
            </w:r>
          </w:p>
        </w:tc>
        <w:tc>
          <w:tcPr>
            <w:tcW w:w="1949" w:type="dxa"/>
            <w:noWrap w:val="0"/>
            <w:tcMar>
              <w:top w:w="0" w:type="dxa"/>
              <w:left w:w="105" w:type="dxa"/>
              <w:bottom w:w="0" w:type="dxa"/>
              <w:right w:w="105" w:type="dxa"/>
            </w:tcMar>
            <w:vAlign w:val="center"/>
          </w:tcPr>
          <w:p w14:paraId="29870BA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8000≤Z＜120000</w:t>
            </w:r>
          </w:p>
        </w:tc>
        <w:tc>
          <w:tcPr>
            <w:tcW w:w="1590" w:type="dxa"/>
            <w:noWrap w:val="0"/>
            <w:tcMar>
              <w:top w:w="0" w:type="dxa"/>
              <w:left w:w="105" w:type="dxa"/>
              <w:bottom w:w="0" w:type="dxa"/>
              <w:right w:w="105" w:type="dxa"/>
            </w:tcMar>
            <w:vAlign w:val="center"/>
          </w:tcPr>
          <w:p w14:paraId="6464F774">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100≤Z＜8000</w:t>
            </w:r>
          </w:p>
        </w:tc>
        <w:tc>
          <w:tcPr>
            <w:tcW w:w="1376" w:type="dxa"/>
            <w:noWrap w:val="0"/>
            <w:tcMar>
              <w:top w:w="0" w:type="dxa"/>
              <w:left w:w="105" w:type="dxa"/>
              <w:bottom w:w="0" w:type="dxa"/>
              <w:right w:w="105" w:type="dxa"/>
            </w:tcMar>
            <w:vAlign w:val="center"/>
          </w:tcPr>
          <w:p w14:paraId="14181268">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Y＜100</w:t>
            </w:r>
          </w:p>
        </w:tc>
      </w:tr>
      <w:tr w14:paraId="1E141825">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5" w:type="dxa"/>
            <w:bottom w:w="0" w:type="dxa"/>
            <w:right w:w="105" w:type="dxa"/>
          </w:tblCellMar>
        </w:tblPrEx>
        <w:trPr>
          <w:trHeight w:val="225" w:hRule="atLeast"/>
          <w:tblCellSpacing w:w="15" w:type="dxa"/>
          <w:jc w:val="center"/>
        </w:trPr>
        <w:tc>
          <w:tcPr>
            <w:tcW w:w="1325" w:type="dxa"/>
            <w:noWrap w:val="0"/>
            <w:tcMar>
              <w:top w:w="0" w:type="dxa"/>
              <w:left w:w="105" w:type="dxa"/>
              <w:bottom w:w="0" w:type="dxa"/>
              <w:right w:w="105" w:type="dxa"/>
            </w:tcMar>
            <w:vAlign w:val="center"/>
          </w:tcPr>
          <w:p w14:paraId="3CA02372">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其他未列明行业</w:t>
            </w:r>
          </w:p>
        </w:tc>
        <w:tc>
          <w:tcPr>
            <w:tcW w:w="1618" w:type="dxa"/>
            <w:noWrap w:val="0"/>
            <w:tcMar>
              <w:top w:w="0" w:type="dxa"/>
              <w:left w:w="105" w:type="dxa"/>
              <w:bottom w:w="0" w:type="dxa"/>
              <w:right w:w="105" w:type="dxa"/>
            </w:tcMar>
            <w:vAlign w:val="center"/>
          </w:tcPr>
          <w:p w14:paraId="0BF6A6E6">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从业人员（X）</w:t>
            </w:r>
          </w:p>
        </w:tc>
        <w:tc>
          <w:tcPr>
            <w:tcW w:w="448" w:type="dxa"/>
            <w:noWrap w:val="0"/>
            <w:tcMar>
              <w:top w:w="0" w:type="dxa"/>
              <w:left w:w="105" w:type="dxa"/>
              <w:bottom w:w="0" w:type="dxa"/>
              <w:right w:w="105" w:type="dxa"/>
            </w:tcMar>
            <w:vAlign w:val="center"/>
          </w:tcPr>
          <w:p w14:paraId="466AC1DB">
            <w:pPr>
              <w:pStyle w:val="459"/>
              <w:widowControl/>
              <w:shd w:val="clear" w:color="auto" w:fill="auto"/>
              <w:spacing w:line="360" w:lineRule="auto"/>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人</w:t>
            </w:r>
          </w:p>
        </w:tc>
        <w:tc>
          <w:tcPr>
            <w:tcW w:w="1949" w:type="dxa"/>
            <w:noWrap w:val="0"/>
            <w:tcMar>
              <w:top w:w="0" w:type="dxa"/>
              <w:left w:w="105" w:type="dxa"/>
              <w:bottom w:w="0" w:type="dxa"/>
              <w:right w:w="105" w:type="dxa"/>
            </w:tcMar>
            <w:vAlign w:val="center"/>
          </w:tcPr>
          <w:p w14:paraId="29B33930">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100≤X＜300</w:t>
            </w:r>
          </w:p>
        </w:tc>
        <w:tc>
          <w:tcPr>
            <w:tcW w:w="1590" w:type="dxa"/>
            <w:noWrap w:val="0"/>
            <w:tcMar>
              <w:top w:w="0" w:type="dxa"/>
              <w:left w:w="105" w:type="dxa"/>
              <w:bottom w:w="0" w:type="dxa"/>
              <w:right w:w="105" w:type="dxa"/>
            </w:tcMar>
            <w:vAlign w:val="center"/>
          </w:tcPr>
          <w:p w14:paraId="35D6FC9E">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10≤X＜100</w:t>
            </w:r>
          </w:p>
        </w:tc>
        <w:tc>
          <w:tcPr>
            <w:tcW w:w="1376" w:type="dxa"/>
            <w:noWrap w:val="0"/>
            <w:tcMar>
              <w:top w:w="0" w:type="dxa"/>
              <w:left w:w="105" w:type="dxa"/>
              <w:bottom w:w="0" w:type="dxa"/>
              <w:right w:w="105" w:type="dxa"/>
            </w:tcMar>
            <w:vAlign w:val="center"/>
          </w:tcPr>
          <w:p w14:paraId="7D4A8B55">
            <w:pPr>
              <w:pStyle w:val="459"/>
              <w:widowControl/>
              <w:shd w:val="clear" w:color="auto" w:fill="auto"/>
              <w:spacing w:line="360" w:lineRule="auto"/>
              <w:jc w:val="center"/>
              <w:rPr>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X＜10</w:t>
            </w:r>
          </w:p>
        </w:tc>
      </w:tr>
    </w:tbl>
    <w:p w14:paraId="597AD843">
      <w:pPr>
        <w:pStyle w:val="459"/>
        <w:widowControl/>
        <w:shd w:val="clear" w:color="auto" w:fill="auto"/>
        <w:spacing w:before="300" w:after="452" w:line="360" w:lineRule="auto"/>
        <w:ind w:firstLine="420"/>
        <w:rPr>
          <w:rStyle w:val="460"/>
          <w:rFonts w:hint="eastAsia" w:ascii="宋体" w:hAnsi="宋体" w:eastAsia="宋体" w:cs="宋体"/>
          <w:color w:val="auto"/>
          <w:sz w:val="24"/>
          <w:szCs w:val="24"/>
          <w:highlight w:val="none"/>
        </w:rPr>
      </w:pPr>
      <w:r>
        <w:rPr>
          <w:rStyle w:val="460"/>
          <w:rFonts w:hint="eastAsia" w:ascii="宋体" w:hAnsi="宋体" w:eastAsia="宋体" w:cs="宋体"/>
          <w:color w:val="auto"/>
          <w:sz w:val="24"/>
          <w:szCs w:val="24"/>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3D383080">
      <w:pPr>
        <w:rPr>
          <w:rFonts w:hint="eastAsia" w:ascii="宋体" w:hAnsi="宋体" w:eastAsia="宋体" w:cs="宋体"/>
          <w:color w:val="auto"/>
          <w:highlight w:val="none"/>
          <w:lang w:val="en-US" w:eastAsia="zh-CN"/>
        </w:rPr>
      </w:pPr>
    </w:p>
    <w:p w14:paraId="003D5D3A">
      <w:pPr>
        <w:rPr>
          <w:rFonts w:hint="eastAsia" w:ascii="宋体" w:hAnsi="宋体" w:eastAsia="宋体" w:cs="宋体"/>
          <w:color w:val="auto"/>
          <w:highlight w:val="none"/>
          <w:lang w:val="en-US" w:eastAsia="zh-CN"/>
        </w:rPr>
      </w:pPr>
    </w:p>
    <w:p w14:paraId="62143B00">
      <w:pPr>
        <w:rPr>
          <w:rFonts w:hint="eastAsia" w:ascii="宋体" w:hAnsi="宋体" w:eastAsia="宋体" w:cs="宋体"/>
          <w:color w:val="auto"/>
          <w:highlight w:val="none"/>
          <w:lang w:val="en-US" w:eastAsia="zh-CN"/>
        </w:rPr>
      </w:pPr>
    </w:p>
    <w:p w14:paraId="56CE1CD0">
      <w:pPr>
        <w:rPr>
          <w:rFonts w:hint="eastAsia" w:ascii="宋体" w:hAnsi="宋体" w:eastAsia="宋体" w:cs="宋体"/>
          <w:color w:val="auto"/>
          <w:highlight w:val="none"/>
          <w:lang w:val="en-US" w:eastAsia="zh-CN"/>
        </w:rPr>
      </w:pPr>
    </w:p>
    <w:p w14:paraId="346E3591">
      <w:pPr>
        <w:rPr>
          <w:rFonts w:hint="eastAsia" w:ascii="宋体" w:hAnsi="宋体" w:eastAsia="宋体" w:cs="宋体"/>
          <w:color w:val="auto"/>
          <w:highlight w:val="none"/>
          <w:lang w:val="en-US" w:eastAsia="zh-CN"/>
        </w:rPr>
      </w:pPr>
    </w:p>
    <w:p w14:paraId="35F6E3C8">
      <w:pPr>
        <w:rPr>
          <w:rFonts w:hint="eastAsia" w:ascii="宋体" w:hAnsi="宋体" w:eastAsia="宋体" w:cs="宋体"/>
          <w:color w:val="auto"/>
          <w:highlight w:val="none"/>
          <w:lang w:val="en-US" w:eastAsia="zh-CN"/>
        </w:rPr>
      </w:pPr>
    </w:p>
    <w:p w14:paraId="4C5469E1">
      <w:pPr>
        <w:rPr>
          <w:rFonts w:hint="eastAsia" w:ascii="宋体" w:hAnsi="宋体" w:eastAsia="宋体" w:cs="宋体"/>
          <w:color w:val="auto"/>
          <w:highlight w:val="none"/>
          <w:lang w:val="en-US" w:eastAsia="zh-CN"/>
        </w:rPr>
      </w:pPr>
    </w:p>
    <w:p w14:paraId="72D316E7">
      <w:pPr>
        <w:rPr>
          <w:rFonts w:hint="eastAsia" w:ascii="宋体" w:hAnsi="宋体" w:eastAsia="宋体" w:cs="宋体"/>
          <w:color w:val="auto"/>
          <w:highlight w:val="none"/>
          <w:lang w:val="en-US" w:eastAsia="zh-CN"/>
        </w:rPr>
      </w:pPr>
    </w:p>
    <w:p w14:paraId="41BD7FF9">
      <w:pPr>
        <w:rPr>
          <w:rFonts w:hint="eastAsia" w:ascii="宋体" w:hAnsi="宋体" w:eastAsia="宋体" w:cs="宋体"/>
          <w:color w:val="auto"/>
          <w:highlight w:val="none"/>
          <w:lang w:val="en-US" w:eastAsia="zh-CN"/>
        </w:rPr>
      </w:pPr>
    </w:p>
    <w:p w14:paraId="23C07A9A">
      <w:pPr>
        <w:rPr>
          <w:rFonts w:hint="eastAsia" w:ascii="宋体" w:hAnsi="宋体" w:eastAsia="宋体" w:cs="宋体"/>
          <w:color w:val="auto"/>
          <w:highlight w:val="none"/>
          <w:lang w:val="en-US" w:eastAsia="zh-CN"/>
        </w:rPr>
      </w:pPr>
    </w:p>
    <w:p w14:paraId="643D4295">
      <w:pPr>
        <w:rPr>
          <w:rFonts w:hint="eastAsia" w:ascii="宋体" w:hAnsi="宋体" w:eastAsia="宋体" w:cs="宋体"/>
          <w:color w:val="auto"/>
          <w:highlight w:val="none"/>
          <w:lang w:val="en-US" w:eastAsia="zh-CN"/>
        </w:rPr>
      </w:pPr>
    </w:p>
    <w:p w14:paraId="3F890054">
      <w:pPr>
        <w:rPr>
          <w:rFonts w:hint="eastAsia" w:ascii="宋体" w:hAnsi="宋体" w:eastAsia="宋体" w:cs="宋体"/>
          <w:color w:val="auto"/>
          <w:highlight w:val="none"/>
          <w:lang w:val="en-US" w:eastAsia="zh-CN"/>
        </w:rPr>
      </w:pPr>
    </w:p>
    <w:p w14:paraId="7D9DE3B3">
      <w:pPr>
        <w:rPr>
          <w:rFonts w:hint="eastAsia" w:ascii="宋体" w:hAnsi="宋体" w:eastAsia="宋体" w:cs="宋体"/>
          <w:color w:val="auto"/>
          <w:highlight w:val="none"/>
          <w:lang w:val="en-US" w:eastAsia="zh-CN"/>
        </w:rPr>
      </w:pPr>
    </w:p>
    <w:p w14:paraId="68D38B47">
      <w:pPr>
        <w:rPr>
          <w:rFonts w:hint="eastAsia" w:ascii="宋体" w:hAnsi="宋体" w:eastAsia="宋体" w:cs="宋体"/>
          <w:color w:val="auto"/>
          <w:highlight w:val="none"/>
          <w:lang w:val="en-US" w:eastAsia="zh-CN"/>
        </w:rPr>
      </w:pPr>
    </w:p>
    <w:p w14:paraId="2D3CCE19">
      <w:pPr>
        <w:rPr>
          <w:rFonts w:hint="eastAsia" w:ascii="宋体" w:hAnsi="宋体" w:eastAsia="宋体" w:cs="宋体"/>
          <w:color w:val="auto"/>
          <w:highlight w:val="none"/>
          <w:lang w:val="en-US" w:eastAsia="zh-CN"/>
        </w:rPr>
      </w:pPr>
    </w:p>
    <w:p w14:paraId="391A878C">
      <w:pPr>
        <w:rPr>
          <w:rFonts w:hint="eastAsia" w:ascii="宋体" w:hAnsi="宋体" w:eastAsia="宋体" w:cs="宋体"/>
          <w:color w:val="auto"/>
          <w:highlight w:val="none"/>
          <w:lang w:val="en-US" w:eastAsia="zh-CN"/>
        </w:rPr>
      </w:pPr>
    </w:p>
    <w:p w14:paraId="1034C90C">
      <w:pPr>
        <w:rPr>
          <w:rFonts w:hint="eastAsia" w:ascii="宋体" w:hAnsi="宋体" w:eastAsia="宋体" w:cs="宋体"/>
          <w:color w:val="auto"/>
          <w:highlight w:val="none"/>
          <w:lang w:val="en-US" w:eastAsia="zh-CN"/>
        </w:rPr>
      </w:pPr>
    </w:p>
    <w:p w14:paraId="6556116F">
      <w:pPr>
        <w:rPr>
          <w:rFonts w:hint="eastAsia" w:ascii="宋体" w:hAnsi="宋体" w:eastAsia="宋体" w:cs="宋体"/>
          <w:color w:val="auto"/>
          <w:highlight w:val="none"/>
          <w:lang w:val="en-US" w:eastAsia="zh-CN"/>
        </w:rPr>
      </w:pPr>
    </w:p>
    <w:p w14:paraId="5C72C1E6">
      <w:pPr>
        <w:rPr>
          <w:rFonts w:hint="eastAsia" w:ascii="宋体" w:hAnsi="宋体" w:eastAsia="宋体" w:cs="宋体"/>
          <w:color w:val="auto"/>
          <w:highlight w:val="none"/>
          <w:lang w:val="en-US" w:eastAsia="zh-CN"/>
        </w:rPr>
      </w:pPr>
    </w:p>
    <w:p w14:paraId="5EAD6035">
      <w:pPr>
        <w:rPr>
          <w:rFonts w:hint="eastAsia" w:ascii="宋体" w:hAnsi="宋体" w:eastAsia="宋体" w:cs="宋体"/>
          <w:color w:val="auto"/>
          <w:highlight w:val="none"/>
          <w:lang w:val="en-US" w:eastAsia="zh-CN"/>
        </w:rPr>
      </w:pPr>
    </w:p>
    <w:p w14:paraId="5212E771">
      <w:pPr>
        <w:rPr>
          <w:rFonts w:hint="eastAsia" w:ascii="宋体" w:hAnsi="宋体" w:eastAsia="宋体" w:cs="宋体"/>
          <w:color w:val="auto"/>
          <w:highlight w:val="none"/>
          <w:lang w:val="en-US" w:eastAsia="zh-CN"/>
        </w:rPr>
      </w:pPr>
    </w:p>
    <w:p w14:paraId="62003F3B">
      <w:pPr>
        <w:rPr>
          <w:rFonts w:hint="eastAsia" w:ascii="宋体" w:hAnsi="宋体" w:eastAsia="宋体" w:cs="宋体"/>
          <w:color w:val="auto"/>
          <w:highlight w:val="none"/>
          <w:lang w:val="en-US" w:eastAsia="zh-CN"/>
        </w:rPr>
      </w:pPr>
    </w:p>
    <w:p w14:paraId="3CAF03CF">
      <w:pPr>
        <w:rPr>
          <w:rFonts w:hint="eastAsia" w:ascii="宋体" w:hAnsi="宋体" w:eastAsia="宋体" w:cs="宋体"/>
          <w:color w:val="auto"/>
          <w:highlight w:val="none"/>
          <w:lang w:val="en-US" w:eastAsia="zh-CN"/>
        </w:rPr>
      </w:pPr>
    </w:p>
    <w:p w14:paraId="157E8392">
      <w:pPr>
        <w:rPr>
          <w:rFonts w:hint="eastAsia" w:ascii="宋体" w:hAnsi="宋体" w:eastAsia="宋体" w:cs="宋体"/>
          <w:color w:val="auto"/>
          <w:highlight w:val="none"/>
          <w:lang w:val="en-US" w:eastAsia="zh-CN"/>
        </w:rPr>
      </w:pPr>
    </w:p>
    <w:p w14:paraId="0FD18AC9">
      <w:pPr>
        <w:rPr>
          <w:rFonts w:hint="eastAsia" w:ascii="宋体" w:hAnsi="宋体" w:eastAsia="宋体" w:cs="宋体"/>
          <w:color w:val="auto"/>
          <w:highlight w:val="none"/>
          <w:lang w:val="en-US" w:eastAsia="zh-CN"/>
        </w:rPr>
      </w:pPr>
    </w:p>
    <w:p w14:paraId="030ED43D">
      <w:pPr>
        <w:rPr>
          <w:rFonts w:hint="eastAsia" w:ascii="宋体" w:hAnsi="宋体" w:eastAsia="宋体" w:cs="宋体"/>
          <w:color w:val="auto"/>
          <w:highlight w:val="none"/>
          <w:lang w:val="en-US" w:eastAsia="zh-CN"/>
        </w:rPr>
      </w:pPr>
    </w:p>
    <w:p w14:paraId="6EED2D4B">
      <w:pPr>
        <w:rPr>
          <w:rFonts w:hint="eastAsia" w:ascii="宋体" w:hAnsi="宋体" w:eastAsia="宋体" w:cs="宋体"/>
          <w:color w:val="auto"/>
          <w:highlight w:val="none"/>
          <w:lang w:val="en-US" w:eastAsia="zh-CN"/>
        </w:rPr>
      </w:pPr>
    </w:p>
    <w:p w14:paraId="3C3A9CA3">
      <w:pPr>
        <w:rPr>
          <w:rFonts w:hint="eastAsia" w:ascii="宋体" w:hAnsi="宋体" w:eastAsia="宋体" w:cs="宋体"/>
          <w:color w:val="auto"/>
          <w:highlight w:val="none"/>
          <w:lang w:val="en-US" w:eastAsia="zh-CN"/>
        </w:rPr>
      </w:pPr>
    </w:p>
    <w:p w14:paraId="6406E5F7">
      <w:pPr>
        <w:rPr>
          <w:rFonts w:hint="eastAsia" w:ascii="宋体" w:hAnsi="宋体" w:eastAsia="宋体" w:cs="宋体"/>
          <w:color w:val="auto"/>
          <w:highlight w:val="none"/>
          <w:lang w:val="en-US" w:eastAsia="zh-CN"/>
        </w:rPr>
      </w:pPr>
    </w:p>
    <w:p w14:paraId="2320AE15">
      <w:pPr>
        <w:rPr>
          <w:rFonts w:hint="eastAsia" w:ascii="宋体" w:hAnsi="宋体" w:eastAsia="宋体" w:cs="宋体"/>
          <w:color w:val="auto"/>
          <w:highlight w:val="none"/>
          <w:lang w:val="en-US" w:eastAsia="zh-CN"/>
        </w:rPr>
      </w:pPr>
    </w:p>
    <w:p w14:paraId="16A72514">
      <w:pPr>
        <w:rPr>
          <w:rFonts w:hint="eastAsia" w:ascii="宋体" w:hAnsi="宋体" w:eastAsia="宋体" w:cs="宋体"/>
          <w:color w:val="auto"/>
          <w:highlight w:val="none"/>
          <w:lang w:val="en-US" w:eastAsia="zh-CN"/>
        </w:rPr>
      </w:pPr>
    </w:p>
    <w:p w14:paraId="5EEAB282">
      <w:pPr>
        <w:rPr>
          <w:rFonts w:hint="eastAsia" w:ascii="宋体" w:hAnsi="宋体" w:eastAsia="宋体" w:cs="宋体"/>
          <w:color w:val="auto"/>
          <w:highlight w:val="none"/>
          <w:lang w:val="en-US" w:eastAsia="zh-CN"/>
        </w:rPr>
      </w:pPr>
    </w:p>
    <w:p w14:paraId="705E6E71">
      <w:pPr>
        <w:rPr>
          <w:rFonts w:hint="eastAsia" w:ascii="宋体" w:hAnsi="宋体" w:eastAsia="宋体" w:cs="宋体"/>
          <w:color w:val="auto"/>
          <w:highlight w:val="none"/>
          <w:lang w:val="en-US" w:eastAsia="zh-CN"/>
        </w:rPr>
      </w:pPr>
    </w:p>
    <w:p w14:paraId="3E3116FE">
      <w:pPr>
        <w:rPr>
          <w:rFonts w:hint="eastAsia" w:ascii="宋体" w:hAnsi="宋体" w:eastAsia="宋体" w:cs="宋体"/>
          <w:color w:val="auto"/>
          <w:highlight w:val="none"/>
          <w:lang w:val="en-US" w:eastAsia="zh-CN"/>
        </w:rPr>
      </w:pPr>
    </w:p>
    <w:p w14:paraId="2751B2E0">
      <w:pPr>
        <w:rPr>
          <w:rFonts w:hint="eastAsia" w:ascii="宋体" w:hAnsi="宋体" w:eastAsia="宋体" w:cs="宋体"/>
          <w:color w:val="auto"/>
          <w:highlight w:val="none"/>
          <w:lang w:val="en-US" w:eastAsia="zh-CN"/>
        </w:rPr>
      </w:pPr>
    </w:p>
    <w:p w14:paraId="1E74760C">
      <w:pPr>
        <w:rPr>
          <w:rFonts w:hint="eastAsia" w:ascii="宋体" w:hAnsi="宋体" w:eastAsia="宋体" w:cs="宋体"/>
          <w:color w:val="auto"/>
          <w:highlight w:val="none"/>
          <w:lang w:val="en-US" w:eastAsia="zh-CN"/>
        </w:rPr>
      </w:pPr>
    </w:p>
    <w:p w14:paraId="5D3AE678">
      <w:pPr>
        <w:rPr>
          <w:rFonts w:hint="eastAsia" w:ascii="宋体" w:hAnsi="宋体" w:eastAsia="宋体" w:cs="宋体"/>
          <w:color w:val="auto"/>
          <w:highlight w:val="none"/>
          <w:lang w:val="en-US" w:eastAsia="zh-CN"/>
        </w:rPr>
      </w:pPr>
    </w:p>
    <w:p w14:paraId="788511FF">
      <w:pPr>
        <w:rPr>
          <w:rFonts w:hint="eastAsia" w:ascii="宋体" w:hAnsi="宋体" w:eastAsia="宋体" w:cs="宋体"/>
          <w:color w:val="auto"/>
          <w:highlight w:val="none"/>
          <w:lang w:val="en-US" w:eastAsia="zh-CN"/>
        </w:rPr>
      </w:pPr>
    </w:p>
    <w:p w14:paraId="10543850">
      <w:pPr>
        <w:pStyle w:val="418"/>
        <w:numPr>
          <w:ilvl w:val="0"/>
          <w:numId w:val="0"/>
        </w:numPr>
        <w:outlineLvl w:val="1"/>
        <w:rPr>
          <w:rFonts w:hint="eastAsia" w:cs="Times New Roman"/>
          <w:color w:val="auto"/>
          <w:highlight w:val="none"/>
        </w:rPr>
      </w:pPr>
      <w:r>
        <w:rPr>
          <w:rFonts w:hint="eastAsia" w:cs="Times New Roman"/>
          <w:color w:val="auto"/>
          <w:highlight w:val="none"/>
          <w:lang w:val="en-US" w:eastAsia="zh-CN"/>
        </w:rPr>
        <w:t>十一</w:t>
      </w:r>
      <w:r>
        <w:rPr>
          <w:rFonts w:hint="eastAsia" w:cs="Times New Roman"/>
          <w:color w:val="auto"/>
          <w:highlight w:val="none"/>
        </w:rPr>
        <w:t>、法定代表人身份证明或授权委托书</w:t>
      </w:r>
      <w:bookmarkEnd w:id="127"/>
      <w:bookmarkEnd w:id="128"/>
    </w:p>
    <w:p w14:paraId="6D18A7A4">
      <w:pPr>
        <w:pStyle w:val="374"/>
        <w:rPr>
          <w:rFonts w:hint="eastAsia" w:ascii="宋体" w:hAnsi="宋体" w:cs="宋体"/>
          <w:color w:val="auto"/>
          <w:highlight w:val="none"/>
        </w:rPr>
      </w:pPr>
    </w:p>
    <w:p w14:paraId="2AAD1B5D">
      <w:pPr>
        <w:pStyle w:val="265"/>
        <w:spacing w:line="56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25BB6ABD">
      <w:pPr>
        <w:pStyle w:val="416"/>
        <w:spacing w:line="480" w:lineRule="exact"/>
        <w:rPr>
          <w:rFonts w:hint="eastAsia" w:ascii="宋体" w:hAnsi="宋体" w:cs="宋体"/>
          <w:color w:val="auto"/>
          <w:sz w:val="24"/>
          <w:highlight w:val="none"/>
        </w:rPr>
      </w:pPr>
    </w:p>
    <w:p w14:paraId="15E77B1F">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供应商名称：</w:t>
      </w:r>
    </w:p>
    <w:p w14:paraId="07877E3C">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单位性质：</w:t>
      </w:r>
    </w:p>
    <w:p w14:paraId="1438E2C7">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地址：</w:t>
      </w:r>
    </w:p>
    <w:p w14:paraId="5FCDB0D7">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成立时间：年月日</w:t>
      </w:r>
    </w:p>
    <w:p w14:paraId="5F7E47A8">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经营期限：</w:t>
      </w:r>
    </w:p>
    <w:p w14:paraId="0C8D35D6">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姓名：性别：年龄：职务：系</w:t>
      </w:r>
    </w:p>
    <w:p w14:paraId="67DAC8F9">
      <w:pPr>
        <w:pStyle w:val="416"/>
        <w:spacing w:line="480" w:lineRule="exact"/>
        <w:rPr>
          <w:rFonts w:hint="eastAsia" w:ascii="宋体" w:hAnsi="宋体" w:cs="宋体"/>
          <w:color w:val="auto"/>
          <w:sz w:val="24"/>
          <w:highlight w:val="none"/>
        </w:rPr>
      </w:pPr>
      <w:r>
        <w:rPr>
          <w:rFonts w:hint="eastAsia" w:ascii="宋体" w:hAnsi="宋体" w:cs="宋体"/>
          <w:color w:val="auto"/>
          <w:sz w:val="24"/>
          <w:highlight w:val="none"/>
        </w:rPr>
        <w:t>（供应商名称）的法定代表人。</w:t>
      </w:r>
    </w:p>
    <w:p w14:paraId="1558747C">
      <w:pPr>
        <w:pStyle w:val="416"/>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特此证明。</w:t>
      </w:r>
    </w:p>
    <w:p w14:paraId="28CD297D">
      <w:pPr>
        <w:pStyle w:val="359"/>
        <w:spacing w:line="600" w:lineRule="exact"/>
        <w:rPr>
          <w:rFonts w:hint="eastAsia" w:ascii="宋体" w:hAnsi="宋体" w:cs="宋体"/>
          <w:b/>
          <w:color w:val="auto"/>
          <w:sz w:val="24"/>
          <w:highlight w:val="none"/>
        </w:rPr>
      </w:pPr>
      <w:r>
        <w:rPr>
          <w:rFonts w:hint="eastAsia" w:ascii="宋体" w:hAnsi="宋体" w:cs="宋体"/>
          <w:b/>
          <w:color w:val="auto"/>
          <w:sz w:val="24"/>
          <w:highlight w:val="none"/>
        </w:rPr>
        <w:t>（法定代表人出席磋商会议的提供，未出席的可不提供。附法定代表人身份证复印件。）</w:t>
      </w:r>
    </w:p>
    <w:p w14:paraId="01BC403D">
      <w:pPr>
        <w:pStyle w:val="416"/>
        <w:spacing w:line="480" w:lineRule="exact"/>
        <w:ind w:firstLine="480" w:firstLineChars="200"/>
        <w:rPr>
          <w:rFonts w:hint="eastAsia" w:ascii="宋体" w:hAnsi="宋体" w:cs="宋体"/>
          <w:color w:val="auto"/>
          <w:sz w:val="24"/>
          <w:highlight w:val="none"/>
        </w:rPr>
      </w:pPr>
    </w:p>
    <w:p w14:paraId="4F22DF8F">
      <w:pPr>
        <w:pStyle w:val="416"/>
        <w:spacing w:line="480" w:lineRule="exact"/>
        <w:jc w:val="right"/>
        <w:rPr>
          <w:rFonts w:hint="eastAsia" w:ascii="宋体" w:hAnsi="宋体" w:cs="宋体"/>
          <w:color w:val="auto"/>
          <w:sz w:val="24"/>
          <w:highlight w:val="none"/>
        </w:rPr>
      </w:pPr>
    </w:p>
    <w:p w14:paraId="2A4A72AC">
      <w:pPr>
        <w:pStyle w:val="416"/>
        <w:spacing w:line="480" w:lineRule="exact"/>
        <w:jc w:val="right"/>
        <w:rPr>
          <w:rFonts w:hint="eastAsia" w:ascii="宋体" w:hAnsi="宋体" w:cs="宋体"/>
          <w:color w:val="auto"/>
          <w:sz w:val="24"/>
          <w:highlight w:val="none"/>
        </w:rPr>
      </w:pPr>
    </w:p>
    <w:p w14:paraId="0BDE9C50">
      <w:pPr>
        <w:pStyle w:val="416"/>
        <w:spacing w:line="480" w:lineRule="exact"/>
        <w:jc w:val="right"/>
        <w:rPr>
          <w:rFonts w:hint="eastAsia" w:ascii="宋体" w:hAnsi="宋体" w:cs="宋体"/>
          <w:color w:val="auto"/>
          <w:sz w:val="24"/>
          <w:highlight w:val="none"/>
        </w:rPr>
      </w:pPr>
    </w:p>
    <w:p w14:paraId="44BFB4A3">
      <w:pPr>
        <w:pStyle w:val="359"/>
        <w:spacing w:line="700" w:lineRule="exact"/>
        <w:ind w:firstLine="445"/>
        <w:jc w:val="right"/>
        <w:rPr>
          <w:rFonts w:hint="eastAsia" w:ascii="宋体" w:hAnsi="宋体" w:cs="宋体"/>
          <w:color w:val="auto"/>
          <w:sz w:val="24"/>
          <w:highlight w:val="none"/>
        </w:rPr>
      </w:pPr>
      <w:r>
        <w:rPr>
          <w:rFonts w:hint="eastAsia" w:ascii="宋体" w:hAnsi="宋体" w:cs="宋体"/>
          <w:color w:val="auto"/>
          <w:sz w:val="24"/>
          <w:highlight w:val="none"/>
        </w:rPr>
        <w:t>单位名称：（签章）</w:t>
      </w:r>
    </w:p>
    <w:p w14:paraId="763E64ED">
      <w:pPr>
        <w:pStyle w:val="265"/>
        <w:spacing w:line="560" w:lineRule="exact"/>
        <w:ind w:firstLine="424" w:firstLineChars="177"/>
        <w:jc w:val="right"/>
        <w:rPr>
          <w:rFonts w:hint="eastAsia" w:ascii="宋体" w:hAnsi="宋体" w:cs="宋体"/>
          <w:color w:val="auto"/>
          <w:sz w:val="24"/>
          <w:highlight w:val="none"/>
        </w:rPr>
      </w:pPr>
      <w:r>
        <w:rPr>
          <w:rFonts w:hint="eastAsia" w:ascii="宋体" w:hAnsi="宋体" w:cs="宋体"/>
          <w:color w:val="auto"/>
          <w:sz w:val="24"/>
          <w:highlight w:val="none"/>
        </w:rPr>
        <w:t>法定代表人：（签章）</w:t>
      </w:r>
    </w:p>
    <w:p w14:paraId="0A6BEA5D">
      <w:pPr>
        <w:pStyle w:val="424"/>
        <w:spacing w:line="700" w:lineRule="exact"/>
        <w:ind w:firstLine="988" w:firstLineChars="412"/>
        <w:jc w:val="right"/>
        <w:rPr>
          <w:rFonts w:hint="eastAsia" w:ascii="宋体" w:hAnsi="宋体" w:cs="宋体"/>
          <w:color w:val="auto"/>
          <w:sz w:val="24"/>
          <w:highlight w:val="none"/>
          <w:u w:val="single"/>
        </w:rPr>
      </w:pP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14:paraId="74A394C8">
      <w:pPr>
        <w:pStyle w:val="374"/>
        <w:jc w:val="right"/>
        <w:rPr>
          <w:rFonts w:hint="eastAsia" w:ascii="宋体" w:hAnsi="宋体" w:cs="宋体"/>
          <w:color w:val="auto"/>
          <w:highlight w:val="none"/>
        </w:rPr>
      </w:pPr>
    </w:p>
    <w:p w14:paraId="3D032D27">
      <w:pPr>
        <w:pStyle w:val="374"/>
        <w:rPr>
          <w:rFonts w:hint="eastAsia" w:ascii="宋体" w:hAnsi="宋体" w:cs="宋体"/>
          <w:color w:val="auto"/>
          <w:highlight w:val="none"/>
        </w:rPr>
      </w:pPr>
    </w:p>
    <w:p w14:paraId="26F66492">
      <w:pPr>
        <w:pStyle w:val="374"/>
        <w:rPr>
          <w:rFonts w:hint="eastAsia" w:ascii="宋体" w:hAnsi="宋体" w:cs="宋体"/>
          <w:color w:val="auto"/>
          <w:highlight w:val="none"/>
        </w:rPr>
      </w:pPr>
    </w:p>
    <w:p w14:paraId="570434A8">
      <w:pPr>
        <w:pStyle w:val="374"/>
        <w:rPr>
          <w:rFonts w:hint="eastAsia" w:ascii="宋体" w:hAnsi="宋体" w:cs="宋体"/>
          <w:color w:val="auto"/>
          <w:highlight w:val="none"/>
        </w:rPr>
      </w:pPr>
    </w:p>
    <w:p w14:paraId="191C1B25">
      <w:pPr>
        <w:pStyle w:val="374"/>
        <w:rPr>
          <w:rFonts w:hint="eastAsia" w:ascii="宋体" w:hAnsi="宋体" w:cs="宋体"/>
          <w:color w:val="auto"/>
          <w:highlight w:val="none"/>
        </w:rPr>
      </w:pPr>
    </w:p>
    <w:p w14:paraId="17F3CAC4">
      <w:pPr>
        <w:pStyle w:val="374"/>
        <w:rPr>
          <w:rFonts w:hint="eastAsia" w:ascii="宋体" w:hAnsi="宋体" w:cs="宋体"/>
          <w:color w:val="auto"/>
          <w:highlight w:val="none"/>
        </w:rPr>
      </w:pPr>
    </w:p>
    <w:p w14:paraId="09428C18">
      <w:pPr>
        <w:pStyle w:val="374"/>
        <w:rPr>
          <w:rFonts w:hint="eastAsia" w:ascii="宋体" w:hAnsi="宋体" w:cs="宋体"/>
          <w:color w:val="auto"/>
          <w:highlight w:val="none"/>
        </w:rPr>
      </w:pPr>
    </w:p>
    <w:p w14:paraId="3319A02F">
      <w:pPr>
        <w:pStyle w:val="374"/>
        <w:rPr>
          <w:rFonts w:hint="eastAsia" w:ascii="宋体" w:hAnsi="宋体" w:cs="宋体"/>
          <w:color w:val="auto"/>
          <w:highlight w:val="none"/>
        </w:rPr>
      </w:pPr>
    </w:p>
    <w:p w14:paraId="70A1CF8D">
      <w:pPr>
        <w:pStyle w:val="374"/>
        <w:rPr>
          <w:rFonts w:hint="eastAsia" w:ascii="宋体" w:hAnsi="宋体" w:cs="宋体"/>
          <w:color w:val="auto"/>
          <w:highlight w:val="none"/>
        </w:rPr>
      </w:pPr>
    </w:p>
    <w:p w14:paraId="3DC48D72">
      <w:pPr>
        <w:pStyle w:val="374"/>
        <w:rPr>
          <w:rFonts w:hint="eastAsia" w:ascii="宋体" w:hAnsi="宋体" w:cs="宋体"/>
          <w:color w:val="auto"/>
          <w:highlight w:val="none"/>
        </w:rPr>
      </w:pPr>
    </w:p>
    <w:p w14:paraId="10EC779C">
      <w:pPr>
        <w:pStyle w:val="374"/>
        <w:rPr>
          <w:rFonts w:hint="eastAsia" w:ascii="宋体" w:hAnsi="宋体" w:cs="宋体"/>
          <w:color w:val="auto"/>
          <w:highlight w:val="none"/>
        </w:rPr>
      </w:pPr>
    </w:p>
    <w:p w14:paraId="4FE5A397">
      <w:pPr>
        <w:pStyle w:val="265"/>
        <w:spacing w:line="560" w:lineRule="exact"/>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法定代表人授权委托书</w:t>
      </w:r>
    </w:p>
    <w:p w14:paraId="63084E07">
      <w:pPr>
        <w:pStyle w:val="265"/>
        <w:spacing w:line="600" w:lineRule="exact"/>
        <w:rPr>
          <w:rFonts w:hint="eastAsia" w:ascii="宋体" w:hAnsi="宋体" w:cs="宋体"/>
          <w:color w:val="auto"/>
          <w:sz w:val="32"/>
          <w:highlight w:val="none"/>
        </w:rPr>
      </w:pPr>
    </w:p>
    <w:p w14:paraId="07D781B2">
      <w:pPr>
        <w:pStyle w:val="261"/>
        <w:tabs>
          <w:tab w:val="left" w:pos="1498"/>
        </w:tabs>
        <w:spacing w:line="580" w:lineRule="exact"/>
        <w:rPr>
          <w:rFonts w:hint="eastAsia" w:ascii="宋体" w:hAnsi="宋体" w:cs="宋体"/>
          <w:color w:val="auto"/>
          <w:sz w:val="24"/>
          <w:szCs w:val="22"/>
          <w:highlight w:val="none"/>
        </w:rPr>
      </w:pPr>
      <w:r>
        <w:rPr>
          <w:rFonts w:hint="eastAsia" w:ascii="宋体" w:hAnsi="宋体" w:cs="宋体"/>
          <w:color w:val="auto"/>
          <w:sz w:val="24"/>
          <w:highlight w:val="none"/>
          <w:u w:val="single"/>
        </w:rPr>
        <w:t>（采购人）</w:t>
      </w:r>
      <w:r>
        <w:rPr>
          <w:rFonts w:hint="eastAsia" w:ascii="宋体" w:hAnsi="宋体" w:cs="宋体"/>
          <w:color w:val="auto"/>
          <w:sz w:val="24"/>
          <w:highlight w:val="none"/>
        </w:rPr>
        <w:t>：</w:t>
      </w:r>
    </w:p>
    <w:p w14:paraId="1D22B12A">
      <w:pPr>
        <w:pStyle w:val="265"/>
        <w:spacing w:line="600" w:lineRule="exact"/>
        <w:rPr>
          <w:rFonts w:hint="eastAsia" w:ascii="宋体" w:hAnsi="宋体" w:cs="宋体"/>
          <w:color w:val="auto"/>
          <w:sz w:val="24"/>
          <w:highlight w:val="none"/>
        </w:rPr>
      </w:pPr>
      <w:r>
        <w:rPr>
          <w:rFonts w:hint="eastAsia" w:ascii="宋体" w:hAnsi="宋体" w:cs="宋体"/>
          <w:color w:val="auto"/>
          <w:sz w:val="24"/>
          <w:highlight w:val="none"/>
        </w:rPr>
        <w:t>法定代表人授权我单位为我单位本次授权代理人，全权处理此次</w:t>
      </w:r>
      <w:r>
        <w:rPr>
          <w:rFonts w:hint="eastAsia" w:ascii="宋体" w:hAnsi="宋体" w:cs="宋体"/>
          <w:color w:val="auto"/>
          <w:kern w:val="10"/>
          <w:sz w:val="24"/>
          <w:highlight w:val="none"/>
          <w:lang w:eastAsia="zh-CN"/>
        </w:rPr>
        <w:t>磋商</w:t>
      </w:r>
      <w:r>
        <w:rPr>
          <w:rFonts w:hint="eastAsia" w:ascii="宋体" w:hAnsi="宋体" w:cs="宋体"/>
          <w:color w:val="auto"/>
          <w:sz w:val="24"/>
          <w:highlight w:val="none"/>
        </w:rPr>
        <w:t>活动的一切事宜。</w:t>
      </w:r>
    </w:p>
    <w:p w14:paraId="3956B602">
      <w:pPr>
        <w:pStyle w:val="265"/>
        <w:spacing w:line="600" w:lineRule="exact"/>
        <w:ind w:firstLine="630"/>
        <w:rPr>
          <w:rFonts w:hint="eastAsia" w:ascii="宋体" w:hAnsi="宋体" w:cs="宋体"/>
          <w:color w:val="auto"/>
          <w:sz w:val="24"/>
          <w:highlight w:val="none"/>
        </w:rPr>
      </w:pPr>
      <w:r>
        <w:rPr>
          <w:rFonts w:hint="eastAsia" w:ascii="宋体" w:hAnsi="宋体" w:cs="宋体"/>
          <w:color w:val="auto"/>
          <w:sz w:val="24"/>
          <w:highlight w:val="none"/>
        </w:rPr>
        <w:t>特此授权</w:t>
      </w:r>
    </w:p>
    <w:p w14:paraId="6333F807">
      <w:pPr>
        <w:pStyle w:val="265"/>
        <w:spacing w:line="600" w:lineRule="exact"/>
        <w:rPr>
          <w:rFonts w:hint="eastAsia" w:ascii="宋体" w:hAnsi="宋体" w:cs="宋体"/>
          <w:b/>
          <w:color w:val="auto"/>
          <w:sz w:val="24"/>
          <w:highlight w:val="none"/>
        </w:rPr>
      </w:pPr>
      <w:r>
        <w:rPr>
          <w:rFonts w:hint="eastAsia" w:ascii="宋体" w:hAnsi="宋体" w:cs="宋体"/>
          <w:b/>
          <w:color w:val="auto"/>
          <w:sz w:val="24"/>
          <w:highlight w:val="none"/>
        </w:rPr>
        <w:t>（授权委托人出席磋商会议的提供。附法定代表人、授权委托人身份证复印件</w:t>
      </w:r>
      <w:r>
        <w:rPr>
          <w:rFonts w:hint="eastAsia" w:ascii="宋体" w:hAnsi="宋体" w:cs="宋体"/>
          <w:b/>
          <w:color w:val="auto"/>
          <w:sz w:val="24"/>
          <w:highlight w:val="none"/>
          <w:lang w:eastAsia="zh-CN"/>
        </w:rPr>
        <w:t>，</w:t>
      </w:r>
      <w:r>
        <w:rPr>
          <w:rFonts w:hint="eastAsia" w:hAnsi="宋体"/>
          <w:b/>
          <w:bCs/>
          <w:color w:val="auto"/>
          <w:sz w:val="24"/>
          <w:highlight w:val="none"/>
          <w:lang w:val="en-US" w:eastAsia="zh-CN"/>
        </w:rPr>
        <w:t>开标前3个月内任意一个月投标单位为其缴纳的社保证明</w:t>
      </w:r>
      <w:r>
        <w:rPr>
          <w:rFonts w:hint="eastAsia" w:ascii="宋体" w:hAnsi="宋体" w:cs="宋体"/>
          <w:b/>
          <w:color w:val="auto"/>
          <w:sz w:val="24"/>
          <w:highlight w:val="none"/>
        </w:rPr>
        <w:t>）</w:t>
      </w:r>
    </w:p>
    <w:p w14:paraId="55160466">
      <w:pPr>
        <w:pStyle w:val="265"/>
        <w:spacing w:line="600" w:lineRule="exact"/>
        <w:ind w:firstLine="630"/>
        <w:rPr>
          <w:rFonts w:hint="eastAsia" w:ascii="宋体" w:hAnsi="宋体" w:cs="宋体"/>
          <w:color w:val="auto"/>
          <w:sz w:val="24"/>
          <w:highlight w:val="none"/>
        </w:rPr>
      </w:pPr>
    </w:p>
    <w:p w14:paraId="37BE05B4">
      <w:pPr>
        <w:pStyle w:val="265"/>
        <w:spacing w:line="700" w:lineRule="exact"/>
        <w:ind w:firstLine="629"/>
        <w:jc w:val="right"/>
        <w:rPr>
          <w:rFonts w:hint="eastAsia" w:ascii="宋体" w:hAnsi="宋体" w:cs="宋体"/>
          <w:color w:val="auto"/>
          <w:sz w:val="24"/>
          <w:highlight w:val="none"/>
        </w:rPr>
      </w:pPr>
      <w:r>
        <w:rPr>
          <w:rFonts w:hint="eastAsia" w:ascii="宋体" w:hAnsi="宋体" w:cs="宋体"/>
          <w:color w:val="auto"/>
          <w:sz w:val="24"/>
          <w:highlight w:val="none"/>
        </w:rPr>
        <w:t>单位名称：（签章）</w:t>
      </w:r>
    </w:p>
    <w:p w14:paraId="3A814D5F">
      <w:pPr>
        <w:pStyle w:val="265"/>
        <w:spacing w:line="700" w:lineRule="exact"/>
        <w:ind w:firstLine="629"/>
        <w:jc w:val="right"/>
        <w:rPr>
          <w:rFonts w:hint="eastAsia" w:ascii="宋体" w:hAnsi="宋体" w:cs="宋体"/>
          <w:color w:val="auto"/>
          <w:sz w:val="24"/>
          <w:highlight w:val="none"/>
        </w:rPr>
      </w:pPr>
      <w:r>
        <w:rPr>
          <w:rFonts w:hint="eastAsia" w:ascii="宋体" w:hAnsi="宋体" w:cs="宋体"/>
          <w:color w:val="auto"/>
          <w:sz w:val="24"/>
          <w:highlight w:val="none"/>
        </w:rPr>
        <w:t>法定代表人：（签章）</w:t>
      </w:r>
    </w:p>
    <w:p w14:paraId="60492562">
      <w:pPr>
        <w:pStyle w:val="265"/>
        <w:spacing w:line="700" w:lineRule="exact"/>
        <w:ind w:firstLine="629"/>
        <w:jc w:val="right"/>
        <w:rPr>
          <w:rFonts w:hint="eastAsia" w:ascii="宋体" w:hAnsi="宋体" w:cs="宋体"/>
          <w:color w:val="auto"/>
          <w:sz w:val="24"/>
          <w:highlight w:val="none"/>
        </w:rPr>
      </w:pPr>
      <w:r>
        <w:rPr>
          <w:rFonts w:hint="eastAsia" w:ascii="宋体" w:hAnsi="宋体" w:cs="宋体"/>
          <w:color w:val="auto"/>
          <w:sz w:val="24"/>
          <w:highlight w:val="none"/>
        </w:rPr>
        <w:t>法人授权代表：（签字）</w:t>
      </w:r>
    </w:p>
    <w:p w14:paraId="4B350D8F">
      <w:pPr>
        <w:pStyle w:val="424"/>
        <w:spacing w:line="700" w:lineRule="exact"/>
        <w:ind w:firstLine="988" w:firstLineChars="412"/>
        <w:jc w:val="right"/>
        <w:rPr>
          <w:rFonts w:hint="eastAsia" w:ascii="宋体" w:hAnsi="宋体" w:cs="宋体"/>
          <w:color w:val="auto"/>
          <w:sz w:val="24"/>
          <w:highlight w:val="none"/>
          <w:u w:val="single"/>
        </w:rPr>
      </w:pP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日</w:t>
      </w:r>
    </w:p>
    <w:p w14:paraId="27FA5619">
      <w:pPr>
        <w:pStyle w:val="261"/>
        <w:spacing w:line="700" w:lineRule="exact"/>
        <w:ind w:firstLine="629"/>
        <w:jc w:val="right"/>
        <w:rPr>
          <w:rFonts w:hint="eastAsia" w:ascii="宋体" w:hAnsi="宋体" w:cs="宋体"/>
          <w:color w:val="auto"/>
          <w:sz w:val="24"/>
          <w:highlight w:val="none"/>
        </w:rPr>
      </w:pPr>
      <w:r>
        <w:rPr>
          <w:rFonts w:hint="eastAsia" w:ascii="宋体" w:hAnsi="宋体" w:eastAsia="宋体" w:cs="宋体"/>
          <w:color w:val="auto"/>
          <w:highlight w:val="none"/>
        </w:rPr>
        <w:br w:type="page"/>
      </w:r>
    </w:p>
    <w:p w14:paraId="0F3442C2">
      <w:pPr>
        <w:pStyle w:val="283"/>
        <w:outlineLvl w:val="1"/>
        <w:rPr>
          <w:rFonts w:hint="eastAsia"/>
          <w:color w:val="auto"/>
          <w:highlight w:val="none"/>
          <w:lang w:val="en-US" w:eastAsia="zh-CN"/>
        </w:rPr>
      </w:pPr>
      <w:r>
        <w:rPr>
          <w:rFonts w:hint="eastAsia"/>
          <w:color w:val="auto"/>
          <w:highlight w:val="none"/>
          <w:lang w:val="en-US" w:eastAsia="zh-CN"/>
        </w:rPr>
        <w:t>十二、响应偏差表</w:t>
      </w:r>
      <w:bookmarkEnd w:id="124"/>
      <w:bookmarkEnd w:id="125"/>
      <w:bookmarkEnd w:id="126"/>
    </w:p>
    <w:p w14:paraId="3129B4F8">
      <w:pPr>
        <w:pStyle w:val="118"/>
        <w:jc w:val="center"/>
        <w:outlineLvl w:val="2"/>
        <w:rPr>
          <w:rFonts w:hint="eastAsia"/>
          <w:color w:val="auto"/>
          <w:sz w:val="32"/>
          <w:szCs w:val="32"/>
          <w:highlight w:val="none"/>
        </w:rPr>
      </w:pPr>
      <w:bookmarkStart w:id="129" w:name="_Toc26053"/>
      <w:bookmarkStart w:id="130" w:name="_Toc29509_WPSOffice_Level2"/>
      <w:r>
        <w:rPr>
          <w:rFonts w:hint="eastAsia"/>
          <w:color w:val="auto"/>
          <w:sz w:val="32"/>
          <w:szCs w:val="32"/>
          <w:highlight w:val="none"/>
        </w:rPr>
        <w:t>（一）投标技术响应偏差表</w:t>
      </w:r>
      <w:bookmarkEnd w:id="129"/>
      <w:bookmarkEnd w:id="130"/>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2319"/>
        <w:gridCol w:w="2565"/>
        <w:gridCol w:w="2728"/>
      </w:tblGrid>
      <w:tr w14:paraId="5544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1231A1C1">
            <w:pPr>
              <w:pStyle w:val="118"/>
              <w:widowControl/>
              <w:adjustRightInd w:val="0"/>
              <w:snapToGrid w:val="0"/>
              <w:spacing w:before="100" w:beforeAutospacing="1" w:line="560" w:lineRule="exact"/>
              <w:jc w:val="center"/>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序号</w:t>
            </w:r>
          </w:p>
        </w:tc>
        <w:tc>
          <w:tcPr>
            <w:tcW w:w="2319" w:type="dxa"/>
            <w:tcBorders>
              <w:top w:val="single" w:color="auto" w:sz="4" w:space="0"/>
              <w:left w:val="single" w:color="auto" w:sz="4" w:space="0"/>
              <w:bottom w:val="single" w:color="auto" w:sz="4" w:space="0"/>
              <w:right w:val="single" w:color="auto" w:sz="4" w:space="0"/>
            </w:tcBorders>
            <w:vAlign w:val="center"/>
          </w:tcPr>
          <w:p w14:paraId="67E3028C">
            <w:pPr>
              <w:pStyle w:val="118"/>
              <w:widowControl/>
              <w:adjustRightInd w:val="0"/>
              <w:snapToGrid w:val="0"/>
              <w:spacing w:before="100" w:beforeAutospacing="1" w:line="560" w:lineRule="exact"/>
              <w:jc w:val="center"/>
              <w:rPr>
                <w:rFonts w:hint="eastAsia" w:ascii="仿宋_GB2312" w:eastAsia="仿宋_GB2312"/>
                <w:color w:val="auto"/>
                <w:sz w:val="28"/>
                <w:szCs w:val="28"/>
                <w:highlight w:val="none"/>
              </w:rPr>
            </w:pPr>
            <w:r>
              <w:rPr>
                <w:rFonts w:hint="eastAsia" w:ascii="仿宋_GB2312" w:eastAsia="仿宋_GB2312"/>
                <w:color w:val="auto"/>
                <w:sz w:val="28"/>
                <w:szCs w:val="28"/>
                <w:highlight w:val="none"/>
                <w:lang w:eastAsia="zh-CN"/>
              </w:rPr>
              <w:t>磋商文件</w:t>
            </w:r>
            <w:r>
              <w:rPr>
                <w:rFonts w:hint="eastAsia" w:ascii="仿宋_GB2312" w:eastAsia="仿宋_GB2312"/>
                <w:color w:val="auto"/>
                <w:sz w:val="28"/>
                <w:szCs w:val="28"/>
                <w:highlight w:val="none"/>
              </w:rPr>
              <w:t>内容</w:t>
            </w:r>
          </w:p>
        </w:tc>
        <w:tc>
          <w:tcPr>
            <w:tcW w:w="2565" w:type="dxa"/>
            <w:tcBorders>
              <w:top w:val="single" w:color="auto" w:sz="4" w:space="0"/>
              <w:left w:val="single" w:color="auto" w:sz="4" w:space="0"/>
              <w:bottom w:val="single" w:color="auto" w:sz="4" w:space="0"/>
              <w:right w:val="single" w:color="auto" w:sz="4" w:space="0"/>
            </w:tcBorders>
            <w:vAlign w:val="center"/>
          </w:tcPr>
          <w:p w14:paraId="6D1EDB03">
            <w:pPr>
              <w:pStyle w:val="118"/>
              <w:widowControl/>
              <w:adjustRightInd w:val="0"/>
              <w:snapToGrid w:val="0"/>
              <w:spacing w:before="100" w:beforeAutospacing="1"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lang w:eastAsia="zh-CN"/>
              </w:rPr>
              <w:t>响应文件</w:t>
            </w:r>
            <w:r>
              <w:rPr>
                <w:rFonts w:hint="eastAsia" w:ascii="仿宋_GB2312" w:eastAsia="仿宋_GB2312"/>
                <w:color w:val="auto"/>
                <w:sz w:val="28"/>
                <w:szCs w:val="28"/>
                <w:highlight w:val="none"/>
              </w:rPr>
              <w:t>内容</w:t>
            </w:r>
          </w:p>
        </w:tc>
        <w:tc>
          <w:tcPr>
            <w:tcW w:w="2728" w:type="dxa"/>
            <w:tcBorders>
              <w:top w:val="single" w:color="auto" w:sz="4" w:space="0"/>
              <w:left w:val="single" w:color="auto" w:sz="4" w:space="0"/>
              <w:bottom w:val="single" w:color="auto" w:sz="4" w:space="0"/>
              <w:right w:val="single" w:color="auto" w:sz="4" w:space="0"/>
            </w:tcBorders>
            <w:vAlign w:val="center"/>
          </w:tcPr>
          <w:p w14:paraId="000DE5BB">
            <w:pPr>
              <w:pStyle w:val="118"/>
              <w:widowControl/>
              <w:adjustRightInd w:val="0"/>
              <w:snapToGrid w:val="0"/>
              <w:spacing w:before="100" w:beforeAutospacing="1" w:line="560" w:lineRule="exact"/>
              <w:jc w:val="center"/>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偏差内容及说明</w:t>
            </w:r>
          </w:p>
        </w:tc>
      </w:tr>
      <w:tr w14:paraId="156F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6747B478">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72CCA620">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14F22A3C">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1546A1E4">
            <w:pPr>
              <w:pStyle w:val="118"/>
              <w:spacing w:line="560" w:lineRule="exact"/>
              <w:jc w:val="center"/>
              <w:rPr>
                <w:rFonts w:ascii="仿宋_GB2312" w:eastAsia="仿宋_GB2312"/>
                <w:color w:val="auto"/>
                <w:sz w:val="24"/>
                <w:highlight w:val="none"/>
              </w:rPr>
            </w:pPr>
          </w:p>
        </w:tc>
      </w:tr>
      <w:tr w14:paraId="033D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0DB27AC5">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1D5C0946">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2E26D091">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2BE5D79F">
            <w:pPr>
              <w:pStyle w:val="118"/>
              <w:spacing w:line="560" w:lineRule="exact"/>
              <w:jc w:val="center"/>
              <w:rPr>
                <w:rFonts w:ascii="仿宋_GB2312" w:eastAsia="仿宋_GB2312"/>
                <w:color w:val="auto"/>
                <w:sz w:val="24"/>
                <w:highlight w:val="none"/>
              </w:rPr>
            </w:pPr>
          </w:p>
        </w:tc>
      </w:tr>
      <w:tr w14:paraId="72BA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1E779E5E">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025145BB">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2B97AEA0">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6EC09F64">
            <w:pPr>
              <w:pStyle w:val="118"/>
              <w:spacing w:line="560" w:lineRule="exact"/>
              <w:jc w:val="center"/>
              <w:rPr>
                <w:rFonts w:ascii="仿宋_GB2312" w:eastAsia="仿宋_GB2312"/>
                <w:color w:val="auto"/>
                <w:sz w:val="24"/>
                <w:highlight w:val="none"/>
              </w:rPr>
            </w:pPr>
          </w:p>
        </w:tc>
      </w:tr>
      <w:tr w14:paraId="062B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470BE424">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1254C327">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74024099">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5B4EC1C1">
            <w:pPr>
              <w:pStyle w:val="118"/>
              <w:spacing w:line="560" w:lineRule="exact"/>
              <w:jc w:val="center"/>
              <w:rPr>
                <w:rFonts w:ascii="仿宋_GB2312" w:eastAsia="仿宋_GB2312"/>
                <w:color w:val="auto"/>
                <w:sz w:val="24"/>
                <w:highlight w:val="none"/>
              </w:rPr>
            </w:pPr>
          </w:p>
        </w:tc>
      </w:tr>
      <w:tr w14:paraId="00DC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42F563DC">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10376A12">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70458A69">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1266EAE8">
            <w:pPr>
              <w:pStyle w:val="118"/>
              <w:spacing w:line="560" w:lineRule="exact"/>
              <w:jc w:val="center"/>
              <w:rPr>
                <w:rFonts w:ascii="仿宋_GB2312" w:eastAsia="仿宋_GB2312"/>
                <w:color w:val="auto"/>
                <w:sz w:val="24"/>
                <w:highlight w:val="none"/>
              </w:rPr>
            </w:pPr>
          </w:p>
        </w:tc>
      </w:tr>
      <w:tr w14:paraId="6B85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6F10E504">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27004BA7">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38CA2A08">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4809C3AB">
            <w:pPr>
              <w:pStyle w:val="118"/>
              <w:spacing w:line="560" w:lineRule="exact"/>
              <w:jc w:val="center"/>
              <w:rPr>
                <w:rFonts w:ascii="仿宋_GB2312" w:eastAsia="仿宋_GB2312"/>
                <w:color w:val="auto"/>
                <w:sz w:val="24"/>
                <w:highlight w:val="none"/>
              </w:rPr>
            </w:pPr>
          </w:p>
        </w:tc>
      </w:tr>
      <w:tr w14:paraId="577C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2AA36B37">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19DD553F">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13D8E847">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14775900">
            <w:pPr>
              <w:pStyle w:val="118"/>
              <w:spacing w:line="560" w:lineRule="exact"/>
              <w:jc w:val="center"/>
              <w:rPr>
                <w:rFonts w:ascii="仿宋_GB2312" w:eastAsia="仿宋_GB2312"/>
                <w:color w:val="auto"/>
                <w:sz w:val="24"/>
                <w:highlight w:val="none"/>
              </w:rPr>
            </w:pPr>
          </w:p>
        </w:tc>
      </w:tr>
      <w:tr w14:paraId="4B3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6F9C734C">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044274E9">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6A23D6C8">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12DED209">
            <w:pPr>
              <w:pStyle w:val="118"/>
              <w:spacing w:line="560" w:lineRule="exact"/>
              <w:jc w:val="center"/>
              <w:rPr>
                <w:rFonts w:ascii="仿宋_GB2312" w:eastAsia="仿宋_GB2312"/>
                <w:color w:val="auto"/>
                <w:sz w:val="24"/>
                <w:highlight w:val="none"/>
              </w:rPr>
            </w:pPr>
          </w:p>
        </w:tc>
      </w:tr>
      <w:tr w14:paraId="18C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598D71AC">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61D5517E">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7E4CB378">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146F2B02">
            <w:pPr>
              <w:pStyle w:val="118"/>
              <w:spacing w:line="560" w:lineRule="exact"/>
              <w:jc w:val="center"/>
              <w:rPr>
                <w:rFonts w:ascii="仿宋_GB2312" w:eastAsia="仿宋_GB2312"/>
                <w:color w:val="auto"/>
                <w:sz w:val="24"/>
                <w:highlight w:val="none"/>
              </w:rPr>
            </w:pPr>
          </w:p>
        </w:tc>
      </w:tr>
      <w:tr w14:paraId="5C9B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185" w:type="dxa"/>
            <w:tcBorders>
              <w:top w:val="single" w:color="auto" w:sz="4" w:space="0"/>
              <w:left w:val="single" w:color="auto" w:sz="4" w:space="0"/>
              <w:bottom w:val="single" w:color="auto" w:sz="4" w:space="0"/>
              <w:right w:val="single" w:color="auto" w:sz="4" w:space="0"/>
            </w:tcBorders>
            <w:vAlign w:val="center"/>
          </w:tcPr>
          <w:p w14:paraId="6EADCD89">
            <w:pPr>
              <w:pStyle w:val="118"/>
              <w:spacing w:line="560" w:lineRule="exact"/>
              <w:jc w:val="center"/>
              <w:rPr>
                <w:rFonts w:ascii="仿宋_GB2312" w:eastAsia="仿宋_GB2312"/>
                <w:color w:val="auto"/>
                <w:sz w:val="24"/>
                <w:highlight w:val="none"/>
              </w:rPr>
            </w:pPr>
          </w:p>
        </w:tc>
        <w:tc>
          <w:tcPr>
            <w:tcW w:w="2319" w:type="dxa"/>
            <w:tcBorders>
              <w:top w:val="single" w:color="auto" w:sz="4" w:space="0"/>
              <w:left w:val="single" w:color="auto" w:sz="4" w:space="0"/>
              <w:bottom w:val="single" w:color="auto" w:sz="4" w:space="0"/>
              <w:right w:val="single" w:color="auto" w:sz="4" w:space="0"/>
            </w:tcBorders>
            <w:vAlign w:val="center"/>
          </w:tcPr>
          <w:p w14:paraId="7383F7A0">
            <w:pPr>
              <w:pStyle w:val="118"/>
              <w:spacing w:line="560" w:lineRule="exact"/>
              <w:jc w:val="center"/>
              <w:rPr>
                <w:rFonts w:ascii="仿宋_GB2312" w:eastAsia="仿宋_GB2312"/>
                <w:color w:val="auto"/>
                <w:sz w:val="24"/>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3FE01A3C">
            <w:pPr>
              <w:pStyle w:val="118"/>
              <w:spacing w:line="560" w:lineRule="exact"/>
              <w:jc w:val="center"/>
              <w:rPr>
                <w:rFonts w:ascii="仿宋_GB2312" w:eastAsia="仿宋_GB2312"/>
                <w:color w:val="auto"/>
                <w:sz w:val="24"/>
                <w:highlight w:val="none"/>
              </w:rPr>
            </w:pPr>
          </w:p>
        </w:tc>
        <w:tc>
          <w:tcPr>
            <w:tcW w:w="2728" w:type="dxa"/>
            <w:tcBorders>
              <w:top w:val="single" w:color="auto" w:sz="4" w:space="0"/>
              <w:left w:val="single" w:color="auto" w:sz="4" w:space="0"/>
              <w:bottom w:val="single" w:color="auto" w:sz="4" w:space="0"/>
              <w:right w:val="single" w:color="auto" w:sz="4" w:space="0"/>
            </w:tcBorders>
            <w:vAlign w:val="center"/>
          </w:tcPr>
          <w:p w14:paraId="0F2D6D42">
            <w:pPr>
              <w:pStyle w:val="118"/>
              <w:spacing w:line="560" w:lineRule="exact"/>
              <w:jc w:val="center"/>
              <w:rPr>
                <w:rFonts w:ascii="仿宋_GB2312" w:eastAsia="仿宋_GB2312"/>
                <w:color w:val="auto"/>
                <w:sz w:val="24"/>
                <w:highlight w:val="none"/>
              </w:rPr>
            </w:pPr>
          </w:p>
        </w:tc>
      </w:tr>
    </w:tbl>
    <w:p w14:paraId="205E4136">
      <w:pPr>
        <w:pStyle w:val="118"/>
        <w:jc w:val="center"/>
        <w:rPr>
          <w:rFonts w:hint="eastAsia"/>
          <w:color w:val="auto"/>
          <w:sz w:val="22"/>
          <w:highlight w:val="none"/>
        </w:rPr>
      </w:pPr>
    </w:p>
    <w:p w14:paraId="5A9F4B7E">
      <w:pPr>
        <w:pStyle w:val="434"/>
        <w:spacing w:line="700" w:lineRule="exact"/>
        <w:ind w:firstLine="629"/>
        <w:rPr>
          <w:rFonts w:hint="eastAsia" w:ascii="仿宋_GB2312" w:eastAsia="仿宋_GB2312"/>
          <w:color w:val="auto"/>
          <w:sz w:val="24"/>
          <w:highlight w:val="none"/>
          <w:u w:val="single"/>
        </w:rPr>
      </w:pPr>
      <w:r>
        <w:rPr>
          <w:rFonts w:hint="eastAsia" w:ascii="仿宋_GB2312" w:eastAsia="仿宋_GB2312"/>
          <w:color w:val="auto"/>
          <w:sz w:val="24"/>
          <w:highlight w:val="none"/>
        </w:rPr>
        <w:t>单位名称：（盖章）</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p>
    <w:p w14:paraId="50AD0FFB">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法定代表人（或授权代表）：（签字）</w:t>
      </w:r>
      <w:r>
        <w:rPr>
          <w:rFonts w:hint="eastAsia" w:ascii="仿宋_GB2312" w:eastAsia="仿宋_GB2312"/>
          <w:color w:val="auto"/>
          <w:sz w:val="24"/>
          <w:highlight w:val="none"/>
          <w:u w:val="single"/>
        </w:rPr>
        <w:t xml:space="preserve">              </w:t>
      </w:r>
    </w:p>
    <w:p w14:paraId="6313FDAA">
      <w:pPr>
        <w:pStyle w:val="117"/>
        <w:ind w:firstLine="482"/>
        <w:rPr>
          <w:rFonts w:hint="eastAsia" w:hAnsi="宋体"/>
          <w:b/>
          <w:bCs/>
          <w:color w:val="auto"/>
          <w:sz w:val="24"/>
          <w:szCs w:val="28"/>
          <w:highlight w:val="none"/>
        </w:rPr>
      </w:pPr>
    </w:p>
    <w:p w14:paraId="23EA44D8">
      <w:pPr>
        <w:pStyle w:val="117"/>
        <w:rPr>
          <w:rFonts w:hint="eastAsia" w:hAnsi="宋体"/>
          <w:b/>
          <w:bCs/>
          <w:color w:val="auto"/>
          <w:sz w:val="24"/>
          <w:szCs w:val="28"/>
          <w:highlight w:val="none"/>
        </w:rPr>
      </w:pPr>
      <w:r>
        <w:rPr>
          <w:rFonts w:hint="eastAsia" w:hAnsi="宋体"/>
          <w:b/>
          <w:bCs/>
          <w:color w:val="auto"/>
          <w:sz w:val="24"/>
          <w:szCs w:val="28"/>
          <w:highlight w:val="none"/>
        </w:rPr>
        <w:t>1、凡</w:t>
      </w:r>
      <w:r>
        <w:rPr>
          <w:rFonts w:hint="eastAsia" w:hAnsi="宋体"/>
          <w:b/>
          <w:bCs/>
          <w:color w:val="auto"/>
          <w:sz w:val="24"/>
          <w:szCs w:val="28"/>
          <w:highlight w:val="none"/>
          <w:lang w:eastAsia="zh-CN"/>
        </w:rPr>
        <w:t>响应文件</w:t>
      </w:r>
      <w:r>
        <w:rPr>
          <w:rFonts w:hint="eastAsia" w:hAnsi="宋体"/>
          <w:b/>
          <w:bCs/>
          <w:color w:val="auto"/>
          <w:sz w:val="24"/>
          <w:szCs w:val="28"/>
          <w:highlight w:val="none"/>
        </w:rPr>
        <w:t>中所投货物或服务与</w:t>
      </w:r>
      <w:r>
        <w:rPr>
          <w:rFonts w:hint="eastAsia" w:hAnsi="宋体"/>
          <w:b/>
          <w:bCs/>
          <w:color w:val="auto"/>
          <w:sz w:val="24"/>
          <w:szCs w:val="28"/>
          <w:highlight w:val="none"/>
          <w:lang w:eastAsia="zh-CN"/>
        </w:rPr>
        <w:t>磋商文件</w:t>
      </w:r>
      <w:r>
        <w:rPr>
          <w:rFonts w:hint="eastAsia" w:hAnsi="宋体"/>
          <w:b/>
          <w:bCs/>
          <w:color w:val="auto"/>
          <w:sz w:val="24"/>
          <w:szCs w:val="28"/>
          <w:highlight w:val="none"/>
        </w:rPr>
        <w:t>有偏差的（包括正偏差，负偏差），均应在此表中详细列出并说明理由。</w:t>
      </w:r>
    </w:p>
    <w:p w14:paraId="62115AB9">
      <w:pPr>
        <w:pStyle w:val="429"/>
        <w:jc w:val="center"/>
        <w:rPr>
          <w:rFonts w:hint="eastAsia"/>
          <w:color w:val="auto"/>
          <w:highlight w:val="none"/>
          <w:lang w:eastAsia="zh-CN"/>
        </w:rPr>
      </w:pPr>
    </w:p>
    <w:p w14:paraId="53940B49">
      <w:pPr>
        <w:pStyle w:val="429"/>
        <w:jc w:val="center"/>
        <w:rPr>
          <w:rFonts w:hint="eastAsia"/>
          <w:color w:val="auto"/>
          <w:highlight w:val="none"/>
          <w:lang w:eastAsia="zh-CN"/>
        </w:rPr>
      </w:pPr>
    </w:p>
    <w:p w14:paraId="4290324B">
      <w:pPr>
        <w:pStyle w:val="429"/>
        <w:jc w:val="center"/>
        <w:rPr>
          <w:rFonts w:hint="eastAsia"/>
          <w:color w:val="auto"/>
          <w:highlight w:val="none"/>
          <w:lang w:eastAsia="zh-CN"/>
        </w:rPr>
      </w:pPr>
    </w:p>
    <w:p w14:paraId="672432F3">
      <w:pPr>
        <w:pStyle w:val="429"/>
        <w:jc w:val="center"/>
        <w:rPr>
          <w:rFonts w:hint="eastAsia"/>
          <w:color w:val="auto"/>
          <w:highlight w:val="none"/>
          <w:lang w:eastAsia="zh-CN"/>
        </w:rPr>
      </w:pPr>
    </w:p>
    <w:p w14:paraId="059B665B">
      <w:pPr>
        <w:pStyle w:val="429"/>
        <w:jc w:val="center"/>
        <w:outlineLvl w:val="2"/>
        <w:rPr>
          <w:rFonts w:hint="eastAsia"/>
          <w:color w:val="auto"/>
          <w:highlight w:val="none"/>
          <w:lang w:eastAsia="zh-CN"/>
        </w:rPr>
      </w:pPr>
      <w:bookmarkStart w:id="131" w:name="_Toc3171_WPSOffice_Level2"/>
      <w:bookmarkStart w:id="132" w:name="_Toc514054498"/>
      <w:bookmarkStart w:id="133" w:name="_Toc9396"/>
      <w:bookmarkStart w:id="134" w:name="_Toc23255"/>
      <w:r>
        <w:rPr>
          <w:rFonts w:hint="eastAsia"/>
          <w:color w:val="auto"/>
          <w:highlight w:val="none"/>
          <w:lang w:eastAsia="zh-CN"/>
        </w:rPr>
        <w:t>（二）投标商务偏离表</w:t>
      </w:r>
      <w:bookmarkEnd w:id="131"/>
      <w:bookmarkEnd w:id="132"/>
      <w:bookmarkEnd w:id="133"/>
      <w:bookmarkEnd w:id="134"/>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3"/>
        <w:gridCol w:w="2682"/>
        <w:gridCol w:w="2682"/>
      </w:tblGrid>
      <w:tr w14:paraId="7C40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359CCF70">
            <w:pPr>
              <w:pStyle w:val="118"/>
              <w:widowControl/>
              <w:adjustRightInd w:val="0"/>
              <w:snapToGrid w:val="0"/>
              <w:spacing w:before="100" w:beforeAutospacing="1"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lang w:eastAsia="zh-CN"/>
              </w:rPr>
              <w:t>磋商文件</w:t>
            </w:r>
            <w:r>
              <w:rPr>
                <w:rFonts w:hint="eastAsia" w:ascii="仿宋_GB2312" w:eastAsia="仿宋_GB2312"/>
                <w:color w:val="auto"/>
                <w:sz w:val="28"/>
                <w:szCs w:val="28"/>
                <w:highlight w:val="none"/>
              </w:rPr>
              <w:t>内容</w:t>
            </w:r>
          </w:p>
        </w:tc>
        <w:tc>
          <w:tcPr>
            <w:tcW w:w="2682" w:type="dxa"/>
            <w:tcBorders>
              <w:top w:val="single" w:color="auto" w:sz="4" w:space="0"/>
              <w:left w:val="single" w:color="auto" w:sz="4" w:space="0"/>
              <w:bottom w:val="single" w:color="auto" w:sz="4" w:space="0"/>
              <w:right w:val="single" w:color="auto" w:sz="4" w:space="0"/>
            </w:tcBorders>
            <w:vAlign w:val="center"/>
          </w:tcPr>
          <w:p w14:paraId="70D1C488">
            <w:pPr>
              <w:pStyle w:val="118"/>
              <w:widowControl/>
              <w:adjustRightInd w:val="0"/>
              <w:snapToGrid w:val="0"/>
              <w:spacing w:before="100" w:beforeAutospacing="1"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lang w:eastAsia="zh-CN"/>
              </w:rPr>
              <w:t>响应文件</w:t>
            </w:r>
            <w:r>
              <w:rPr>
                <w:rFonts w:hint="eastAsia" w:ascii="仿宋_GB2312" w:eastAsia="仿宋_GB2312"/>
                <w:color w:val="auto"/>
                <w:sz w:val="28"/>
                <w:szCs w:val="28"/>
                <w:highlight w:val="none"/>
              </w:rPr>
              <w:t>内容</w:t>
            </w:r>
          </w:p>
        </w:tc>
        <w:tc>
          <w:tcPr>
            <w:tcW w:w="2682" w:type="dxa"/>
            <w:tcBorders>
              <w:top w:val="single" w:color="auto" w:sz="4" w:space="0"/>
              <w:left w:val="single" w:color="auto" w:sz="4" w:space="0"/>
              <w:bottom w:val="single" w:color="auto" w:sz="4" w:space="0"/>
              <w:right w:val="single" w:color="auto" w:sz="4" w:space="0"/>
            </w:tcBorders>
            <w:vAlign w:val="center"/>
          </w:tcPr>
          <w:p w14:paraId="1CD31977">
            <w:pPr>
              <w:pStyle w:val="118"/>
              <w:widowControl/>
              <w:adjustRightInd w:val="0"/>
              <w:snapToGrid w:val="0"/>
              <w:spacing w:before="100" w:beforeAutospacing="1"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偏差内容及说明</w:t>
            </w:r>
          </w:p>
        </w:tc>
      </w:tr>
      <w:tr w14:paraId="1B95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350D4EB5">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7FFA95FF">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545115D7">
            <w:pPr>
              <w:pStyle w:val="118"/>
              <w:spacing w:line="560" w:lineRule="exact"/>
              <w:jc w:val="center"/>
              <w:rPr>
                <w:rFonts w:ascii="仿宋_GB2312" w:eastAsia="仿宋_GB2312"/>
                <w:color w:val="auto"/>
                <w:sz w:val="24"/>
                <w:highlight w:val="none"/>
              </w:rPr>
            </w:pPr>
          </w:p>
        </w:tc>
      </w:tr>
      <w:tr w14:paraId="465E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1AF1476C">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5CEEBCD1">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21F0BC8">
            <w:pPr>
              <w:pStyle w:val="118"/>
              <w:spacing w:line="560" w:lineRule="exact"/>
              <w:jc w:val="center"/>
              <w:rPr>
                <w:rFonts w:ascii="仿宋_GB2312" w:eastAsia="仿宋_GB2312"/>
                <w:color w:val="auto"/>
                <w:sz w:val="24"/>
                <w:highlight w:val="none"/>
              </w:rPr>
            </w:pPr>
          </w:p>
        </w:tc>
      </w:tr>
      <w:tr w14:paraId="470B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7B4FA991">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537D38F4">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302DD599">
            <w:pPr>
              <w:pStyle w:val="118"/>
              <w:spacing w:line="560" w:lineRule="exact"/>
              <w:jc w:val="center"/>
              <w:rPr>
                <w:rFonts w:ascii="仿宋_GB2312" w:eastAsia="仿宋_GB2312"/>
                <w:color w:val="auto"/>
                <w:sz w:val="24"/>
                <w:highlight w:val="none"/>
              </w:rPr>
            </w:pPr>
          </w:p>
        </w:tc>
      </w:tr>
      <w:tr w14:paraId="2353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6CB3ACEA">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AA72B21">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0C8B1766">
            <w:pPr>
              <w:pStyle w:val="118"/>
              <w:spacing w:line="560" w:lineRule="exact"/>
              <w:jc w:val="center"/>
              <w:rPr>
                <w:rFonts w:ascii="仿宋_GB2312" w:eastAsia="仿宋_GB2312"/>
                <w:color w:val="auto"/>
                <w:sz w:val="24"/>
                <w:highlight w:val="none"/>
              </w:rPr>
            </w:pPr>
          </w:p>
        </w:tc>
      </w:tr>
      <w:tr w14:paraId="32CC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3E76DDD3">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44BB613">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60D2BD22">
            <w:pPr>
              <w:pStyle w:val="118"/>
              <w:spacing w:line="560" w:lineRule="exact"/>
              <w:jc w:val="center"/>
              <w:rPr>
                <w:rFonts w:ascii="仿宋_GB2312" w:eastAsia="仿宋_GB2312"/>
                <w:color w:val="auto"/>
                <w:sz w:val="24"/>
                <w:highlight w:val="none"/>
              </w:rPr>
            </w:pPr>
          </w:p>
        </w:tc>
      </w:tr>
      <w:tr w14:paraId="20F3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0A9A02A6">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084BEA0">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5E0B83E2">
            <w:pPr>
              <w:pStyle w:val="118"/>
              <w:spacing w:line="560" w:lineRule="exact"/>
              <w:jc w:val="center"/>
              <w:rPr>
                <w:rFonts w:ascii="仿宋_GB2312" w:eastAsia="仿宋_GB2312"/>
                <w:color w:val="auto"/>
                <w:sz w:val="24"/>
                <w:highlight w:val="none"/>
              </w:rPr>
            </w:pPr>
          </w:p>
        </w:tc>
      </w:tr>
      <w:tr w14:paraId="7750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307136FD">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3A28B6D5">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21EBD76E">
            <w:pPr>
              <w:pStyle w:val="118"/>
              <w:spacing w:line="560" w:lineRule="exact"/>
              <w:jc w:val="center"/>
              <w:rPr>
                <w:rFonts w:ascii="仿宋_GB2312" w:eastAsia="仿宋_GB2312"/>
                <w:color w:val="auto"/>
                <w:sz w:val="24"/>
                <w:highlight w:val="none"/>
              </w:rPr>
            </w:pPr>
          </w:p>
        </w:tc>
      </w:tr>
      <w:tr w14:paraId="1A5D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7D034322">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3793E404">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3FC61331">
            <w:pPr>
              <w:pStyle w:val="118"/>
              <w:spacing w:line="560" w:lineRule="exact"/>
              <w:jc w:val="center"/>
              <w:rPr>
                <w:rFonts w:ascii="仿宋_GB2312" w:eastAsia="仿宋_GB2312"/>
                <w:color w:val="auto"/>
                <w:sz w:val="24"/>
                <w:highlight w:val="none"/>
              </w:rPr>
            </w:pPr>
          </w:p>
        </w:tc>
      </w:tr>
      <w:tr w14:paraId="01F9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6D8E877E">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BD577D6">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6BC91A01">
            <w:pPr>
              <w:pStyle w:val="118"/>
              <w:spacing w:line="560" w:lineRule="exact"/>
              <w:jc w:val="center"/>
              <w:rPr>
                <w:rFonts w:ascii="仿宋_GB2312" w:eastAsia="仿宋_GB2312"/>
                <w:color w:val="auto"/>
                <w:sz w:val="24"/>
                <w:highlight w:val="none"/>
              </w:rPr>
            </w:pPr>
          </w:p>
        </w:tc>
      </w:tr>
      <w:tr w14:paraId="021B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143" w:type="dxa"/>
            <w:tcBorders>
              <w:top w:val="single" w:color="auto" w:sz="4" w:space="0"/>
              <w:left w:val="single" w:color="auto" w:sz="4" w:space="0"/>
              <w:bottom w:val="single" w:color="auto" w:sz="4" w:space="0"/>
              <w:right w:val="single" w:color="auto" w:sz="4" w:space="0"/>
            </w:tcBorders>
            <w:vAlign w:val="center"/>
          </w:tcPr>
          <w:p w14:paraId="733BB45B">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45F182DB">
            <w:pPr>
              <w:pStyle w:val="118"/>
              <w:spacing w:line="560" w:lineRule="exact"/>
              <w:jc w:val="center"/>
              <w:rPr>
                <w:rFonts w:ascii="仿宋_GB2312" w:eastAsia="仿宋_GB2312"/>
                <w:color w:val="auto"/>
                <w:sz w:val="24"/>
                <w:highlight w:val="none"/>
              </w:rPr>
            </w:pPr>
          </w:p>
        </w:tc>
        <w:tc>
          <w:tcPr>
            <w:tcW w:w="2682" w:type="dxa"/>
            <w:tcBorders>
              <w:top w:val="single" w:color="auto" w:sz="4" w:space="0"/>
              <w:left w:val="single" w:color="auto" w:sz="4" w:space="0"/>
              <w:bottom w:val="single" w:color="auto" w:sz="4" w:space="0"/>
              <w:right w:val="single" w:color="auto" w:sz="4" w:space="0"/>
            </w:tcBorders>
            <w:vAlign w:val="center"/>
          </w:tcPr>
          <w:p w14:paraId="37899C69">
            <w:pPr>
              <w:pStyle w:val="118"/>
              <w:spacing w:line="560" w:lineRule="exact"/>
              <w:jc w:val="center"/>
              <w:rPr>
                <w:rFonts w:ascii="仿宋_GB2312" w:eastAsia="仿宋_GB2312"/>
                <w:color w:val="auto"/>
                <w:sz w:val="24"/>
                <w:highlight w:val="none"/>
              </w:rPr>
            </w:pPr>
          </w:p>
        </w:tc>
      </w:tr>
    </w:tbl>
    <w:p w14:paraId="2591C070">
      <w:pPr>
        <w:pStyle w:val="434"/>
        <w:spacing w:line="700" w:lineRule="exact"/>
        <w:ind w:firstLine="629"/>
        <w:rPr>
          <w:rFonts w:hint="eastAsia" w:ascii="仿宋_GB2312" w:eastAsia="仿宋_GB2312"/>
          <w:color w:val="auto"/>
          <w:sz w:val="24"/>
          <w:highlight w:val="none"/>
          <w:u w:val="single"/>
        </w:rPr>
      </w:pPr>
      <w:r>
        <w:rPr>
          <w:rFonts w:hint="eastAsia" w:ascii="仿宋_GB2312" w:eastAsia="仿宋_GB2312"/>
          <w:color w:val="auto"/>
          <w:sz w:val="24"/>
          <w:highlight w:val="none"/>
        </w:rPr>
        <w:t>单位名称：（盖章）</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r>
        <w:rPr>
          <w:rFonts w:ascii="仿宋_GB2312" w:eastAsia="仿宋_GB2312"/>
          <w:color w:val="auto"/>
          <w:sz w:val="24"/>
          <w:highlight w:val="none"/>
          <w:u w:val="single"/>
        </w:rPr>
        <w:t xml:space="preserve"> </w:t>
      </w:r>
      <w:r>
        <w:rPr>
          <w:rFonts w:hint="eastAsia" w:ascii="仿宋_GB2312" w:eastAsia="仿宋_GB2312"/>
          <w:color w:val="auto"/>
          <w:sz w:val="24"/>
          <w:highlight w:val="none"/>
          <w:u w:val="single"/>
        </w:rPr>
        <w:t xml:space="preserve">       </w:t>
      </w:r>
    </w:p>
    <w:p w14:paraId="32A82C4D">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法定代表人（或授权代表）：（签字）</w:t>
      </w:r>
      <w:r>
        <w:rPr>
          <w:rFonts w:hint="eastAsia" w:ascii="仿宋_GB2312" w:eastAsia="仿宋_GB2312"/>
          <w:color w:val="auto"/>
          <w:sz w:val="24"/>
          <w:highlight w:val="none"/>
          <w:u w:val="single"/>
        </w:rPr>
        <w:t xml:space="preserve">              </w:t>
      </w:r>
    </w:p>
    <w:p w14:paraId="50D80788">
      <w:pPr>
        <w:pStyle w:val="117"/>
        <w:ind w:firstLine="482"/>
        <w:rPr>
          <w:rFonts w:hint="eastAsia" w:hAnsi="宋体"/>
          <w:b/>
          <w:bCs/>
          <w:color w:val="auto"/>
          <w:sz w:val="24"/>
          <w:szCs w:val="28"/>
          <w:highlight w:val="none"/>
        </w:rPr>
      </w:pPr>
    </w:p>
    <w:p w14:paraId="71C20B5A">
      <w:pPr>
        <w:pStyle w:val="117"/>
        <w:rPr>
          <w:rFonts w:hint="eastAsia" w:hAnsi="宋体"/>
          <w:b/>
          <w:bCs/>
          <w:color w:val="auto"/>
          <w:sz w:val="24"/>
          <w:szCs w:val="28"/>
          <w:highlight w:val="none"/>
        </w:rPr>
      </w:pPr>
      <w:r>
        <w:rPr>
          <w:rFonts w:hint="eastAsia" w:hAnsi="宋体"/>
          <w:b/>
          <w:bCs/>
          <w:color w:val="auto"/>
          <w:sz w:val="24"/>
          <w:szCs w:val="28"/>
          <w:highlight w:val="none"/>
        </w:rPr>
        <w:t>1、凡</w:t>
      </w:r>
      <w:r>
        <w:rPr>
          <w:rFonts w:hint="eastAsia" w:hAnsi="宋体"/>
          <w:b/>
          <w:bCs/>
          <w:color w:val="auto"/>
          <w:sz w:val="24"/>
          <w:szCs w:val="28"/>
          <w:highlight w:val="none"/>
          <w:lang w:eastAsia="zh-CN"/>
        </w:rPr>
        <w:t>响应文件</w:t>
      </w:r>
      <w:r>
        <w:rPr>
          <w:rFonts w:hint="eastAsia" w:hAnsi="宋体"/>
          <w:b/>
          <w:bCs/>
          <w:color w:val="auto"/>
          <w:sz w:val="24"/>
          <w:szCs w:val="28"/>
          <w:highlight w:val="none"/>
        </w:rPr>
        <w:t>中所投货物或服务与</w:t>
      </w:r>
      <w:r>
        <w:rPr>
          <w:rFonts w:hint="eastAsia" w:hAnsi="宋体"/>
          <w:b/>
          <w:bCs/>
          <w:color w:val="auto"/>
          <w:sz w:val="24"/>
          <w:szCs w:val="28"/>
          <w:highlight w:val="none"/>
          <w:lang w:eastAsia="zh-CN"/>
        </w:rPr>
        <w:t>磋商文件</w:t>
      </w:r>
      <w:r>
        <w:rPr>
          <w:rFonts w:hint="eastAsia" w:hAnsi="宋体"/>
          <w:b/>
          <w:bCs/>
          <w:color w:val="auto"/>
          <w:sz w:val="24"/>
          <w:szCs w:val="28"/>
          <w:highlight w:val="none"/>
        </w:rPr>
        <w:t>有偏差的（包括正偏差，负偏差），均应在此表中详细列出并说明理由。</w:t>
      </w:r>
    </w:p>
    <w:p w14:paraId="015EADAD">
      <w:pPr>
        <w:pStyle w:val="118"/>
        <w:adjustRightInd w:val="0"/>
        <w:snapToGrid w:val="0"/>
        <w:spacing w:line="360" w:lineRule="auto"/>
        <w:rPr>
          <w:rFonts w:hint="eastAsia" w:ascii="宋体" w:hAnsi="宋体"/>
          <w:b/>
          <w:bCs/>
          <w:color w:val="auto"/>
          <w:sz w:val="24"/>
          <w:szCs w:val="28"/>
          <w:highlight w:val="none"/>
        </w:rPr>
      </w:pPr>
      <w:r>
        <w:rPr>
          <w:rFonts w:hint="eastAsia" w:ascii="宋体" w:hAnsi="宋体"/>
          <w:b/>
          <w:bCs/>
          <w:color w:val="auto"/>
          <w:sz w:val="24"/>
          <w:szCs w:val="28"/>
          <w:highlight w:val="none"/>
        </w:rPr>
        <w:t>2、供应商商务条件如与</w:t>
      </w:r>
      <w:r>
        <w:rPr>
          <w:rFonts w:hint="eastAsia" w:ascii="宋体" w:hAnsi="宋体"/>
          <w:b/>
          <w:bCs/>
          <w:color w:val="auto"/>
          <w:sz w:val="24"/>
          <w:szCs w:val="28"/>
          <w:highlight w:val="none"/>
          <w:lang w:eastAsia="zh-CN"/>
        </w:rPr>
        <w:t>磋商文件</w:t>
      </w:r>
      <w:r>
        <w:rPr>
          <w:rFonts w:hint="eastAsia" w:ascii="宋体" w:hAnsi="宋体"/>
          <w:b/>
          <w:bCs/>
          <w:color w:val="auto"/>
          <w:sz w:val="24"/>
          <w:szCs w:val="28"/>
          <w:highlight w:val="none"/>
        </w:rPr>
        <w:t>要求的不一致，则须在上表偏离说明中详细注明。</w:t>
      </w:r>
    </w:p>
    <w:p w14:paraId="2C6EAF76">
      <w:pPr>
        <w:pStyle w:val="283"/>
        <w:outlineLvl w:val="1"/>
        <w:rPr>
          <w:rFonts w:hint="eastAsia" w:ascii="宋体" w:hAnsi="宋体"/>
          <w:b/>
          <w:color w:val="auto"/>
          <w:sz w:val="32"/>
          <w:szCs w:val="32"/>
          <w:highlight w:val="none"/>
        </w:rPr>
      </w:pPr>
      <w:r>
        <w:rPr>
          <w:color w:val="auto"/>
          <w:highlight w:val="none"/>
        </w:rPr>
        <w:br w:type="page"/>
      </w:r>
      <w:bookmarkStart w:id="135" w:name="_Toc22498"/>
      <w:bookmarkStart w:id="136" w:name="_Toc15828"/>
      <w:bookmarkStart w:id="137" w:name="_Toc514054502"/>
      <w:bookmarkStart w:id="138" w:name="_Toc25001_WPSOffice_Level2"/>
      <w:r>
        <w:rPr>
          <w:rFonts w:hint="eastAsia"/>
          <w:color w:val="auto"/>
          <w:highlight w:val="none"/>
          <w:lang w:val="en-US" w:eastAsia="zh-CN"/>
        </w:rPr>
        <w:t>十三、项目实施方案</w:t>
      </w:r>
      <w:bookmarkEnd w:id="135"/>
    </w:p>
    <w:p w14:paraId="27543624">
      <w:pPr>
        <w:pStyle w:val="442"/>
        <w:spacing w:line="560" w:lineRule="exact"/>
        <w:jc w:val="center"/>
        <w:rPr>
          <w:rFonts w:hint="eastAsia" w:ascii="宋体"/>
          <w:b/>
          <w:bCs/>
          <w:color w:val="auto"/>
          <w:sz w:val="32"/>
          <w:szCs w:val="32"/>
          <w:highlight w:val="none"/>
        </w:rPr>
      </w:pPr>
      <w:r>
        <w:rPr>
          <w:rFonts w:hint="eastAsia" w:ascii="宋体"/>
          <w:b/>
          <w:bCs/>
          <w:color w:val="auto"/>
          <w:sz w:val="32"/>
          <w:szCs w:val="32"/>
          <w:highlight w:val="none"/>
        </w:rPr>
        <w:t>按照</w:t>
      </w:r>
      <w:r>
        <w:rPr>
          <w:rFonts w:hint="eastAsia" w:ascii="宋体"/>
          <w:b/>
          <w:bCs/>
          <w:color w:val="auto"/>
          <w:sz w:val="32"/>
          <w:szCs w:val="32"/>
          <w:highlight w:val="none"/>
          <w:lang w:eastAsia="zh-CN"/>
        </w:rPr>
        <w:t>磋商文件</w:t>
      </w:r>
      <w:r>
        <w:rPr>
          <w:rFonts w:hint="eastAsia" w:ascii="宋体"/>
          <w:b/>
          <w:bCs/>
          <w:color w:val="auto"/>
          <w:sz w:val="32"/>
          <w:szCs w:val="32"/>
          <w:highlight w:val="none"/>
        </w:rPr>
        <w:t>要求，格式自拟</w:t>
      </w:r>
    </w:p>
    <w:p w14:paraId="78E9D0E9">
      <w:pPr>
        <w:pStyle w:val="24"/>
        <w:rPr>
          <w:color w:val="auto"/>
          <w:highlight w:val="none"/>
        </w:rPr>
      </w:pPr>
    </w:p>
    <w:p w14:paraId="651D5A27">
      <w:pPr>
        <w:rPr>
          <w:color w:val="auto"/>
          <w:highlight w:val="none"/>
        </w:rPr>
      </w:pPr>
      <w:r>
        <w:rPr>
          <w:color w:val="auto"/>
          <w:highlight w:val="none"/>
        </w:rPr>
        <w:br w:type="page"/>
      </w:r>
    </w:p>
    <w:p w14:paraId="19FBEA32">
      <w:pPr>
        <w:pStyle w:val="283"/>
        <w:outlineLvl w:val="1"/>
        <w:rPr>
          <w:rFonts w:hint="eastAsia"/>
          <w:color w:val="auto"/>
          <w:highlight w:val="none"/>
          <w:lang w:val="en-US" w:eastAsia="zh-CN"/>
        </w:rPr>
      </w:pPr>
      <w:bookmarkStart w:id="139" w:name="_Toc16113"/>
      <w:r>
        <w:rPr>
          <w:rFonts w:hint="eastAsia"/>
          <w:color w:val="auto"/>
          <w:highlight w:val="none"/>
          <w:lang w:val="en-US" w:eastAsia="zh-CN"/>
        </w:rPr>
        <w:t>十四、项目组人员</w:t>
      </w:r>
      <w:bookmarkEnd w:id="139"/>
    </w:p>
    <w:p w14:paraId="61CC83B1">
      <w:pPr>
        <w:snapToGrid w:val="0"/>
        <w:spacing w:line="360" w:lineRule="auto"/>
        <w:jc w:val="center"/>
        <w:outlineLvl w:val="9"/>
        <w:rPr>
          <w:rFonts w:ascii="黑体" w:eastAsia="黑体"/>
          <w:bCs/>
          <w:color w:val="auto"/>
          <w:sz w:val="28"/>
          <w:szCs w:val="28"/>
          <w:highlight w:val="none"/>
        </w:rPr>
      </w:pPr>
      <w:r>
        <w:rPr>
          <w:rFonts w:hint="eastAsia" w:ascii="黑体" w:eastAsia="黑体"/>
          <w:bCs/>
          <w:color w:val="auto"/>
          <w:sz w:val="28"/>
          <w:szCs w:val="28"/>
          <w:highlight w:val="none"/>
        </w:rPr>
        <w:t>拟投入本项目的人员一览表</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06"/>
        <w:gridCol w:w="753"/>
        <w:gridCol w:w="853"/>
        <w:gridCol w:w="1029"/>
        <w:gridCol w:w="1223"/>
        <w:gridCol w:w="2562"/>
      </w:tblGrid>
      <w:tr w14:paraId="0E91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6" w:hRule="atLeast"/>
          <w:jc w:val="center"/>
        </w:trPr>
        <w:tc>
          <w:tcPr>
            <w:tcW w:w="703" w:type="dxa"/>
            <w:vAlign w:val="center"/>
          </w:tcPr>
          <w:p w14:paraId="6D25717D">
            <w:pPr>
              <w:snapToGrid w:val="0"/>
              <w:spacing w:line="500" w:lineRule="exact"/>
              <w:jc w:val="center"/>
              <w:rPr>
                <w:rFonts w:ascii="宋体"/>
                <w:color w:val="auto"/>
                <w:sz w:val="24"/>
                <w:highlight w:val="none"/>
              </w:rPr>
            </w:pPr>
            <w:r>
              <w:rPr>
                <w:rFonts w:ascii="宋体" w:eastAsia="Times New Roman"/>
                <w:color w:val="auto"/>
                <w:sz w:val="24"/>
                <w:highlight w:val="none"/>
              </w:rPr>
              <w:t>序号</w:t>
            </w:r>
          </w:p>
        </w:tc>
        <w:tc>
          <w:tcPr>
            <w:tcW w:w="1506" w:type="dxa"/>
            <w:vAlign w:val="center"/>
          </w:tcPr>
          <w:p w14:paraId="49CF0D95">
            <w:pPr>
              <w:snapToGrid w:val="0"/>
              <w:spacing w:line="500" w:lineRule="exact"/>
              <w:ind w:firstLine="240"/>
              <w:jc w:val="center"/>
              <w:rPr>
                <w:rFonts w:ascii="宋体"/>
                <w:color w:val="auto"/>
                <w:sz w:val="24"/>
                <w:highlight w:val="none"/>
              </w:rPr>
            </w:pPr>
            <w:r>
              <w:rPr>
                <w:rFonts w:ascii="宋体" w:eastAsia="Times New Roman"/>
                <w:color w:val="auto"/>
                <w:sz w:val="24"/>
                <w:highlight w:val="none"/>
              </w:rPr>
              <w:t>姓   名</w:t>
            </w:r>
          </w:p>
        </w:tc>
        <w:tc>
          <w:tcPr>
            <w:tcW w:w="753" w:type="dxa"/>
            <w:vAlign w:val="center"/>
          </w:tcPr>
          <w:p w14:paraId="4CB5F585">
            <w:pPr>
              <w:snapToGrid w:val="0"/>
              <w:spacing w:line="500" w:lineRule="exact"/>
              <w:jc w:val="center"/>
              <w:rPr>
                <w:rFonts w:ascii="宋体"/>
                <w:color w:val="auto"/>
                <w:sz w:val="24"/>
                <w:highlight w:val="none"/>
              </w:rPr>
            </w:pPr>
            <w:r>
              <w:rPr>
                <w:rFonts w:ascii="宋体" w:eastAsia="Times New Roman"/>
                <w:color w:val="auto"/>
                <w:sz w:val="24"/>
                <w:highlight w:val="none"/>
              </w:rPr>
              <w:t>年龄</w:t>
            </w:r>
          </w:p>
        </w:tc>
        <w:tc>
          <w:tcPr>
            <w:tcW w:w="853" w:type="dxa"/>
            <w:vAlign w:val="center"/>
          </w:tcPr>
          <w:p w14:paraId="62B3259C">
            <w:pPr>
              <w:snapToGrid w:val="0"/>
              <w:spacing w:line="500" w:lineRule="exact"/>
              <w:jc w:val="center"/>
              <w:rPr>
                <w:rFonts w:ascii="宋体"/>
                <w:color w:val="auto"/>
                <w:sz w:val="24"/>
                <w:highlight w:val="none"/>
              </w:rPr>
            </w:pPr>
            <w:r>
              <w:rPr>
                <w:rFonts w:ascii="宋体" w:eastAsia="Times New Roman"/>
                <w:color w:val="auto"/>
                <w:sz w:val="24"/>
                <w:highlight w:val="none"/>
              </w:rPr>
              <w:t>性别</w:t>
            </w:r>
          </w:p>
        </w:tc>
        <w:tc>
          <w:tcPr>
            <w:tcW w:w="1029" w:type="dxa"/>
            <w:vAlign w:val="center"/>
          </w:tcPr>
          <w:p w14:paraId="6FE8EDE1">
            <w:pPr>
              <w:snapToGrid w:val="0"/>
              <w:spacing w:line="500" w:lineRule="exact"/>
              <w:jc w:val="center"/>
              <w:rPr>
                <w:rFonts w:ascii="宋体"/>
                <w:color w:val="auto"/>
                <w:sz w:val="24"/>
                <w:highlight w:val="none"/>
              </w:rPr>
            </w:pPr>
            <w:r>
              <w:rPr>
                <w:rFonts w:ascii="宋体" w:eastAsia="Times New Roman"/>
                <w:color w:val="auto"/>
                <w:sz w:val="24"/>
                <w:highlight w:val="none"/>
              </w:rPr>
              <w:t>学 历</w:t>
            </w:r>
          </w:p>
        </w:tc>
        <w:tc>
          <w:tcPr>
            <w:tcW w:w="1223" w:type="dxa"/>
            <w:vAlign w:val="center"/>
          </w:tcPr>
          <w:p w14:paraId="5916E8AF">
            <w:pPr>
              <w:snapToGrid w:val="0"/>
              <w:spacing w:line="500" w:lineRule="exact"/>
              <w:jc w:val="center"/>
              <w:rPr>
                <w:rFonts w:ascii="宋体"/>
                <w:color w:val="auto"/>
                <w:sz w:val="24"/>
                <w:highlight w:val="none"/>
              </w:rPr>
            </w:pPr>
            <w:r>
              <w:rPr>
                <w:rFonts w:hint="eastAsia" w:ascii="宋体"/>
                <w:color w:val="auto"/>
                <w:sz w:val="24"/>
                <w:highlight w:val="none"/>
              </w:rPr>
              <w:t>行业岗位资格</w:t>
            </w:r>
          </w:p>
        </w:tc>
        <w:tc>
          <w:tcPr>
            <w:tcW w:w="2562" w:type="dxa"/>
            <w:vAlign w:val="center"/>
          </w:tcPr>
          <w:p w14:paraId="65E8B32E">
            <w:pPr>
              <w:snapToGrid w:val="0"/>
              <w:spacing w:line="500" w:lineRule="exact"/>
              <w:jc w:val="center"/>
              <w:rPr>
                <w:rFonts w:ascii="宋体"/>
                <w:color w:val="auto"/>
                <w:sz w:val="24"/>
                <w:highlight w:val="none"/>
              </w:rPr>
            </w:pPr>
            <w:r>
              <w:rPr>
                <w:rFonts w:ascii="宋体" w:eastAsia="Times New Roman"/>
                <w:color w:val="auto"/>
                <w:sz w:val="24"/>
                <w:highlight w:val="none"/>
              </w:rPr>
              <w:t>在本项目拟任职务</w:t>
            </w:r>
          </w:p>
        </w:tc>
      </w:tr>
      <w:tr w14:paraId="3E1D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691C539F">
            <w:pPr>
              <w:snapToGrid w:val="0"/>
              <w:spacing w:line="500" w:lineRule="exact"/>
              <w:jc w:val="center"/>
              <w:rPr>
                <w:rFonts w:ascii="宋体"/>
                <w:color w:val="auto"/>
                <w:sz w:val="24"/>
                <w:highlight w:val="none"/>
              </w:rPr>
            </w:pPr>
          </w:p>
        </w:tc>
        <w:tc>
          <w:tcPr>
            <w:tcW w:w="1506" w:type="dxa"/>
            <w:vAlign w:val="center"/>
          </w:tcPr>
          <w:p w14:paraId="784F0714">
            <w:pPr>
              <w:snapToGrid w:val="0"/>
              <w:spacing w:line="500" w:lineRule="exact"/>
              <w:jc w:val="center"/>
              <w:rPr>
                <w:rFonts w:ascii="宋体"/>
                <w:color w:val="auto"/>
                <w:sz w:val="24"/>
                <w:highlight w:val="none"/>
              </w:rPr>
            </w:pPr>
          </w:p>
        </w:tc>
        <w:tc>
          <w:tcPr>
            <w:tcW w:w="753" w:type="dxa"/>
            <w:vAlign w:val="center"/>
          </w:tcPr>
          <w:p w14:paraId="7C6250F2">
            <w:pPr>
              <w:snapToGrid w:val="0"/>
              <w:spacing w:line="500" w:lineRule="exact"/>
              <w:jc w:val="center"/>
              <w:rPr>
                <w:rFonts w:ascii="宋体"/>
                <w:color w:val="auto"/>
                <w:sz w:val="24"/>
                <w:highlight w:val="none"/>
              </w:rPr>
            </w:pPr>
          </w:p>
        </w:tc>
        <w:tc>
          <w:tcPr>
            <w:tcW w:w="853" w:type="dxa"/>
            <w:vAlign w:val="center"/>
          </w:tcPr>
          <w:p w14:paraId="46F99DE6">
            <w:pPr>
              <w:snapToGrid w:val="0"/>
              <w:spacing w:line="500" w:lineRule="exact"/>
              <w:jc w:val="center"/>
              <w:rPr>
                <w:rFonts w:ascii="宋体"/>
                <w:color w:val="auto"/>
                <w:sz w:val="24"/>
                <w:highlight w:val="none"/>
              </w:rPr>
            </w:pPr>
          </w:p>
        </w:tc>
        <w:tc>
          <w:tcPr>
            <w:tcW w:w="1029" w:type="dxa"/>
            <w:vAlign w:val="center"/>
          </w:tcPr>
          <w:p w14:paraId="2972DB67">
            <w:pPr>
              <w:snapToGrid w:val="0"/>
              <w:spacing w:line="500" w:lineRule="exact"/>
              <w:jc w:val="center"/>
              <w:rPr>
                <w:rFonts w:ascii="宋体"/>
                <w:color w:val="auto"/>
                <w:sz w:val="24"/>
                <w:highlight w:val="none"/>
              </w:rPr>
            </w:pPr>
          </w:p>
        </w:tc>
        <w:tc>
          <w:tcPr>
            <w:tcW w:w="1223" w:type="dxa"/>
            <w:vAlign w:val="center"/>
          </w:tcPr>
          <w:p w14:paraId="360831F4">
            <w:pPr>
              <w:snapToGrid w:val="0"/>
              <w:spacing w:line="500" w:lineRule="exact"/>
              <w:jc w:val="center"/>
              <w:rPr>
                <w:rFonts w:ascii="宋体"/>
                <w:color w:val="auto"/>
                <w:sz w:val="24"/>
                <w:highlight w:val="none"/>
              </w:rPr>
            </w:pPr>
          </w:p>
        </w:tc>
        <w:tc>
          <w:tcPr>
            <w:tcW w:w="2562" w:type="dxa"/>
            <w:vAlign w:val="center"/>
          </w:tcPr>
          <w:p w14:paraId="1E5B3797">
            <w:pPr>
              <w:snapToGrid w:val="0"/>
              <w:spacing w:line="500" w:lineRule="exact"/>
              <w:jc w:val="center"/>
              <w:rPr>
                <w:rFonts w:ascii="宋体"/>
                <w:color w:val="auto"/>
                <w:sz w:val="24"/>
                <w:highlight w:val="none"/>
              </w:rPr>
            </w:pPr>
          </w:p>
        </w:tc>
      </w:tr>
      <w:tr w14:paraId="5F75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22866377">
            <w:pPr>
              <w:snapToGrid w:val="0"/>
              <w:spacing w:line="500" w:lineRule="exact"/>
              <w:jc w:val="center"/>
              <w:rPr>
                <w:rFonts w:ascii="宋体"/>
                <w:color w:val="auto"/>
                <w:sz w:val="24"/>
                <w:highlight w:val="none"/>
              </w:rPr>
            </w:pPr>
          </w:p>
        </w:tc>
        <w:tc>
          <w:tcPr>
            <w:tcW w:w="1506" w:type="dxa"/>
            <w:vAlign w:val="center"/>
          </w:tcPr>
          <w:p w14:paraId="1F89B546">
            <w:pPr>
              <w:snapToGrid w:val="0"/>
              <w:spacing w:line="500" w:lineRule="exact"/>
              <w:jc w:val="center"/>
              <w:rPr>
                <w:rFonts w:ascii="宋体"/>
                <w:color w:val="auto"/>
                <w:sz w:val="24"/>
                <w:highlight w:val="none"/>
              </w:rPr>
            </w:pPr>
          </w:p>
        </w:tc>
        <w:tc>
          <w:tcPr>
            <w:tcW w:w="753" w:type="dxa"/>
            <w:vAlign w:val="center"/>
          </w:tcPr>
          <w:p w14:paraId="7D531C4B">
            <w:pPr>
              <w:snapToGrid w:val="0"/>
              <w:spacing w:line="500" w:lineRule="exact"/>
              <w:jc w:val="center"/>
              <w:rPr>
                <w:rFonts w:ascii="宋体"/>
                <w:color w:val="auto"/>
                <w:sz w:val="24"/>
                <w:highlight w:val="none"/>
              </w:rPr>
            </w:pPr>
          </w:p>
        </w:tc>
        <w:tc>
          <w:tcPr>
            <w:tcW w:w="853" w:type="dxa"/>
            <w:vAlign w:val="center"/>
          </w:tcPr>
          <w:p w14:paraId="6AEF3F42">
            <w:pPr>
              <w:snapToGrid w:val="0"/>
              <w:spacing w:line="500" w:lineRule="exact"/>
              <w:jc w:val="center"/>
              <w:rPr>
                <w:rFonts w:ascii="宋体"/>
                <w:color w:val="auto"/>
                <w:sz w:val="24"/>
                <w:highlight w:val="none"/>
              </w:rPr>
            </w:pPr>
          </w:p>
        </w:tc>
        <w:tc>
          <w:tcPr>
            <w:tcW w:w="1029" w:type="dxa"/>
            <w:vAlign w:val="center"/>
          </w:tcPr>
          <w:p w14:paraId="661B8773">
            <w:pPr>
              <w:snapToGrid w:val="0"/>
              <w:spacing w:line="500" w:lineRule="exact"/>
              <w:jc w:val="center"/>
              <w:rPr>
                <w:rFonts w:ascii="宋体"/>
                <w:color w:val="auto"/>
                <w:sz w:val="24"/>
                <w:highlight w:val="none"/>
              </w:rPr>
            </w:pPr>
          </w:p>
        </w:tc>
        <w:tc>
          <w:tcPr>
            <w:tcW w:w="1223" w:type="dxa"/>
            <w:vAlign w:val="center"/>
          </w:tcPr>
          <w:p w14:paraId="17A6A9EF">
            <w:pPr>
              <w:snapToGrid w:val="0"/>
              <w:spacing w:line="500" w:lineRule="exact"/>
              <w:jc w:val="center"/>
              <w:rPr>
                <w:rFonts w:ascii="宋体"/>
                <w:color w:val="auto"/>
                <w:sz w:val="24"/>
                <w:highlight w:val="none"/>
              </w:rPr>
            </w:pPr>
          </w:p>
        </w:tc>
        <w:tc>
          <w:tcPr>
            <w:tcW w:w="2562" w:type="dxa"/>
            <w:vAlign w:val="center"/>
          </w:tcPr>
          <w:p w14:paraId="2B4F2E85">
            <w:pPr>
              <w:snapToGrid w:val="0"/>
              <w:spacing w:line="500" w:lineRule="exact"/>
              <w:jc w:val="center"/>
              <w:rPr>
                <w:rFonts w:ascii="宋体"/>
                <w:color w:val="auto"/>
                <w:sz w:val="24"/>
                <w:highlight w:val="none"/>
              </w:rPr>
            </w:pPr>
          </w:p>
        </w:tc>
      </w:tr>
      <w:tr w14:paraId="74E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46547ADA">
            <w:pPr>
              <w:snapToGrid w:val="0"/>
              <w:spacing w:line="500" w:lineRule="exact"/>
              <w:jc w:val="center"/>
              <w:rPr>
                <w:rFonts w:ascii="宋体"/>
                <w:color w:val="auto"/>
                <w:sz w:val="24"/>
                <w:highlight w:val="none"/>
              </w:rPr>
            </w:pPr>
          </w:p>
        </w:tc>
        <w:tc>
          <w:tcPr>
            <w:tcW w:w="1506" w:type="dxa"/>
            <w:vAlign w:val="center"/>
          </w:tcPr>
          <w:p w14:paraId="3A172CEB">
            <w:pPr>
              <w:snapToGrid w:val="0"/>
              <w:spacing w:line="500" w:lineRule="exact"/>
              <w:jc w:val="center"/>
              <w:rPr>
                <w:rFonts w:ascii="宋体"/>
                <w:color w:val="auto"/>
                <w:sz w:val="24"/>
                <w:highlight w:val="none"/>
              </w:rPr>
            </w:pPr>
          </w:p>
        </w:tc>
        <w:tc>
          <w:tcPr>
            <w:tcW w:w="753" w:type="dxa"/>
            <w:vAlign w:val="center"/>
          </w:tcPr>
          <w:p w14:paraId="3284C7F6">
            <w:pPr>
              <w:snapToGrid w:val="0"/>
              <w:spacing w:line="500" w:lineRule="exact"/>
              <w:jc w:val="center"/>
              <w:rPr>
                <w:rFonts w:ascii="宋体"/>
                <w:color w:val="auto"/>
                <w:sz w:val="24"/>
                <w:highlight w:val="none"/>
              </w:rPr>
            </w:pPr>
          </w:p>
        </w:tc>
        <w:tc>
          <w:tcPr>
            <w:tcW w:w="853" w:type="dxa"/>
            <w:vAlign w:val="center"/>
          </w:tcPr>
          <w:p w14:paraId="775F8F25">
            <w:pPr>
              <w:snapToGrid w:val="0"/>
              <w:spacing w:line="500" w:lineRule="exact"/>
              <w:jc w:val="center"/>
              <w:rPr>
                <w:rFonts w:ascii="宋体"/>
                <w:color w:val="auto"/>
                <w:sz w:val="24"/>
                <w:highlight w:val="none"/>
              </w:rPr>
            </w:pPr>
          </w:p>
        </w:tc>
        <w:tc>
          <w:tcPr>
            <w:tcW w:w="1029" w:type="dxa"/>
            <w:vAlign w:val="center"/>
          </w:tcPr>
          <w:p w14:paraId="7C53EA0B">
            <w:pPr>
              <w:snapToGrid w:val="0"/>
              <w:spacing w:line="500" w:lineRule="exact"/>
              <w:jc w:val="center"/>
              <w:rPr>
                <w:rFonts w:ascii="宋体"/>
                <w:color w:val="auto"/>
                <w:sz w:val="24"/>
                <w:highlight w:val="none"/>
              </w:rPr>
            </w:pPr>
          </w:p>
        </w:tc>
        <w:tc>
          <w:tcPr>
            <w:tcW w:w="1223" w:type="dxa"/>
            <w:vAlign w:val="center"/>
          </w:tcPr>
          <w:p w14:paraId="4D275121">
            <w:pPr>
              <w:snapToGrid w:val="0"/>
              <w:spacing w:line="500" w:lineRule="exact"/>
              <w:jc w:val="center"/>
              <w:rPr>
                <w:rFonts w:ascii="宋体"/>
                <w:color w:val="auto"/>
                <w:sz w:val="24"/>
                <w:highlight w:val="none"/>
              </w:rPr>
            </w:pPr>
          </w:p>
        </w:tc>
        <w:tc>
          <w:tcPr>
            <w:tcW w:w="2562" w:type="dxa"/>
            <w:vAlign w:val="center"/>
          </w:tcPr>
          <w:p w14:paraId="6F118F8E">
            <w:pPr>
              <w:snapToGrid w:val="0"/>
              <w:spacing w:line="500" w:lineRule="exact"/>
              <w:jc w:val="center"/>
              <w:rPr>
                <w:rFonts w:ascii="宋体"/>
                <w:color w:val="auto"/>
                <w:sz w:val="24"/>
                <w:highlight w:val="none"/>
              </w:rPr>
            </w:pPr>
          </w:p>
        </w:tc>
      </w:tr>
      <w:tr w14:paraId="71AD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443D808C">
            <w:pPr>
              <w:snapToGrid w:val="0"/>
              <w:spacing w:line="500" w:lineRule="exact"/>
              <w:jc w:val="center"/>
              <w:rPr>
                <w:rFonts w:ascii="宋体"/>
                <w:color w:val="auto"/>
                <w:sz w:val="24"/>
                <w:highlight w:val="none"/>
              </w:rPr>
            </w:pPr>
          </w:p>
        </w:tc>
        <w:tc>
          <w:tcPr>
            <w:tcW w:w="1506" w:type="dxa"/>
            <w:vAlign w:val="center"/>
          </w:tcPr>
          <w:p w14:paraId="61AC469E">
            <w:pPr>
              <w:snapToGrid w:val="0"/>
              <w:spacing w:line="500" w:lineRule="exact"/>
              <w:jc w:val="center"/>
              <w:rPr>
                <w:rFonts w:ascii="宋体"/>
                <w:color w:val="auto"/>
                <w:sz w:val="24"/>
                <w:highlight w:val="none"/>
              </w:rPr>
            </w:pPr>
          </w:p>
        </w:tc>
        <w:tc>
          <w:tcPr>
            <w:tcW w:w="753" w:type="dxa"/>
            <w:vAlign w:val="center"/>
          </w:tcPr>
          <w:p w14:paraId="2147BCB0">
            <w:pPr>
              <w:snapToGrid w:val="0"/>
              <w:spacing w:line="500" w:lineRule="exact"/>
              <w:jc w:val="center"/>
              <w:rPr>
                <w:rFonts w:ascii="宋体"/>
                <w:color w:val="auto"/>
                <w:sz w:val="24"/>
                <w:highlight w:val="none"/>
              </w:rPr>
            </w:pPr>
          </w:p>
        </w:tc>
        <w:tc>
          <w:tcPr>
            <w:tcW w:w="853" w:type="dxa"/>
            <w:vAlign w:val="center"/>
          </w:tcPr>
          <w:p w14:paraId="6ED2961A">
            <w:pPr>
              <w:snapToGrid w:val="0"/>
              <w:spacing w:line="500" w:lineRule="exact"/>
              <w:jc w:val="center"/>
              <w:rPr>
                <w:rFonts w:ascii="宋体"/>
                <w:color w:val="auto"/>
                <w:sz w:val="24"/>
                <w:highlight w:val="none"/>
              </w:rPr>
            </w:pPr>
          </w:p>
        </w:tc>
        <w:tc>
          <w:tcPr>
            <w:tcW w:w="1029" w:type="dxa"/>
            <w:vAlign w:val="center"/>
          </w:tcPr>
          <w:p w14:paraId="290B5216">
            <w:pPr>
              <w:snapToGrid w:val="0"/>
              <w:spacing w:line="500" w:lineRule="exact"/>
              <w:jc w:val="center"/>
              <w:rPr>
                <w:rFonts w:ascii="宋体"/>
                <w:color w:val="auto"/>
                <w:sz w:val="24"/>
                <w:highlight w:val="none"/>
              </w:rPr>
            </w:pPr>
          </w:p>
        </w:tc>
        <w:tc>
          <w:tcPr>
            <w:tcW w:w="1223" w:type="dxa"/>
            <w:vAlign w:val="center"/>
          </w:tcPr>
          <w:p w14:paraId="44F02A1A">
            <w:pPr>
              <w:snapToGrid w:val="0"/>
              <w:spacing w:line="500" w:lineRule="exact"/>
              <w:jc w:val="center"/>
              <w:rPr>
                <w:rFonts w:ascii="宋体"/>
                <w:color w:val="auto"/>
                <w:sz w:val="24"/>
                <w:highlight w:val="none"/>
              </w:rPr>
            </w:pPr>
          </w:p>
        </w:tc>
        <w:tc>
          <w:tcPr>
            <w:tcW w:w="2562" w:type="dxa"/>
            <w:vAlign w:val="center"/>
          </w:tcPr>
          <w:p w14:paraId="276EA76C">
            <w:pPr>
              <w:snapToGrid w:val="0"/>
              <w:spacing w:line="500" w:lineRule="exact"/>
              <w:jc w:val="center"/>
              <w:rPr>
                <w:rFonts w:ascii="宋体"/>
                <w:color w:val="auto"/>
                <w:sz w:val="24"/>
                <w:highlight w:val="none"/>
              </w:rPr>
            </w:pPr>
          </w:p>
        </w:tc>
      </w:tr>
      <w:tr w14:paraId="11E8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727795ED">
            <w:pPr>
              <w:snapToGrid w:val="0"/>
              <w:spacing w:line="500" w:lineRule="exact"/>
              <w:jc w:val="center"/>
              <w:rPr>
                <w:rFonts w:ascii="宋体"/>
                <w:color w:val="auto"/>
                <w:sz w:val="24"/>
                <w:highlight w:val="none"/>
              </w:rPr>
            </w:pPr>
          </w:p>
        </w:tc>
        <w:tc>
          <w:tcPr>
            <w:tcW w:w="1506" w:type="dxa"/>
            <w:vAlign w:val="center"/>
          </w:tcPr>
          <w:p w14:paraId="21BE66CF">
            <w:pPr>
              <w:snapToGrid w:val="0"/>
              <w:spacing w:line="500" w:lineRule="exact"/>
              <w:jc w:val="center"/>
              <w:rPr>
                <w:rFonts w:ascii="宋体"/>
                <w:color w:val="auto"/>
                <w:sz w:val="24"/>
                <w:highlight w:val="none"/>
              </w:rPr>
            </w:pPr>
          </w:p>
        </w:tc>
        <w:tc>
          <w:tcPr>
            <w:tcW w:w="753" w:type="dxa"/>
            <w:vAlign w:val="center"/>
          </w:tcPr>
          <w:p w14:paraId="41A615B6">
            <w:pPr>
              <w:snapToGrid w:val="0"/>
              <w:spacing w:line="500" w:lineRule="exact"/>
              <w:jc w:val="center"/>
              <w:rPr>
                <w:rFonts w:ascii="宋体"/>
                <w:color w:val="auto"/>
                <w:sz w:val="24"/>
                <w:highlight w:val="none"/>
              </w:rPr>
            </w:pPr>
          </w:p>
        </w:tc>
        <w:tc>
          <w:tcPr>
            <w:tcW w:w="853" w:type="dxa"/>
            <w:vAlign w:val="center"/>
          </w:tcPr>
          <w:p w14:paraId="2DFB88DB">
            <w:pPr>
              <w:snapToGrid w:val="0"/>
              <w:spacing w:line="500" w:lineRule="exact"/>
              <w:jc w:val="center"/>
              <w:rPr>
                <w:rFonts w:ascii="宋体"/>
                <w:color w:val="auto"/>
                <w:sz w:val="24"/>
                <w:highlight w:val="none"/>
              </w:rPr>
            </w:pPr>
          </w:p>
        </w:tc>
        <w:tc>
          <w:tcPr>
            <w:tcW w:w="1029" w:type="dxa"/>
            <w:vAlign w:val="center"/>
          </w:tcPr>
          <w:p w14:paraId="122DC2ED">
            <w:pPr>
              <w:snapToGrid w:val="0"/>
              <w:spacing w:line="500" w:lineRule="exact"/>
              <w:jc w:val="center"/>
              <w:rPr>
                <w:rFonts w:ascii="宋体"/>
                <w:color w:val="auto"/>
                <w:sz w:val="24"/>
                <w:highlight w:val="none"/>
              </w:rPr>
            </w:pPr>
          </w:p>
        </w:tc>
        <w:tc>
          <w:tcPr>
            <w:tcW w:w="1223" w:type="dxa"/>
            <w:vAlign w:val="center"/>
          </w:tcPr>
          <w:p w14:paraId="6750DA6C">
            <w:pPr>
              <w:snapToGrid w:val="0"/>
              <w:spacing w:line="500" w:lineRule="exact"/>
              <w:jc w:val="center"/>
              <w:rPr>
                <w:rFonts w:ascii="宋体"/>
                <w:color w:val="auto"/>
                <w:sz w:val="24"/>
                <w:highlight w:val="none"/>
              </w:rPr>
            </w:pPr>
          </w:p>
        </w:tc>
        <w:tc>
          <w:tcPr>
            <w:tcW w:w="2562" w:type="dxa"/>
            <w:vAlign w:val="center"/>
          </w:tcPr>
          <w:p w14:paraId="7F3314ED">
            <w:pPr>
              <w:snapToGrid w:val="0"/>
              <w:spacing w:line="500" w:lineRule="exact"/>
              <w:jc w:val="center"/>
              <w:rPr>
                <w:rFonts w:ascii="宋体"/>
                <w:color w:val="auto"/>
                <w:sz w:val="24"/>
                <w:highlight w:val="none"/>
              </w:rPr>
            </w:pPr>
          </w:p>
        </w:tc>
      </w:tr>
      <w:tr w14:paraId="3915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360A91EB">
            <w:pPr>
              <w:snapToGrid w:val="0"/>
              <w:spacing w:line="500" w:lineRule="exact"/>
              <w:jc w:val="center"/>
              <w:rPr>
                <w:rFonts w:ascii="宋体"/>
                <w:color w:val="auto"/>
                <w:sz w:val="24"/>
                <w:highlight w:val="none"/>
              </w:rPr>
            </w:pPr>
          </w:p>
        </w:tc>
        <w:tc>
          <w:tcPr>
            <w:tcW w:w="1506" w:type="dxa"/>
            <w:vAlign w:val="center"/>
          </w:tcPr>
          <w:p w14:paraId="38A34C79">
            <w:pPr>
              <w:snapToGrid w:val="0"/>
              <w:spacing w:line="500" w:lineRule="exact"/>
              <w:jc w:val="center"/>
              <w:rPr>
                <w:rFonts w:ascii="宋体"/>
                <w:color w:val="auto"/>
                <w:sz w:val="24"/>
                <w:highlight w:val="none"/>
              </w:rPr>
            </w:pPr>
          </w:p>
        </w:tc>
        <w:tc>
          <w:tcPr>
            <w:tcW w:w="753" w:type="dxa"/>
            <w:vAlign w:val="center"/>
          </w:tcPr>
          <w:p w14:paraId="5DA080ED">
            <w:pPr>
              <w:snapToGrid w:val="0"/>
              <w:spacing w:line="500" w:lineRule="exact"/>
              <w:jc w:val="center"/>
              <w:rPr>
                <w:rFonts w:ascii="宋体"/>
                <w:color w:val="auto"/>
                <w:sz w:val="24"/>
                <w:highlight w:val="none"/>
              </w:rPr>
            </w:pPr>
          </w:p>
        </w:tc>
        <w:tc>
          <w:tcPr>
            <w:tcW w:w="853" w:type="dxa"/>
            <w:vAlign w:val="center"/>
          </w:tcPr>
          <w:p w14:paraId="34C774D5">
            <w:pPr>
              <w:snapToGrid w:val="0"/>
              <w:spacing w:line="500" w:lineRule="exact"/>
              <w:jc w:val="center"/>
              <w:rPr>
                <w:rFonts w:ascii="宋体"/>
                <w:color w:val="auto"/>
                <w:sz w:val="24"/>
                <w:highlight w:val="none"/>
              </w:rPr>
            </w:pPr>
          </w:p>
        </w:tc>
        <w:tc>
          <w:tcPr>
            <w:tcW w:w="1029" w:type="dxa"/>
            <w:vAlign w:val="center"/>
          </w:tcPr>
          <w:p w14:paraId="6FDAA8B5">
            <w:pPr>
              <w:snapToGrid w:val="0"/>
              <w:spacing w:line="500" w:lineRule="exact"/>
              <w:jc w:val="center"/>
              <w:rPr>
                <w:rFonts w:ascii="宋体"/>
                <w:color w:val="auto"/>
                <w:sz w:val="24"/>
                <w:highlight w:val="none"/>
              </w:rPr>
            </w:pPr>
          </w:p>
        </w:tc>
        <w:tc>
          <w:tcPr>
            <w:tcW w:w="1223" w:type="dxa"/>
            <w:vAlign w:val="center"/>
          </w:tcPr>
          <w:p w14:paraId="43EEF405">
            <w:pPr>
              <w:snapToGrid w:val="0"/>
              <w:spacing w:line="500" w:lineRule="exact"/>
              <w:jc w:val="center"/>
              <w:rPr>
                <w:rFonts w:ascii="宋体"/>
                <w:color w:val="auto"/>
                <w:sz w:val="24"/>
                <w:highlight w:val="none"/>
              </w:rPr>
            </w:pPr>
          </w:p>
        </w:tc>
        <w:tc>
          <w:tcPr>
            <w:tcW w:w="2562" w:type="dxa"/>
            <w:vAlign w:val="center"/>
          </w:tcPr>
          <w:p w14:paraId="0F42BC2D">
            <w:pPr>
              <w:snapToGrid w:val="0"/>
              <w:spacing w:line="500" w:lineRule="exact"/>
              <w:jc w:val="center"/>
              <w:rPr>
                <w:rFonts w:ascii="宋体"/>
                <w:color w:val="auto"/>
                <w:sz w:val="24"/>
                <w:highlight w:val="none"/>
              </w:rPr>
            </w:pPr>
          </w:p>
        </w:tc>
      </w:tr>
      <w:tr w14:paraId="6D7A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3" w:type="dxa"/>
            <w:vAlign w:val="center"/>
          </w:tcPr>
          <w:p w14:paraId="696E8697">
            <w:pPr>
              <w:snapToGrid w:val="0"/>
              <w:spacing w:line="500" w:lineRule="exact"/>
              <w:jc w:val="center"/>
              <w:rPr>
                <w:rFonts w:ascii="宋体"/>
                <w:color w:val="auto"/>
                <w:sz w:val="24"/>
                <w:highlight w:val="none"/>
              </w:rPr>
            </w:pPr>
          </w:p>
        </w:tc>
        <w:tc>
          <w:tcPr>
            <w:tcW w:w="1506" w:type="dxa"/>
            <w:vAlign w:val="center"/>
          </w:tcPr>
          <w:p w14:paraId="40F7E267">
            <w:pPr>
              <w:snapToGrid w:val="0"/>
              <w:spacing w:line="500" w:lineRule="exact"/>
              <w:jc w:val="center"/>
              <w:rPr>
                <w:rFonts w:ascii="宋体"/>
                <w:color w:val="auto"/>
                <w:sz w:val="24"/>
                <w:highlight w:val="none"/>
              </w:rPr>
            </w:pPr>
          </w:p>
        </w:tc>
        <w:tc>
          <w:tcPr>
            <w:tcW w:w="753" w:type="dxa"/>
            <w:vAlign w:val="center"/>
          </w:tcPr>
          <w:p w14:paraId="0091DAB6">
            <w:pPr>
              <w:snapToGrid w:val="0"/>
              <w:spacing w:line="500" w:lineRule="exact"/>
              <w:jc w:val="center"/>
              <w:rPr>
                <w:rFonts w:ascii="宋体"/>
                <w:color w:val="auto"/>
                <w:sz w:val="24"/>
                <w:highlight w:val="none"/>
              </w:rPr>
            </w:pPr>
          </w:p>
        </w:tc>
        <w:tc>
          <w:tcPr>
            <w:tcW w:w="853" w:type="dxa"/>
            <w:vAlign w:val="center"/>
          </w:tcPr>
          <w:p w14:paraId="5F6FFF87">
            <w:pPr>
              <w:snapToGrid w:val="0"/>
              <w:spacing w:line="500" w:lineRule="exact"/>
              <w:jc w:val="center"/>
              <w:rPr>
                <w:rFonts w:ascii="宋体"/>
                <w:color w:val="auto"/>
                <w:sz w:val="24"/>
                <w:highlight w:val="none"/>
              </w:rPr>
            </w:pPr>
          </w:p>
        </w:tc>
        <w:tc>
          <w:tcPr>
            <w:tcW w:w="1029" w:type="dxa"/>
            <w:vAlign w:val="center"/>
          </w:tcPr>
          <w:p w14:paraId="12AFDA21">
            <w:pPr>
              <w:snapToGrid w:val="0"/>
              <w:spacing w:line="500" w:lineRule="exact"/>
              <w:jc w:val="center"/>
              <w:rPr>
                <w:rFonts w:ascii="宋体"/>
                <w:color w:val="auto"/>
                <w:sz w:val="24"/>
                <w:highlight w:val="none"/>
              </w:rPr>
            </w:pPr>
          </w:p>
        </w:tc>
        <w:tc>
          <w:tcPr>
            <w:tcW w:w="1223" w:type="dxa"/>
            <w:vAlign w:val="center"/>
          </w:tcPr>
          <w:p w14:paraId="4391E6AF">
            <w:pPr>
              <w:snapToGrid w:val="0"/>
              <w:spacing w:line="500" w:lineRule="exact"/>
              <w:jc w:val="center"/>
              <w:rPr>
                <w:rFonts w:ascii="宋体"/>
                <w:color w:val="auto"/>
                <w:sz w:val="24"/>
                <w:highlight w:val="none"/>
              </w:rPr>
            </w:pPr>
          </w:p>
        </w:tc>
        <w:tc>
          <w:tcPr>
            <w:tcW w:w="2562" w:type="dxa"/>
            <w:vAlign w:val="center"/>
          </w:tcPr>
          <w:p w14:paraId="66D35063">
            <w:pPr>
              <w:snapToGrid w:val="0"/>
              <w:spacing w:line="500" w:lineRule="exact"/>
              <w:jc w:val="center"/>
              <w:rPr>
                <w:rFonts w:ascii="宋体"/>
                <w:color w:val="auto"/>
                <w:sz w:val="24"/>
                <w:highlight w:val="none"/>
              </w:rPr>
            </w:pPr>
          </w:p>
        </w:tc>
      </w:tr>
      <w:tr w14:paraId="1BBF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703" w:type="dxa"/>
            <w:vAlign w:val="center"/>
          </w:tcPr>
          <w:p w14:paraId="0E147024">
            <w:pPr>
              <w:snapToGrid w:val="0"/>
              <w:spacing w:line="500" w:lineRule="exact"/>
              <w:jc w:val="center"/>
              <w:rPr>
                <w:rFonts w:ascii="宋体"/>
                <w:color w:val="auto"/>
                <w:sz w:val="24"/>
                <w:highlight w:val="none"/>
              </w:rPr>
            </w:pPr>
          </w:p>
        </w:tc>
        <w:tc>
          <w:tcPr>
            <w:tcW w:w="1506" w:type="dxa"/>
            <w:vAlign w:val="center"/>
          </w:tcPr>
          <w:p w14:paraId="1E3DAC71">
            <w:pPr>
              <w:snapToGrid w:val="0"/>
              <w:spacing w:line="500" w:lineRule="exact"/>
              <w:jc w:val="center"/>
              <w:rPr>
                <w:rFonts w:ascii="宋体"/>
                <w:color w:val="auto"/>
                <w:sz w:val="24"/>
                <w:highlight w:val="none"/>
              </w:rPr>
            </w:pPr>
          </w:p>
        </w:tc>
        <w:tc>
          <w:tcPr>
            <w:tcW w:w="753" w:type="dxa"/>
            <w:vAlign w:val="center"/>
          </w:tcPr>
          <w:p w14:paraId="06765DED">
            <w:pPr>
              <w:snapToGrid w:val="0"/>
              <w:spacing w:line="500" w:lineRule="exact"/>
              <w:jc w:val="center"/>
              <w:rPr>
                <w:rFonts w:ascii="宋体"/>
                <w:color w:val="auto"/>
                <w:sz w:val="24"/>
                <w:highlight w:val="none"/>
              </w:rPr>
            </w:pPr>
          </w:p>
        </w:tc>
        <w:tc>
          <w:tcPr>
            <w:tcW w:w="853" w:type="dxa"/>
            <w:vAlign w:val="center"/>
          </w:tcPr>
          <w:p w14:paraId="2EC865C3">
            <w:pPr>
              <w:snapToGrid w:val="0"/>
              <w:spacing w:line="500" w:lineRule="exact"/>
              <w:jc w:val="center"/>
              <w:rPr>
                <w:rFonts w:ascii="宋体"/>
                <w:color w:val="auto"/>
                <w:sz w:val="24"/>
                <w:highlight w:val="none"/>
              </w:rPr>
            </w:pPr>
          </w:p>
        </w:tc>
        <w:tc>
          <w:tcPr>
            <w:tcW w:w="1029" w:type="dxa"/>
            <w:vAlign w:val="center"/>
          </w:tcPr>
          <w:p w14:paraId="0F1C88F7">
            <w:pPr>
              <w:snapToGrid w:val="0"/>
              <w:spacing w:line="500" w:lineRule="exact"/>
              <w:jc w:val="center"/>
              <w:rPr>
                <w:rFonts w:ascii="宋体"/>
                <w:color w:val="auto"/>
                <w:sz w:val="24"/>
                <w:highlight w:val="none"/>
              </w:rPr>
            </w:pPr>
          </w:p>
        </w:tc>
        <w:tc>
          <w:tcPr>
            <w:tcW w:w="1223" w:type="dxa"/>
            <w:vAlign w:val="center"/>
          </w:tcPr>
          <w:p w14:paraId="5F1FCA96">
            <w:pPr>
              <w:snapToGrid w:val="0"/>
              <w:spacing w:line="500" w:lineRule="exact"/>
              <w:jc w:val="center"/>
              <w:rPr>
                <w:rFonts w:ascii="宋体"/>
                <w:color w:val="auto"/>
                <w:sz w:val="24"/>
                <w:highlight w:val="none"/>
              </w:rPr>
            </w:pPr>
          </w:p>
        </w:tc>
        <w:tc>
          <w:tcPr>
            <w:tcW w:w="2562" w:type="dxa"/>
            <w:vAlign w:val="center"/>
          </w:tcPr>
          <w:p w14:paraId="05978659">
            <w:pPr>
              <w:snapToGrid w:val="0"/>
              <w:spacing w:line="500" w:lineRule="exact"/>
              <w:jc w:val="center"/>
              <w:rPr>
                <w:rFonts w:ascii="宋体"/>
                <w:color w:val="auto"/>
                <w:sz w:val="24"/>
                <w:highlight w:val="none"/>
              </w:rPr>
            </w:pPr>
          </w:p>
        </w:tc>
      </w:tr>
    </w:tbl>
    <w:p w14:paraId="0F3AB75E">
      <w:pPr>
        <w:spacing w:line="480" w:lineRule="auto"/>
        <w:rPr>
          <w:rFonts w:ascii="宋体"/>
          <w:bCs/>
          <w:color w:val="auto"/>
          <w:sz w:val="24"/>
          <w:highlight w:val="none"/>
        </w:rPr>
      </w:pPr>
    </w:p>
    <w:p w14:paraId="582AA220">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单位名称：</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 xml:space="preserve">（盖章）                 </w:t>
      </w:r>
    </w:p>
    <w:p w14:paraId="3B0FC941">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法定代表人（或授权代表）：</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 xml:space="preserve">（签字）              </w:t>
      </w:r>
    </w:p>
    <w:p w14:paraId="1A6F6182">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日期：</w:t>
      </w:r>
      <w:r>
        <w:rPr>
          <w:rFonts w:hint="eastAsia" w:ascii="仿宋_GB2312" w:eastAsia="仿宋_GB2312"/>
          <w:color w:val="auto"/>
          <w:sz w:val="24"/>
          <w:highlight w:val="none"/>
          <w:u w:val="single"/>
        </w:rPr>
        <w:t xml:space="preserve">         </w:t>
      </w:r>
    </w:p>
    <w:p w14:paraId="167445AF">
      <w:pPr>
        <w:snapToGrid w:val="0"/>
        <w:spacing w:line="360" w:lineRule="auto"/>
        <w:ind w:right="480"/>
        <w:rPr>
          <w:rFonts w:ascii="宋体"/>
          <w:color w:val="auto"/>
          <w:sz w:val="24"/>
          <w:highlight w:val="none"/>
        </w:rPr>
      </w:pPr>
    </w:p>
    <w:p w14:paraId="4006B0AF">
      <w:pPr>
        <w:rPr>
          <w:bCs/>
          <w:color w:val="auto"/>
          <w:sz w:val="24"/>
          <w:szCs w:val="24"/>
          <w:highlight w:val="none"/>
        </w:rPr>
      </w:pPr>
      <w:r>
        <w:rPr>
          <w:bCs/>
          <w:color w:val="auto"/>
          <w:sz w:val="24"/>
          <w:szCs w:val="24"/>
          <w:highlight w:val="none"/>
        </w:rPr>
        <w:br w:type="page"/>
      </w:r>
    </w:p>
    <w:p w14:paraId="2307568D">
      <w:pPr>
        <w:pStyle w:val="283"/>
        <w:outlineLvl w:val="1"/>
        <w:rPr>
          <w:rFonts w:hint="default"/>
          <w:color w:val="auto"/>
          <w:highlight w:val="none"/>
          <w:lang w:val="en-US" w:eastAsia="zh-CN"/>
        </w:rPr>
      </w:pPr>
      <w:bookmarkStart w:id="140" w:name="_Toc22114"/>
      <w:r>
        <w:rPr>
          <w:rFonts w:hint="eastAsia"/>
          <w:color w:val="auto"/>
          <w:highlight w:val="none"/>
          <w:lang w:val="en-US" w:eastAsia="zh-CN"/>
        </w:rPr>
        <w:t>十五、项目负责人资质</w:t>
      </w:r>
      <w:bookmarkEnd w:id="140"/>
    </w:p>
    <w:p w14:paraId="02093B4D">
      <w:pPr>
        <w:snapToGrid w:val="0"/>
        <w:spacing w:line="360" w:lineRule="auto"/>
        <w:jc w:val="center"/>
        <w:outlineLvl w:val="9"/>
        <w:rPr>
          <w:rFonts w:ascii="黑体" w:eastAsia="黑体"/>
          <w:bCs/>
          <w:color w:val="auto"/>
          <w:sz w:val="28"/>
          <w:szCs w:val="28"/>
          <w:highlight w:val="none"/>
        </w:rPr>
      </w:pPr>
      <w:r>
        <w:rPr>
          <w:rFonts w:hint="eastAsia" w:ascii="黑体" w:eastAsia="黑体"/>
          <w:bCs/>
          <w:color w:val="auto"/>
          <w:sz w:val="28"/>
          <w:szCs w:val="28"/>
          <w:highlight w:val="none"/>
        </w:rPr>
        <w:t xml:space="preserve">拟派项目负责人简历 </w:t>
      </w:r>
    </w:p>
    <w:p w14:paraId="40696D82">
      <w:pPr>
        <w:pStyle w:val="441"/>
        <w:rPr>
          <w:color w:val="auto"/>
          <w:highlight w:val="none"/>
        </w:rPr>
      </w:pPr>
    </w:p>
    <w:p w14:paraId="5FF3F1BC">
      <w:pPr>
        <w:pStyle w:val="441"/>
        <w:rPr>
          <w:rFonts w:ascii="黑体" w:eastAsia="黑体"/>
          <w:bCs/>
          <w:color w:val="auto"/>
          <w:sz w:val="24"/>
          <w:szCs w:val="24"/>
          <w:highlight w:val="none"/>
        </w:rPr>
      </w:pPr>
      <w:r>
        <w:rPr>
          <w:rFonts w:hint="eastAsia" w:ascii="黑体" w:eastAsia="黑体"/>
          <w:bCs/>
          <w:color w:val="auto"/>
          <w:sz w:val="24"/>
          <w:szCs w:val="24"/>
          <w:highlight w:val="none"/>
        </w:rPr>
        <w:t xml:space="preserve">供应商名称（盖章）　                       </w:t>
      </w:r>
      <w:r>
        <w:rPr>
          <w:rFonts w:ascii="黑体" w:eastAsia="黑体"/>
          <w:bCs/>
          <w:color w:val="auto"/>
          <w:sz w:val="24"/>
          <w:szCs w:val="24"/>
          <w:highlight w:val="none"/>
        </w:rPr>
        <w:t>项目编号</w:t>
      </w:r>
      <w:r>
        <w:rPr>
          <w:rFonts w:hint="eastAsia" w:ascii="黑体" w:eastAsia="黑体"/>
          <w:bCs/>
          <w:color w:val="auto"/>
          <w:sz w:val="24"/>
          <w:szCs w:val="24"/>
          <w:highlight w:val="none"/>
        </w:rPr>
        <w:t>：</w:t>
      </w:r>
    </w:p>
    <w:tbl>
      <w:tblPr>
        <w:tblStyle w:val="63"/>
        <w:tblW w:w="971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75"/>
        <w:gridCol w:w="1851"/>
        <w:gridCol w:w="2394"/>
        <w:gridCol w:w="1083"/>
        <w:gridCol w:w="1254"/>
        <w:gridCol w:w="2358"/>
      </w:tblGrid>
      <w:tr w14:paraId="7E293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94" w:hRule="atLeast"/>
          <w:jc w:val="center"/>
        </w:trPr>
        <w:tc>
          <w:tcPr>
            <w:tcW w:w="775" w:type="dxa"/>
            <w:vAlign w:val="center"/>
          </w:tcPr>
          <w:p w14:paraId="1F3CFB4B">
            <w:pPr>
              <w:pStyle w:val="15"/>
              <w:overflowPunct w:val="0"/>
              <w:ind w:firstLine="0"/>
              <w:jc w:val="center"/>
              <w:rPr>
                <w:color w:val="auto"/>
                <w:sz w:val="21"/>
                <w:szCs w:val="21"/>
                <w:highlight w:val="none"/>
              </w:rPr>
            </w:pPr>
            <w:r>
              <w:rPr>
                <w:rFonts w:hAnsi="宋体"/>
                <w:color w:val="auto"/>
                <w:sz w:val="21"/>
                <w:szCs w:val="21"/>
                <w:highlight w:val="none"/>
              </w:rPr>
              <w:t>1</w:t>
            </w:r>
          </w:p>
        </w:tc>
        <w:tc>
          <w:tcPr>
            <w:tcW w:w="1851" w:type="dxa"/>
            <w:vAlign w:val="center"/>
          </w:tcPr>
          <w:p w14:paraId="3507D6CE">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姓名</w:t>
            </w:r>
          </w:p>
        </w:tc>
        <w:tc>
          <w:tcPr>
            <w:tcW w:w="2394" w:type="dxa"/>
            <w:vAlign w:val="center"/>
          </w:tcPr>
          <w:p w14:paraId="5634DECE">
            <w:pPr>
              <w:snapToGrid w:val="0"/>
              <w:spacing w:line="500" w:lineRule="exact"/>
              <w:jc w:val="center"/>
              <w:rPr>
                <w:rFonts w:ascii="宋体" w:eastAsia="Times New Roman"/>
                <w:color w:val="auto"/>
                <w:sz w:val="24"/>
                <w:highlight w:val="none"/>
              </w:rPr>
            </w:pPr>
          </w:p>
        </w:tc>
        <w:tc>
          <w:tcPr>
            <w:tcW w:w="1083" w:type="dxa"/>
            <w:vAlign w:val="center"/>
          </w:tcPr>
          <w:p w14:paraId="7C067544">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性别</w:t>
            </w:r>
          </w:p>
        </w:tc>
        <w:tc>
          <w:tcPr>
            <w:tcW w:w="3612" w:type="dxa"/>
            <w:gridSpan w:val="2"/>
            <w:vAlign w:val="center"/>
          </w:tcPr>
          <w:p w14:paraId="04892871">
            <w:pPr>
              <w:snapToGrid w:val="0"/>
              <w:spacing w:line="500" w:lineRule="exact"/>
              <w:jc w:val="center"/>
              <w:rPr>
                <w:rFonts w:ascii="宋体" w:eastAsia="Times New Roman"/>
                <w:color w:val="auto"/>
                <w:sz w:val="24"/>
                <w:highlight w:val="none"/>
              </w:rPr>
            </w:pPr>
          </w:p>
        </w:tc>
      </w:tr>
      <w:tr w14:paraId="3674E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45" w:hRule="atLeast"/>
          <w:jc w:val="center"/>
        </w:trPr>
        <w:tc>
          <w:tcPr>
            <w:tcW w:w="775" w:type="dxa"/>
            <w:vAlign w:val="center"/>
          </w:tcPr>
          <w:p w14:paraId="74AA219B">
            <w:pPr>
              <w:pStyle w:val="15"/>
              <w:overflowPunct w:val="0"/>
              <w:ind w:firstLine="0"/>
              <w:jc w:val="center"/>
              <w:rPr>
                <w:color w:val="auto"/>
                <w:sz w:val="21"/>
                <w:szCs w:val="21"/>
                <w:highlight w:val="none"/>
              </w:rPr>
            </w:pPr>
            <w:r>
              <w:rPr>
                <w:rFonts w:hAnsi="宋体"/>
                <w:color w:val="auto"/>
                <w:sz w:val="21"/>
                <w:szCs w:val="21"/>
                <w:highlight w:val="none"/>
              </w:rPr>
              <w:t>2</w:t>
            </w:r>
          </w:p>
        </w:tc>
        <w:tc>
          <w:tcPr>
            <w:tcW w:w="1851" w:type="dxa"/>
            <w:vAlign w:val="center"/>
          </w:tcPr>
          <w:p w14:paraId="0A8782A9">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身份证号码</w:t>
            </w:r>
          </w:p>
        </w:tc>
        <w:tc>
          <w:tcPr>
            <w:tcW w:w="3477" w:type="dxa"/>
            <w:gridSpan w:val="2"/>
            <w:vAlign w:val="center"/>
          </w:tcPr>
          <w:p w14:paraId="3755708B">
            <w:pPr>
              <w:snapToGrid w:val="0"/>
              <w:spacing w:line="500" w:lineRule="exact"/>
              <w:jc w:val="center"/>
              <w:rPr>
                <w:rFonts w:ascii="宋体" w:eastAsia="Times New Roman"/>
                <w:color w:val="auto"/>
                <w:sz w:val="24"/>
                <w:highlight w:val="none"/>
              </w:rPr>
            </w:pPr>
          </w:p>
        </w:tc>
        <w:tc>
          <w:tcPr>
            <w:tcW w:w="1254" w:type="dxa"/>
            <w:vAlign w:val="center"/>
          </w:tcPr>
          <w:p w14:paraId="4B762689">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出生年月</w:t>
            </w:r>
          </w:p>
        </w:tc>
        <w:tc>
          <w:tcPr>
            <w:tcW w:w="2358" w:type="dxa"/>
            <w:vAlign w:val="center"/>
          </w:tcPr>
          <w:p w14:paraId="561860A6">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年月</w:t>
            </w:r>
          </w:p>
        </w:tc>
      </w:tr>
      <w:tr w14:paraId="1DDBE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5" w:hRule="atLeast"/>
          <w:jc w:val="center"/>
        </w:trPr>
        <w:tc>
          <w:tcPr>
            <w:tcW w:w="775" w:type="dxa"/>
            <w:vAlign w:val="center"/>
          </w:tcPr>
          <w:p w14:paraId="7E3DB0E3">
            <w:pPr>
              <w:pStyle w:val="15"/>
              <w:overflowPunct w:val="0"/>
              <w:ind w:firstLine="0"/>
              <w:jc w:val="center"/>
              <w:rPr>
                <w:color w:val="auto"/>
                <w:sz w:val="21"/>
                <w:szCs w:val="21"/>
                <w:highlight w:val="none"/>
              </w:rPr>
            </w:pPr>
            <w:r>
              <w:rPr>
                <w:rFonts w:hAnsi="宋体"/>
                <w:color w:val="auto"/>
                <w:sz w:val="21"/>
                <w:szCs w:val="21"/>
                <w:highlight w:val="none"/>
              </w:rPr>
              <w:t>3</w:t>
            </w:r>
          </w:p>
        </w:tc>
        <w:tc>
          <w:tcPr>
            <w:tcW w:w="8940" w:type="dxa"/>
            <w:gridSpan w:val="5"/>
            <w:vAlign w:val="center"/>
          </w:tcPr>
          <w:p w14:paraId="6EFB7351">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联系电话</w:t>
            </w:r>
            <w:r>
              <w:rPr>
                <w:rFonts w:ascii="宋体" w:eastAsia="Times New Roman"/>
                <w:color w:val="auto"/>
                <w:sz w:val="24"/>
                <w:highlight w:val="none"/>
              </w:rPr>
              <w:t>/</w:t>
            </w:r>
            <w:r>
              <w:rPr>
                <w:rFonts w:hint="eastAsia" w:ascii="宋体" w:eastAsia="Times New Roman"/>
                <w:color w:val="auto"/>
                <w:sz w:val="24"/>
                <w:highlight w:val="none"/>
              </w:rPr>
              <w:t>传真：</w:t>
            </w:r>
          </w:p>
        </w:tc>
      </w:tr>
      <w:tr w14:paraId="73AED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964" w:hRule="atLeast"/>
          <w:jc w:val="center"/>
        </w:trPr>
        <w:tc>
          <w:tcPr>
            <w:tcW w:w="775" w:type="dxa"/>
            <w:vAlign w:val="center"/>
          </w:tcPr>
          <w:p w14:paraId="16B404E6">
            <w:pPr>
              <w:pStyle w:val="15"/>
              <w:overflowPunct w:val="0"/>
              <w:ind w:firstLine="0"/>
              <w:jc w:val="center"/>
              <w:rPr>
                <w:color w:val="auto"/>
                <w:sz w:val="21"/>
                <w:szCs w:val="21"/>
                <w:highlight w:val="none"/>
              </w:rPr>
            </w:pPr>
            <w:r>
              <w:rPr>
                <w:rFonts w:hAnsi="宋体"/>
                <w:color w:val="auto"/>
                <w:sz w:val="21"/>
                <w:szCs w:val="21"/>
                <w:highlight w:val="none"/>
              </w:rPr>
              <w:t>4</w:t>
            </w:r>
          </w:p>
        </w:tc>
        <w:tc>
          <w:tcPr>
            <w:tcW w:w="8940" w:type="dxa"/>
            <w:gridSpan w:val="5"/>
          </w:tcPr>
          <w:p w14:paraId="7DEF3374">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从事本项工作时间及工作经历：</w:t>
            </w:r>
          </w:p>
        </w:tc>
      </w:tr>
      <w:tr w14:paraId="23C5F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708" w:hRule="atLeast"/>
          <w:jc w:val="center"/>
        </w:trPr>
        <w:tc>
          <w:tcPr>
            <w:tcW w:w="775" w:type="dxa"/>
            <w:vAlign w:val="center"/>
          </w:tcPr>
          <w:p w14:paraId="0A257055">
            <w:pPr>
              <w:spacing w:line="360" w:lineRule="auto"/>
              <w:ind w:left="-2"/>
              <w:jc w:val="center"/>
              <w:rPr>
                <w:rFonts w:hint="eastAsia" w:ascii="宋体"/>
                <w:color w:val="auto"/>
                <w:szCs w:val="21"/>
                <w:highlight w:val="none"/>
              </w:rPr>
            </w:pPr>
            <w:r>
              <w:rPr>
                <w:rFonts w:hint="eastAsia" w:ascii="宋体"/>
                <w:color w:val="auto"/>
                <w:szCs w:val="21"/>
                <w:highlight w:val="none"/>
              </w:rPr>
              <w:t>5</w:t>
            </w:r>
          </w:p>
        </w:tc>
        <w:tc>
          <w:tcPr>
            <w:tcW w:w="8940" w:type="dxa"/>
            <w:gridSpan w:val="5"/>
          </w:tcPr>
          <w:p w14:paraId="6EEC4CAD">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近</w:t>
            </w:r>
            <w:r>
              <w:rPr>
                <w:rFonts w:hint="eastAsia" w:ascii="宋体"/>
                <w:color w:val="auto"/>
                <w:sz w:val="24"/>
                <w:highlight w:val="none"/>
              </w:rPr>
              <w:t>三</w:t>
            </w:r>
            <w:r>
              <w:rPr>
                <w:rFonts w:hint="eastAsia" w:ascii="宋体" w:eastAsia="Times New Roman"/>
                <w:color w:val="auto"/>
                <w:sz w:val="24"/>
                <w:highlight w:val="none"/>
              </w:rPr>
              <w:t>年内负责的相关项目：</w:t>
            </w:r>
          </w:p>
        </w:tc>
      </w:tr>
      <w:tr w14:paraId="7A079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7" w:hRule="atLeast"/>
          <w:jc w:val="center"/>
        </w:trPr>
        <w:tc>
          <w:tcPr>
            <w:tcW w:w="775" w:type="dxa"/>
            <w:vAlign w:val="center"/>
          </w:tcPr>
          <w:p w14:paraId="5E20ED4A">
            <w:pPr>
              <w:spacing w:line="360" w:lineRule="auto"/>
              <w:ind w:left="-2"/>
              <w:jc w:val="center"/>
              <w:rPr>
                <w:rFonts w:hint="eastAsia" w:ascii="宋体"/>
                <w:color w:val="auto"/>
                <w:szCs w:val="21"/>
                <w:highlight w:val="none"/>
              </w:rPr>
            </w:pPr>
            <w:r>
              <w:rPr>
                <w:rFonts w:hint="eastAsia" w:ascii="宋体"/>
                <w:color w:val="auto"/>
                <w:szCs w:val="21"/>
                <w:highlight w:val="none"/>
              </w:rPr>
              <w:t>6</w:t>
            </w:r>
          </w:p>
        </w:tc>
        <w:tc>
          <w:tcPr>
            <w:tcW w:w="8940" w:type="dxa"/>
            <w:gridSpan w:val="5"/>
            <w:vAlign w:val="center"/>
          </w:tcPr>
          <w:p w14:paraId="713AD830">
            <w:pPr>
              <w:snapToGrid w:val="0"/>
              <w:spacing w:line="500" w:lineRule="exact"/>
              <w:jc w:val="center"/>
              <w:rPr>
                <w:rFonts w:ascii="宋体" w:eastAsia="Times New Roman"/>
                <w:color w:val="auto"/>
                <w:sz w:val="24"/>
                <w:highlight w:val="none"/>
              </w:rPr>
            </w:pPr>
            <w:r>
              <w:rPr>
                <w:rFonts w:hint="eastAsia" w:ascii="宋体" w:eastAsia="Times New Roman"/>
                <w:color w:val="auto"/>
                <w:sz w:val="24"/>
                <w:highlight w:val="none"/>
              </w:rPr>
              <w:t>其他需要说明的情况</w:t>
            </w:r>
          </w:p>
        </w:tc>
      </w:tr>
    </w:tbl>
    <w:p w14:paraId="4E5F7EFE">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单位名称：</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 xml:space="preserve">（盖章）                 </w:t>
      </w:r>
    </w:p>
    <w:p w14:paraId="00F7D133">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法定代表人（或授权代表）：</w:t>
      </w:r>
      <w:r>
        <w:rPr>
          <w:rFonts w:hint="eastAsia" w:ascii="仿宋_GB2312" w:eastAsia="仿宋_GB2312"/>
          <w:color w:val="auto"/>
          <w:sz w:val="24"/>
          <w:highlight w:val="none"/>
          <w:u w:val="single"/>
        </w:rPr>
        <w:t xml:space="preserve">         </w:t>
      </w:r>
      <w:r>
        <w:rPr>
          <w:rFonts w:hint="eastAsia" w:ascii="仿宋_GB2312" w:eastAsia="仿宋_GB2312"/>
          <w:color w:val="auto"/>
          <w:sz w:val="24"/>
          <w:highlight w:val="none"/>
        </w:rPr>
        <w:t xml:space="preserve">（签字）              </w:t>
      </w:r>
    </w:p>
    <w:p w14:paraId="249E4057">
      <w:pPr>
        <w:pStyle w:val="434"/>
        <w:spacing w:line="700" w:lineRule="exact"/>
        <w:ind w:firstLine="629"/>
        <w:rPr>
          <w:rFonts w:hint="eastAsia" w:ascii="仿宋_GB2312" w:eastAsia="仿宋_GB2312"/>
          <w:color w:val="auto"/>
          <w:sz w:val="24"/>
          <w:highlight w:val="none"/>
        </w:rPr>
      </w:pPr>
      <w:r>
        <w:rPr>
          <w:rFonts w:hint="eastAsia" w:ascii="仿宋_GB2312" w:eastAsia="仿宋_GB2312"/>
          <w:color w:val="auto"/>
          <w:sz w:val="24"/>
          <w:highlight w:val="none"/>
        </w:rPr>
        <w:t>日期：</w:t>
      </w:r>
      <w:r>
        <w:rPr>
          <w:rFonts w:hint="eastAsia" w:ascii="仿宋_GB2312" w:eastAsia="仿宋_GB2312"/>
          <w:color w:val="auto"/>
          <w:sz w:val="24"/>
          <w:highlight w:val="none"/>
          <w:u w:val="single"/>
        </w:rPr>
        <w:t xml:space="preserve">         </w:t>
      </w:r>
    </w:p>
    <w:p w14:paraId="263D7DEB">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bookmarkEnd w:id="136"/>
    <w:bookmarkEnd w:id="137"/>
    <w:bookmarkEnd w:id="138"/>
    <w:p w14:paraId="74BCB0FD">
      <w:pPr>
        <w:pStyle w:val="283"/>
        <w:outlineLvl w:val="1"/>
        <w:rPr>
          <w:color w:val="auto"/>
          <w:highlight w:val="none"/>
        </w:rPr>
      </w:pPr>
      <w:bookmarkStart w:id="141" w:name="_Toc5519"/>
      <w:bookmarkStart w:id="142" w:name="_Toc30208_WPSOffice_Level2"/>
      <w:bookmarkStart w:id="143" w:name="_Toc514054504"/>
      <w:bookmarkStart w:id="144" w:name="_Toc13471"/>
      <w:r>
        <w:rPr>
          <w:color w:val="auto"/>
          <w:highlight w:val="none"/>
        </w:rPr>
        <w:t>十</w:t>
      </w:r>
      <w:r>
        <w:rPr>
          <w:rFonts w:hint="eastAsia"/>
          <w:color w:val="auto"/>
          <w:highlight w:val="none"/>
          <w:lang w:val="en-US" w:eastAsia="zh-CN"/>
        </w:rPr>
        <w:t>六</w:t>
      </w:r>
      <w:r>
        <w:rPr>
          <w:color w:val="auto"/>
          <w:highlight w:val="none"/>
        </w:rPr>
        <w:t>、</w:t>
      </w:r>
      <w:r>
        <w:rPr>
          <w:rFonts w:hint="eastAsia"/>
          <w:color w:val="auto"/>
          <w:highlight w:val="none"/>
          <w:lang w:eastAsia="zh-CN"/>
        </w:rPr>
        <w:t>供应商</w:t>
      </w:r>
      <w:r>
        <w:rPr>
          <w:color w:val="auto"/>
          <w:highlight w:val="none"/>
        </w:rPr>
        <w:t>承担类似项目业绩一览表</w:t>
      </w:r>
      <w:bookmarkEnd w:id="141"/>
      <w:bookmarkEnd w:id="142"/>
      <w:bookmarkEnd w:id="143"/>
      <w:bookmarkEnd w:id="144"/>
    </w:p>
    <w:p w14:paraId="5B0B82F4">
      <w:pPr>
        <w:pStyle w:val="443"/>
        <w:jc w:val="center"/>
        <w:rPr>
          <w:b/>
          <w:color w:val="auto"/>
          <w:sz w:val="32"/>
          <w:szCs w:val="32"/>
          <w:highlight w:val="none"/>
        </w:rPr>
      </w:pPr>
      <w:bookmarkStart w:id="145" w:name="_Toc10294_WPSOffice_Level2"/>
      <w:r>
        <w:rPr>
          <w:rFonts w:hint="eastAsia"/>
          <w:b/>
          <w:color w:val="auto"/>
          <w:sz w:val="32"/>
          <w:szCs w:val="32"/>
          <w:highlight w:val="none"/>
        </w:rPr>
        <w:t>供应商承担类似项目业绩一览表</w:t>
      </w:r>
      <w:bookmarkEnd w:id="145"/>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29"/>
        <w:gridCol w:w="3827"/>
        <w:gridCol w:w="2433"/>
        <w:gridCol w:w="1395"/>
      </w:tblGrid>
      <w:tr w14:paraId="1855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229" w:type="dxa"/>
          </w:tcPr>
          <w:p w14:paraId="571A2D1C">
            <w:pPr>
              <w:pStyle w:val="188"/>
              <w:spacing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序号</w:t>
            </w:r>
          </w:p>
        </w:tc>
        <w:tc>
          <w:tcPr>
            <w:tcW w:w="3827" w:type="dxa"/>
            <w:vAlign w:val="center"/>
          </w:tcPr>
          <w:p w14:paraId="5265B327">
            <w:pPr>
              <w:pStyle w:val="188"/>
              <w:spacing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项目名称</w:t>
            </w:r>
          </w:p>
        </w:tc>
        <w:tc>
          <w:tcPr>
            <w:tcW w:w="2433" w:type="dxa"/>
            <w:vAlign w:val="center"/>
          </w:tcPr>
          <w:p w14:paraId="00004F9B">
            <w:pPr>
              <w:pStyle w:val="188"/>
              <w:spacing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采购单位</w:t>
            </w:r>
          </w:p>
        </w:tc>
        <w:tc>
          <w:tcPr>
            <w:tcW w:w="1395" w:type="dxa"/>
            <w:vAlign w:val="center"/>
          </w:tcPr>
          <w:p w14:paraId="4526E715">
            <w:pPr>
              <w:pStyle w:val="188"/>
              <w:spacing w:line="560" w:lineRule="exact"/>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合同金额</w:t>
            </w:r>
          </w:p>
        </w:tc>
      </w:tr>
      <w:tr w14:paraId="3763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1229" w:type="dxa"/>
          </w:tcPr>
          <w:p w14:paraId="6F0111C8">
            <w:pPr>
              <w:pStyle w:val="188"/>
              <w:spacing w:line="560" w:lineRule="exact"/>
              <w:jc w:val="center"/>
              <w:rPr>
                <w:rFonts w:ascii="仿宋_GB2312" w:eastAsia="仿宋_GB2312"/>
                <w:color w:val="auto"/>
                <w:sz w:val="28"/>
                <w:highlight w:val="none"/>
              </w:rPr>
            </w:pPr>
          </w:p>
        </w:tc>
        <w:tc>
          <w:tcPr>
            <w:tcW w:w="3827" w:type="dxa"/>
            <w:vAlign w:val="center"/>
          </w:tcPr>
          <w:p w14:paraId="00527408">
            <w:pPr>
              <w:pStyle w:val="188"/>
              <w:spacing w:line="560" w:lineRule="exact"/>
              <w:jc w:val="center"/>
              <w:rPr>
                <w:rFonts w:ascii="仿宋_GB2312" w:eastAsia="仿宋_GB2312"/>
                <w:color w:val="auto"/>
                <w:sz w:val="28"/>
                <w:highlight w:val="none"/>
              </w:rPr>
            </w:pPr>
          </w:p>
        </w:tc>
        <w:tc>
          <w:tcPr>
            <w:tcW w:w="2433" w:type="dxa"/>
            <w:vAlign w:val="center"/>
          </w:tcPr>
          <w:p w14:paraId="4ABFC7F0">
            <w:pPr>
              <w:pStyle w:val="188"/>
              <w:spacing w:line="560" w:lineRule="exact"/>
              <w:jc w:val="center"/>
              <w:rPr>
                <w:rFonts w:ascii="仿宋_GB2312" w:eastAsia="仿宋_GB2312"/>
                <w:color w:val="auto"/>
                <w:sz w:val="28"/>
                <w:highlight w:val="none"/>
              </w:rPr>
            </w:pPr>
          </w:p>
        </w:tc>
        <w:tc>
          <w:tcPr>
            <w:tcW w:w="1395" w:type="dxa"/>
            <w:vAlign w:val="center"/>
          </w:tcPr>
          <w:p w14:paraId="72F10265">
            <w:pPr>
              <w:pStyle w:val="188"/>
              <w:spacing w:line="560" w:lineRule="exact"/>
              <w:jc w:val="center"/>
              <w:rPr>
                <w:rFonts w:ascii="仿宋_GB2312" w:eastAsia="仿宋_GB2312"/>
                <w:color w:val="auto"/>
                <w:sz w:val="28"/>
                <w:highlight w:val="none"/>
              </w:rPr>
            </w:pPr>
          </w:p>
        </w:tc>
      </w:tr>
      <w:tr w14:paraId="5DB5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1229" w:type="dxa"/>
          </w:tcPr>
          <w:p w14:paraId="15E7C2B8">
            <w:pPr>
              <w:pStyle w:val="188"/>
              <w:spacing w:line="560" w:lineRule="exact"/>
              <w:jc w:val="center"/>
              <w:rPr>
                <w:rFonts w:ascii="仿宋_GB2312" w:eastAsia="仿宋_GB2312"/>
                <w:color w:val="auto"/>
                <w:sz w:val="28"/>
                <w:highlight w:val="none"/>
              </w:rPr>
            </w:pPr>
          </w:p>
        </w:tc>
        <w:tc>
          <w:tcPr>
            <w:tcW w:w="3827" w:type="dxa"/>
            <w:vAlign w:val="center"/>
          </w:tcPr>
          <w:p w14:paraId="6C0F2187">
            <w:pPr>
              <w:pStyle w:val="188"/>
              <w:spacing w:line="560" w:lineRule="exact"/>
              <w:jc w:val="center"/>
              <w:rPr>
                <w:rFonts w:ascii="仿宋_GB2312" w:eastAsia="仿宋_GB2312"/>
                <w:color w:val="auto"/>
                <w:sz w:val="28"/>
                <w:highlight w:val="none"/>
              </w:rPr>
            </w:pPr>
          </w:p>
        </w:tc>
        <w:tc>
          <w:tcPr>
            <w:tcW w:w="2433" w:type="dxa"/>
            <w:vAlign w:val="center"/>
          </w:tcPr>
          <w:p w14:paraId="1BA74A1A">
            <w:pPr>
              <w:pStyle w:val="188"/>
              <w:spacing w:line="560" w:lineRule="exact"/>
              <w:jc w:val="center"/>
              <w:rPr>
                <w:rFonts w:ascii="仿宋_GB2312" w:eastAsia="仿宋_GB2312"/>
                <w:color w:val="auto"/>
                <w:sz w:val="28"/>
                <w:highlight w:val="none"/>
              </w:rPr>
            </w:pPr>
          </w:p>
        </w:tc>
        <w:tc>
          <w:tcPr>
            <w:tcW w:w="1395" w:type="dxa"/>
            <w:vAlign w:val="center"/>
          </w:tcPr>
          <w:p w14:paraId="045B6AA1">
            <w:pPr>
              <w:pStyle w:val="188"/>
              <w:spacing w:line="560" w:lineRule="exact"/>
              <w:jc w:val="center"/>
              <w:rPr>
                <w:rFonts w:ascii="仿宋_GB2312" w:eastAsia="仿宋_GB2312"/>
                <w:color w:val="auto"/>
                <w:sz w:val="28"/>
                <w:highlight w:val="none"/>
              </w:rPr>
            </w:pPr>
          </w:p>
        </w:tc>
      </w:tr>
      <w:tr w14:paraId="7916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0" w:hRule="atLeast"/>
          <w:jc w:val="center"/>
        </w:trPr>
        <w:tc>
          <w:tcPr>
            <w:tcW w:w="1229" w:type="dxa"/>
          </w:tcPr>
          <w:p w14:paraId="637536AF">
            <w:pPr>
              <w:pStyle w:val="188"/>
              <w:spacing w:line="560" w:lineRule="exact"/>
              <w:jc w:val="center"/>
              <w:rPr>
                <w:rFonts w:ascii="仿宋_GB2312" w:eastAsia="仿宋_GB2312"/>
                <w:color w:val="auto"/>
                <w:sz w:val="28"/>
                <w:highlight w:val="none"/>
              </w:rPr>
            </w:pPr>
          </w:p>
        </w:tc>
        <w:tc>
          <w:tcPr>
            <w:tcW w:w="3827" w:type="dxa"/>
            <w:vAlign w:val="center"/>
          </w:tcPr>
          <w:p w14:paraId="6BB6DDA8">
            <w:pPr>
              <w:pStyle w:val="188"/>
              <w:spacing w:line="560" w:lineRule="exact"/>
              <w:jc w:val="center"/>
              <w:rPr>
                <w:rFonts w:ascii="仿宋_GB2312" w:eastAsia="仿宋_GB2312"/>
                <w:color w:val="auto"/>
                <w:sz w:val="28"/>
                <w:highlight w:val="none"/>
              </w:rPr>
            </w:pPr>
          </w:p>
        </w:tc>
        <w:tc>
          <w:tcPr>
            <w:tcW w:w="2433" w:type="dxa"/>
            <w:vAlign w:val="center"/>
          </w:tcPr>
          <w:p w14:paraId="46D73614">
            <w:pPr>
              <w:pStyle w:val="188"/>
              <w:spacing w:line="560" w:lineRule="exact"/>
              <w:jc w:val="center"/>
              <w:rPr>
                <w:rFonts w:ascii="仿宋_GB2312" w:eastAsia="仿宋_GB2312"/>
                <w:color w:val="auto"/>
                <w:sz w:val="28"/>
                <w:highlight w:val="none"/>
              </w:rPr>
            </w:pPr>
          </w:p>
        </w:tc>
        <w:tc>
          <w:tcPr>
            <w:tcW w:w="1395" w:type="dxa"/>
            <w:vAlign w:val="center"/>
          </w:tcPr>
          <w:p w14:paraId="686EBD8D">
            <w:pPr>
              <w:pStyle w:val="188"/>
              <w:spacing w:line="560" w:lineRule="exact"/>
              <w:jc w:val="center"/>
              <w:rPr>
                <w:rFonts w:ascii="仿宋_GB2312" w:eastAsia="仿宋_GB2312"/>
                <w:color w:val="auto"/>
                <w:sz w:val="28"/>
                <w:highlight w:val="none"/>
              </w:rPr>
            </w:pPr>
          </w:p>
        </w:tc>
      </w:tr>
      <w:tr w14:paraId="456A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5" w:hRule="atLeast"/>
          <w:jc w:val="center"/>
        </w:trPr>
        <w:tc>
          <w:tcPr>
            <w:tcW w:w="1229" w:type="dxa"/>
          </w:tcPr>
          <w:p w14:paraId="6C96AC5E">
            <w:pPr>
              <w:pStyle w:val="188"/>
              <w:spacing w:line="560" w:lineRule="exact"/>
              <w:jc w:val="center"/>
              <w:rPr>
                <w:rFonts w:ascii="仿宋_GB2312" w:eastAsia="仿宋_GB2312"/>
                <w:color w:val="auto"/>
                <w:sz w:val="28"/>
                <w:highlight w:val="none"/>
              </w:rPr>
            </w:pPr>
          </w:p>
        </w:tc>
        <w:tc>
          <w:tcPr>
            <w:tcW w:w="3827" w:type="dxa"/>
            <w:vAlign w:val="center"/>
          </w:tcPr>
          <w:p w14:paraId="19E3F7C8">
            <w:pPr>
              <w:pStyle w:val="188"/>
              <w:spacing w:line="560" w:lineRule="exact"/>
              <w:jc w:val="center"/>
              <w:rPr>
                <w:rFonts w:ascii="仿宋_GB2312" w:eastAsia="仿宋_GB2312"/>
                <w:color w:val="auto"/>
                <w:sz w:val="28"/>
                <w:highlight w:val="none"/>
              </w:rPr>
            </w:pPr>
          </w:p>
        </w:tc>
        <w:tc>
          <w:tcPr>
            <w:tcW w:w="2433" w:type="dxa"/>
            <w:vAlign w:val="center"/>
          </w:tcPr>
          <w:p w14:paraId="4E6701DB">
            <w:pPr>
              <w:pStyle w:val="188"/>
              <w:spacing w:line="560" w:lineRule="exact"/>
              <w:jc w:val="center"/>
              <w:rPr>
                <w:rFonts w:ascii="仿宋_GB2312" w:eastAsia="仿宋_GB2312"/>
                <w:color w:val="auto"/>
                <w:sz w:val="28"/>
                <w:highlight w:val="none"/>
              </w:rPr>
            </w:pPr>
          </w:p>
        </w:tc>
        <w:tc>
          <w:tcPr>
            <w:tcW w:w="1395" w:type="dxa"/>
            <w:vAlign w:val="center"/>
          </w:tcPr>
          <w:p w14:paraId="0C31851D">
            <w:pPr>
              <w:pStyle w:val="188"/>
              <w:spacing w:line="560" w:lineRule="exact"/>
              <w:jc w:val="center"/>
              <w:rPr>
                <w:rFonts w:ascii="仿宋_GB2312" w:eastAsia="仿宋_GB2312"/>
                <w:color w:val="auto"/>
                <w:sz w:val="28"/>
                <w:highlight w:val="none"/>
              </w:rPr>
            </w:pPr>
          </w:p>
        </w:tc>
      </w:tr>
    </w:tbl>
    <w:p w14:paraId="5FCE2544">
      <w:pPr>
        <w:pStyle w:val="269"/>
        <w:outlineLvl w:val="1"/>
        <w:rPr>
          <w:color w:val="auto"/>
          <w:highlight w:val="none"/>
        </w:rPr>
      </w:pPr>
      <w:r>
        <w:rPr>
          <w:color w:val="auto"/>
          <w:highlight w:val="none"/>
        </w:rPr>
        <w:br w:type="page"/>
      </w:r>
      <w:bookmarkStart w:id="146" w:name="_Toc19687"/>
      <w:bookmarkStart w:id="147" w:name="_Toc514054505"/>
      <w:bookmarkStart w:id="148" w:name="_Toc502821163"/>
      <w:bookmarkStart w:id="149" w:name="_Toc30836_WPSOffice_Level2"/>
      <w:bookmarkStart w:id="150" w:name="_Toc15753"/>
      <w:r>
        <w:rPr>
          <w:color w:val="auto"/>
          <w:highlight w:val="none"/>
        </w:rPr>
        <w:t>十</w:t>
      </w:r>
      <w:r>
        <w:rPr>
          <w:rFonts w:hint="eastAsia"/>
          <w:color w:val="auto"/>
          <w:highlight w:val="none"/>
          <w:lang w:val="en-US" w:eastAsia="zh-CN"/>
        </w:rPr>
        <w:t>七</w:t>
      </w:r>
      <w:r>
        <w:rPr>
          <w:color w:val="auto"/>
          <w:highlight w:val="none"/>
        </w:rPr>
        <w:t>、</w:t>
      </w:r>
      <w:bookmarkEnd w:id="146"/>
      <w:bookmarkStart w:id="151" w:name="_Toc11270"/>
      <w:r>
        <w:rPr>
          <w:color w:val="auto"/>
          <w:highlight w:val="none"/>
        </w:rPr>
        <w:t>投标所需其他材料</w:t>
      </w:r>
      <w:bookmarkEnd w:id="147"/>
      <w:bookmarkEnd w:id="148"/>
      <w:bookmarkEnd w:id="149"/>
      <w:bookmarkEnd w:id="150"/>
      <w:bookmarkEnd w:id="151"/>
    </w:p>
    <w:p w14:paraId="7BD634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请在此文档中增加投标所需其他相关内容（包括资格要求、评分办法、采购需求中涉及的证件证明及其它供应商认为有必要提供的资料），</w:t>
      </w:r>
      <w:r>
        <w:rPr>
          <w:rFonts w:hint="eastAsia" w:ascii="宋体" w:hAnsi="宋体" w:cs="宋体"/>
          <w:b/>
          <w:bCs/>
          <w:color w:val="auto"/>
          <w:sz w:val="24"/>
          <w:szCs w:val="24"/>
          <w:highlight w:val="none"/>
        </w:rPr>
        <w:t>如没有请空置</w:t>
      </w:r>
      <w:r>
        <w:rPr>
          <w:rFonts w:hint="eastAsia" w:ascii="宋体" w:hAnsi="宋体" w:cs="宋体"/>
          <w:color w:val="auto"/>
          <w:sz w:val="24"/>
          <w:szCs w:val="24"/>
          <w:highlight w:val="none"/>
        </w:rPr>
        <w:t>。</w:t>
      </w:r>
    </w:p>
    <w:p w14:paraId="257E1B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p w14:paraId="33724264">
      <w:pPr>
        <w:rPr>
          <w:rFonts w:hint="eastAsia" w:ascii="宋体" w:hAnsi="宋体" w:eastAsia="宋体" w:cs="宋体"/>
          <w:color w:val="auto"/>
          <w:sz w:val="20"/>
          <w:highlight w:val="none"/>
          <w:lang w:val="en-US" w:eastAsia="zh-CN"/>
        </w:rPr>
      </w:pPr>
    </w:p>
    <w:p w14:paraId="7A91BD05">
      <w:pPr>
        <w:rPr>
          <w:rFonts w:hint="eastAsia" w:ascii="宋体" w:hAnsi="宋体" w:eastAsia="宋体" w:cs="宋体"/>
          <w:color w:val="auto"/>
          <w:sz w:val="20"/>
          <w:highlight w:val="none"/>
          <w:lang w:val="en-US" w:eastAsia="zh-CN"/>
        </w:rPr>
      </w:pPr>
    </w:p>
    <w:p w14:paraId="152DDA40">
      <w:pPr>
        <w:rPr>
          <w:rFonts w:hint="eastAsia"/>
          <w:color w:val="auto"/>
          <w:sz w:val="20"/>
          <w:highlight w:val="none"/>
        </w:rPr>
      </w:pPr>
    </w:p>
    <w:sectPr>
      <w:headerReference r:id="rId6" w:type="default"/>
      <w:footerReference r:id="rId7" w:type="default"/>
      <w:pgSz w:w="11906" w:h="16838"/>
      <w:pgMar w:top="1440"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000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000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Helvetica">
    <w:altName w:val="Arial"/>
    <w:panose1 w:val="020B0604020202020204"/>
    <w:charset w:val="00"/>
    <w:family w:val="swiss"/>
    <w:pitch w:val="default"/>
    <w:sig w:usb0="00000000" w:usb1="00000000" w:usb2="00000000" w:usb3="00000000" w:csb0="00000000" w:csb1="00000000"/>
  </w:font>
  <w:font w:name="Kingsoft Phonetic Plain">
    <w:altName w:val="Times New Roman"/>
    <w:panose1 w:val="00000000000000000000"/>
    <w:charset w:val="00"/>
    <w:family w:val="auto"/>
    <w:pitch w:val="default"/>
    <w:sig w:usb0="00000000" w:usb1="00000000" w:usb2="00000000" w:usb3="00000000" w:csb0="00040001" w:csb1="00000000"/>
  </w:font>
  <w:font w:name="Helvetica-Light">
    <w:altName w:val="Arial"/>
    <w:panose1 w:val="00000000000000000000"/>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华文琥珀">
    <w:panose1 w:val="02010800040101010101"/>
    <w:charset w:val="86"/>
    <w:family w:val="auto"/>
    <w:pitch w:val="default"/>
    <w:sig w:usb0="00000001" w:usb1="080F0000" w:usb2="00000000" w:usb3="00000000" w:csb0="00040000" w:csb1="00000000"/>
  </w:font>
  <w:font w:name="方正大标宋简体">
    <w:altName w:val="宋体"/>
    <w:panose1 w:val="02010601030000010101"/>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方正宋黑简体">
    <w:altName w:val="宋体"/>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8B8F3">
    <w:pPr>
      <w:pStyle w:val="40"/>
      <w:framePr w:wrap="around" w:vAnchor="text" w:hAnchor="margin" w:xAlign="right" w:y="1"/>
      <w:jc w:val="center"/>
      <w:rPr>
        <w:rStyle w:val="68"/>
        <w:rFonts w:hint="eastAsia"/>
      </w:rPr>
    </w:pPr>
  </w:p>
  <w:p w14:paraId="395ECB64">
    <w:pPr>
      <w:pStyle w:val="4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A21F4">
    <w:pPr>
      <w:pStyle w:val="40"/>
      <w:framePr w:wrap="around" w:vAnchor="text" w:hAnchor="margin" w:xAlign="center" w:y="1"/>
      <w:rPr>
        <w:rStyle w:val="68"/>
      </w:rPr>
    </w:pPr>
    <w:r>
      <w:fldChar w:fldCharType="begin"/>
    </w:r>
    <w:r>
      <w:rPr>
        <w:rStyle w:val="68"/>
        <w:highlight w:val="white"/>
      </w:rPr>
      <w:instrText xml:space="preserve">PAGE  </w:instrText>
    </w:r>
    <w:r>
      <w:fldChar w:fldCharType="separate"/>
    </w:r>
    <w:r>
      <w:rPr>
        <w:rStyle w:val="68"/>
        <w:highlight w:val="white"/>
      </w:rPr>
      <w:t>1</w:t>
    </w:r>
    <w:r>
      <w:fldChar w:fldCharType="end"/>
    </w:r>
  </w:p>
  <w:p w14:paraId="5E277CF3">
    <w:pPr>
      <w:pStyle w:val="4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F5422">
    <w:pPr>
      <w:pStyle w:val="40"/>
      <w:framePr w:wrap="around" w:vAnchor="text" w:hAnchor="margin" w:xAlign="center" w:y="1"/>
      <w:rPr>
        <w:rStyle w:val="68"/>
      </w:rPr>
    </w:pPr>
    <w:r>
      <w:fldChar w:fldCharType="begin"/>
    </w:r>
    <w:r>
      <w:rPr>
        <w:rStyle w:val="68"/>
        <w:highlight w:val="white"/>
      </w:rPr>
      <w:instrText xml:space="preserve">PAGE  </w:instrText>
    </w:r>
    <w:r>
      <w:fldChar w:fldCharType="separate"/>
    </w:r>
    <w:r>
      <w:rPr>
        <w:rStyle w:val="68"/>
        <w:highlight w:val="white"/>
      </w:rPr>
      <w:t>57</w:t>
    </w:r>
    <w:r>
      <w:fldChar w:fldCharType="end"/>
    </w:r>
  </w:p>
  <w:p w14:paraId="2A43223B">
    <w:pPr>
      <w:pStyle w:val="40"/>
      <w:framePr w:wrap="around" w:vAnchor="text" w:hAnchor="margin" w:xAlign="right" w:y="1"/>
      <w:jc w:val="center"/>
      <w:rPr>
        <w:rStyle w:val="68"/>
        <w:rFonts w:hint="eastAsia"/>
      </w:rPr>
    </w:pPr>
  </w:p>
  <w:p w14:paraId="7ED9614A">
    <w:pPr>
      <w:pStyle w:val="4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36CB6">
    <w:pPr>
      <w:pStyle w:val="41"/>
      <w:ind w:firstLine="525" w:firstLineChars="250"/>
      <w:jc w:val="both"/>
      <w:rPr>
        <w:rFonts w:hint="eastAsia" w:ascii="方正舒体" w:eastAsia="方正舒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38F11">
    <w:pPr>
      <w:pStyle w:val="41"/>
      <w:pBdr>
        <w:bottom w:val="none" w:color="auto" w:sz="0" w:space="1"/>
      </w:pBdr>
      <w:tabs>
        <w:tab w:val="clear" w:pos="4153"/>
        <w:tab w:val="clear" w:pos="8306"/>
      </w:tabs>
      <w:jc w:val="left"/>
      <w:rPr>
        <w:rFonts w:ascii="宋体" w:hAnsi="宋体"/>
        <w:i/>
        <w:iCs/>
        <w:sz w:val="22"/>
        <w:szCs w:val="22"/>
        <w:u w:val="single"/>
      </w:rPr>
    </w:pPr>
    <w:r>
      <w:rPr>
        <w:rFonts w:hint="eastAsia" w:ascii="宋体" w:hAnsi="宋体"/>
        <w:i/>
        <w:iCs/>
        <w:sz w:val="22"/>
        <w:szCs w:val="22"/>
        <w:u w:val="single"/>
      </w:rPr>
      <w:t xml:space="preserve">江苏弘业国际技术工程有限公司                        公开、公平、公正、诚实信用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8B3628"/>
    <w:multiLevelType w:val="singleLevel"/>
    <w:tmpl w:val="F88B3628"/>
    <w:lvl w:ilvl="0" w:tentative="0">
      <w:start w:val="1"/>
      <w:numFmt w:val="chineseCounting"/>
      <w:suff w:val="nothing"/>
      <w:lvlText w:val="%1、"/>
      <w:lvlJc w:val="left"/>
      <w:rPr>
        <w:rFonts w:hint="eastAsia"/>
      </w:rPr>
    </w:lvl>
  </w:abstractNum>
  <w:abstractNum w:abstractNumId="1">
    <w:nsid w:val="00000000"/>
    <w:multiLevelType w:val="multilevel"/>
    <w:tmpl w:val="00000000"/>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pStyle w:val="336"/>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2">
    <w:nsid w:val="00000001"/>
    <w:multiLevelType w:val="singleLevel"/>
    <w:tmpl w:val="00000001"/>
    <w:lvl w:ilvl="0" w:tentative="0">
      <w:start w:val="1"/>
      <w:numFmt w:val="bullet"/>
      <w:pStyle w:val="172"/>
      <w:lvlText w:val="◆"/>
      <w:lvlJc w:val="left"/>
      <w:pPr>
        <w:tabs>
          <w:tab w:val="left" w:pos="930"/>
        </w:tabs>
        <w:ind w:left="930" w:hanging="210"/>
      </w:pPr>
      <w:rPr>
        <w:rFonts w:hint="eastAsia" w:ascii="宋体" w:hAnsi="宋体"/>
      </w:rPr>
    </w:lvl>
  </w:abstractNum>
  <w:abstractNum w:abstractNumId="3">
    <w:nsid w:val="00000003"/>
    <w:multiLevelType w:val="multilevel"/>
    <w:tmpl w:val="00000003"/>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pStyle w:val="391"/>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4"/>
    <w:multiLevelType w:val="singleLevel"/>
    <w:tmpl w:val="00000004"/>
    <w:lvl w:ilvl="0" w:tentative="0">
      <w:start w:val="3"/>
      <w:numFmt w:val="decimal"/>
      <w:suff w:val="nothing"/>
      <w:lvlText w:val="%1、"/>
      <w:lvlJc w:val="left"/>
    </w:lvl>
  </w:abstractNum>
  <w:abstractNum w:abstractNumId="5">
    <w:nsid w:val="00000005"/>
    <w:multiLevelType w:val="singleLevel"/>
    <w:tmpl w:val="00000005"/>
    <w:lvl w:ilvl="0" w:tentative="0">
      <w:start w:val="1"/>
      <w:numFmt w:val="decimal"/>
      <w:lvlText w:val="(%1)"/>
      <w:lvlJc w:val="left"/>
      <w:pPr>
        <w:ind w:left="425" w:hanging="425"/>
      </w:pPr>
      <w:rPr>
        <w:rFonts w:hint="default"/>
      </w:rPr>
    </w:lvl>
  </w:abstractNum>
  <w:abstractNum w:abstractNumId="6">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7">
    <w:nsid w:val="6D35023A"/>
    <w:multiLevelType w:val="singleLevel"/>
    <w:tmpl w:val="6D35023A"/>
    <w:lvl w:ilvl="0" w:tentative="0">
      <w:start w:val="4"/>
      <w:numFmt w:val="chineseCounting"/>
      <w:suff w:val="space"/>
      <w:lvlText w:val="第%1部分"/>
      <w:lvlJc w:val="left"/>
      <w:rPr>
        <w:rFonts w:hint="eastAsia"/>
      </w:rPr>
    </w:lvl>
  </w:abstractNum>
  <w:num w:numId="1">
    <w:abstractNumId w:val="2"/>
  </w:num>
  <w:num w:numId="2">
    <w:abstractNumId w:val="1"/>
  </w:num>
  <w:num w:numId="3">
    <w:abstractNumId w:val="3"/>
  </w:num>
  <w:num w:numId="4">
    <w:abstractNumId w:val="5"/>
  </w:num>
  <w:num w:numId="5">
    <w:abstractNumId w:val="4"/>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MTFmYzZmZDM2ZGViNDAyYTRhODI2YzUyYjg2ZjMifQ=="/>
  </w:docVars>
  <w:rsids>
    <w:rsidRoot w:val="00000000"/>
    <w:rsid w:val="018254FF"/>
    <w:rsid w:val="02B641D7"/>
    <w:rsid w:val="03174B2C"/>
    <w:rsid w:val="062A539A"/>
    <w:rsid w:val="071D1060"/>
    <w:rsid w:val="07BE3841"/>
    <w:rsid w:val="092E3B1E"/>
    <w:rsid w:val="0ACC0D02"/>
    <w:rsid w:val="0B493D92"/>
    <w:rsid w:val="0B824605"/>
    <w:rsid w:val="0C375F99"/>
    <w:rsid w:val="0D261FA7"/>
    <w:rsid w:val="0E5D55A2"/>
    <w:rsid w:val="0E9E29B6"/>
    <w:rsid w:val="0F8D5F7F"/>
    <w:rsid w:val="0FBD441D"/>
    <w:rsid w:val="10175345"/>
    <w:rsid w:val="10223F85"/>
    <w:rsid w:val="11DC5CCF"/>
    <w:rsid w:val="12631AF2"/>
    <w:rsid w:val="140C761D"/>
    <w:rsid w:val="14A725D8"/>
    <w:rsid w:val="18C80D5B"/>
    <w:rsid w:val="18EF6403"/>
    <w:rsid w:val="190F4FAF"/>
    <w:rsid w:val="1BE81FD7"/>
    <w:rsid w:val="1C151143"/>
    <w:rsid w:val="1C580648"/>
    <w:rsid w:val="1C626DD1"/>
    <w:rsid w:val="1D3C0E85"/>
    <w:rsid w:val="1D5C0A36"/>
    <w:rsid w:val="1ED02211"/>
    <w:rsid w:val="1FAF67D1"/>
    <w:rsid w:val="20C52024"/>
    <w:rsid w:val="20E464FF"/>
    <w:rsid w:val="20E55E4C"/>
    <w:rsid w:val="215D04AF"/>
    <w:rsid w:val="218D5A22"/>
    <w:rsid w:val="2205092A"/>
    <w:rsid w:val="223E39D3"/>
    <w:rsid w:val="22AD225A"/>
    <w:rsid w:val="24EE3425"/>
    <w:rsid w:val="265E1309"/>
    <w:rsid w:val="26D11723"/>
    <w:rsid w:val="27692957"/>
    <w:rsid w:val="28700BD6"/>
    <w:rsid w:val="2A021BF3"/>
    <w:rsid w:val="2A696EF7"/>
    <w:rsid w:val="2BF10171"/>
    <w:rsid w:val="2C58289D"/>
    <w:rsid w:val="2C6C3122"/>
    <w:rsid w:val="2CDB0952"/>
    <w:rsid w:val="2DFB2A88"/>
    <w:rsid w:val="2E986A89"/>
    <w:rsid w:val="30135987"/>
    <w:rsid w:val="30A10F94"/>
    <w:rsid w:val="324D227E"/>
    <w:rsid w:val="329A2AE5"/>
    <w:rsid w:val="34EC05A5"/>
    <w:rsid w:val="35CE15E1"/>
    <w:rsid w:val="35D4671A"/>
    <w:rsid w:val="377F0D27"/>
    <w:rsid w:val="37C64912"/>
    <w:rsid w:val="37F35657"/>
    <w:rsid w:val="389B1C13"/>
    <w:rsid w:val="38EB7789"/>
    <w:rsid w:val="39510CB7"/>
    <w:rsid w:val="3A6F5083"/>
    <w:rsid w:val="3B056EEB"/>
    <w:rsid w:val="3B2A6287"/>
    <w:rsid w:val="3B4A33FA"/>
    <w:rsid w:val="3DE4150B"/>
    <w:rsid w:val="44A93125"/>
    <w:rsid w:val="462907DC"/>
    <w:rsid w:val="46A53431"/>
    <w:rsid w:val="473867FC"/>
    <w:rsid w:val="474779FD"/>
    <w:rsid w:val="49E7133D"/>
    <w:rsid w:val="4A9E2D08"/>
    <w:rsid w:val="4AA70C02"/>
    <w:rsid w:val="4AB7178B"/>
    <w:rsid w:val="4C1C207E"/>
    <w:rsid w:val="4E6536AD"/>
    <w:rsid w:val="50FE4F97"/>
    <w:rsid w:val="51CB02F6"/>
    <w:rsid w:val="523C1705"/>
    <w:rsid w:val="53426852"/>
    <w:rsid w:val="53682DFB"/>
    <w:rsid w:val="53AD73D7"/>
    <w:rsid w:val="555D2250"/>
    <w:rsid w:val="55FA3BC6"/>
    <w:rsid w:val="55FE168D"/>
    <w:rsid w:val="5648115D"/>
    <w:rsid w:val="5B1E422F"/>
    <w:rsid w:val="5B653C0C"/>
    <w:rsid w:val="5B6C4462"/>
    <w:rsid w:val="5D1B3810"/>
    <w:rsid w:val="5F9A6475"/>
    <w:rsid w:val="603F72F1"/>
    <w:rsid w:val="60777935"/>
    <w:rsid w:val="60F10E2D"/>
    <w:rsid w:val="615030CC"/>
    <w:rsid w:val="618B1EF3"/>
    <w:rsid w:val="6230195F"/>
    <w:rsid w:val="62984021"/>
    <w:rsid w:val="64027913"/>
    <w:rsid w:val="65594C24"/>
    <w:rsid w:val="66475F5D"/>
    <w:rsid w:val="66967370"/>
    <w:rsid w:val="66C8504F"/>
    <w:rsid w:val="688F051A"/>
    <w:rsid w:val="695C31A6"/>
    <w:rsid w:val="6A7E0B45"/>
    <w:rsid w:val="6AA35501"/>
    <w:rsid w:val="6BAB5731"/>
    <w:rsid w:val="6BAB5D77"/>
    <w:rsid w:val="6E0E1D68"/>
    <w:rsid w:val="6E721C8F"/>
    <w:rsid w:val="70FA71EB"/>
    <w:rsid w:val="71503555"/>
    <w:rsid w:val="715338C7"/>
    <w:rsid w:val="717F3BC0"/>
    <w:rsid w:val="72AB025E"/>
    <w:rsid w:val="734D342D"/>
    <w:rsid w:val="73644352"/>
    <w:rsid w:val="752F350F"/>
    <w:rsid w:val="758D275D"/>
    <w:rsid w:val="76C96EB2"/>
    <w:rsid w:val="783D70C1"/>
    <w:rsid w:val="78772D66"/>
    <w:rsid w:val="79512818"/>
    <w:rsid w:val="7A0500AC"/>
    <w:rsid w:val="7AF4245F"/>
    <w:rsid w:val="7F4006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60"/>
    <w:qFormat/>
    <w:uiPriority w:val="0"/>
    <w:pPr>
      <w:widowControl w:val="0"/>
      <w:jc w:val="both"/>
    </w:pPr>
    <w:rPr>
      <w:rFonts w:ascii="Times New Roman" w:hAnsi="Times New Roman" w:eastAsia="Times New Roman" w:cs="Times New Roman"/>
      <w:sz w:val="24"/>
      <w:szCs w:val="24"/>
      <w:lang w:bidi="ar-SA"/>
    </w:rPr>
  </w:style>
  <w:style w:type="paragraph" w:styleId="2">
    <w:name w:val="heading 1"/>
    <w:basedOn w:val="1"/>
    <w:next w:val="1"/>
    <w:link w:val="78"/>
    <w:autoRedefine/>
    <w:qFormat/>
    <w:uiPriority w:val="0"/>
    <w:pPr>
      <w:keepNext/>
      <w:keepLines/>
      <w:spacing w:before="340" w:after="330" w:line="576" w:lineRule="auto"/>
      <w:outlineLvl w:val="0"/>
    </w:pPr>
    <w:rPr>
      <w:rFonts w:eastAsia="宋体"/>
      <w:b/>
      <w:kern w:val="44"/>
      <w:sz w:val="44"/>
      <w:szCs w:val="20"/>
    </w:rPr>
  </w:style>
  <w:style w:type="paragraph" w:styleId="3">
    <w:name w:val="heading 2"/>
    <w:basedOn w:val="1"/>
    <w:next w:val="1"/>
    <w:link w:val="79"/>
    <w:autoRedefine/>
    <w:qFormat/>
    <w:uiPriority w:val="0"/>
    <w:pPr>
      <w:keepNext/>
      <w:keepLines/>
      <w:spacing w:before="260" w:after="260" w:line="413" w:lineRule="auto"/>
      <w:outlineLvl w:val="1"/>
    </w:pPr>
    <w:rPr>
      <w:rFonts w:ascii="Arial" w:hAnsi="Arial" w:eastAsia="黑体"/>
      <w:b/>
      <w:kern w:val="2"/>
      <w:sz w:val="32"/>
      <w:szCs w:val="20"/>
    </w:rPr>
  </w:style>
  <w:style w:type="paragraph" w:styleId="4">
    <w:name w:val="heading 3"/>
    <w:basedOn w:val="1"/>
    <w:next w:val="1"/>
    <w:link w:val="80"/>
    <w:autoRedefine/>
    <w:qFormat/>
    <w:uiPriority w:val="0"/>
    <w:pPr>
      <w:keepNext/>
      <w:keepLines/>
      <w:spacing w:before="260" w:after="260" w:line="413" w:lineRule="auto"/>
      <w:outlineLvl w:val="2"/>
    </w:pPr>
    <w:rPr>
      <w:rFonts w:eastAsia="宋体"/>
      <w:b/>
      <w:kern w:val="2"/>
      <w:sz w:val="32"/>
      <w:szCs w:val="20"/>
    </w:rPr>
  </w:style>
  <w:style w:type="paragraph" w:styleId="5">
    <w:name w:val="heading 4"/>
    <w:basedOn w:val="1"/>
    <w:next w:val="1"/>
    <w:link w:val="81"/>
    <w:autoRedefine/>
    <w:qFormat/>
    <w:uiPriority w:val="0"/>
    <w:pPr>
      <w:keepNext/>
      <w:keepLines/>
      <w:widowControl w:val="0"/>
      <w:tabs>
        <w:tab w:val="left" w:pos="1134"/>
        <w:tab w:val="right" w:pos="7371"/>
      </w:tabs>
      <w:overflowPunct w:val="0"/>
      <w:autoSpaceDE w:val="0"/>
      <w:autoSpaceDN w:val="0"/>
      <w:adjustRightInd w:val="0"/>
      <w:snapToGrid w:val="0"/>
      <w:spacing w:line="360" w:lineRule="auto"/>
      <w:textAlignment w:val="baseline"/>
      <w:outlineLvl w:val="3"/>
    </w:pPr>
    <w:rPr>
      <w:rFonts w:ascii="宋体" w:eastAsia="宋体"/>
      <w:color w:val="800000"/>
      <w:sz w:val="28"/>
      <w:szCs w:val="20"/>
      <w:lang w:val="en-US" w:eastAsia="zh-CN"/>
    </w:rPr>
  </w:style>
  <w:style w:type="paragraph" w:styleId="6">
    <w:name w:val="heading 5"/>
    <w:basedOn w:val="1"/>
    <w:next w:val="1"/>
    <w:autoRedefine/>
    <w:qFormat/>
    <w:uiPriority w:val="0"/>
    <w:pPr>
      <w:keepNext/>
      <w:keepLines/>
      <w:widowControl w:val="0"/>
      <w:tabs>
        <w:tab w:val="left" w:pos="1134"/>
        <w:tab w:val="right" w:pos="7371"/>
      </w:tabs>
      <w:overflowPunct w:val="0"/>
      <w:autoSpaceDE w:val="0"/>
      <w:autoSpaceDN w:val="0"/>
      <w:adjustRightInd w:val="0"/>
      <w:snapToGrid w:val="0"/>
      <w:spacing w:line="360" w:lineRule="auto"/>
      <w:jc w:val="left"/>
      <w:textAlignment w:val="baseline"/>
      <w:outlineLvl w:val="4"/>
    </w:pPr>
    <w:rPr>
      <w:rFonts w:ascii="宋体"/>
      <w:color w:val="008000"/>
      <w:kern w:val="0"/>
      <w:sz w:val="28"/>
      <w:szCs w:val="20"/>
    </w:rPr>
  </w:style>
  <w:style w:type="paragraph" w:styleId="7">
    <w:name w:val="heading 6"/>
    <w:basedOn w:val="1"/>
    <w:next w:val="1"/>
    <w:autoRedefine/>
    <w:qFormat/>
    <w:uiPriority w:val="0"/>
    <w:pPr>
      <w:keepNext/>
      <w:keepLines/>
      <w:widowControl w:val="0"/>
      <w:tabs>
        <w:tab w:val="left" w:pos="1134"/>
        <w:tab w:val="right" w:pos="7371"/>
      </w:tabs>
      <w:overflowPunct w:val="0"/>
      <w:autoSpaceDE w:val="0"/>
      <w:autoSpaceDN w:val="0"/>
      <w:adjustRightInd w:val="0"/>
      <w:snapToGrid w:val="0"/>
      <w:spacing w:before="240" w:after="64" w:line="316" w:lineRule="auto"/>
      <w:jc w:val="left"/>
      <w:textAlignment w:val="baseline"/>
      <w:outlineLvl w:val="5"/>
    </w:pPr>
    <w:rPr>
      <w:rFonts w:ascii="Arial" w:hAnsi="Arial" w:eastAsia="黑体"/>
      <w:b/>
      <w:color w:val="000000"/>
      <w:kern w:val="0"/>
      <w:sz w:val="24"/>
      <w:szCs w:val="20"/>
    </w:rPr>
  </w:style>
  <w:style w:type="paragraph" w:styleId="8">
    <w:name w:val="heading 7"/>
    <w:basedOn w:val="1"/>
    <w:next w:val="1"/>
    <w:autoRedefine/>
    <w:qFormat/>
    <w:uiPriority w:val="0"/>
    <w:pPr>
      <w:keepNext/>
      <w:keepLines/>
      <w:widowControl w:val="0"/>
      <w:tabs>
        <w:tab w:val="left" w:pos="1134"/>
        <w:tab w:val="right" w:pos="7371"/>
      </w:tabs>
      <w:overflowPunct w:val="0"/>
      <w:autoSpaceDE w:val="0"/>
      <w:autoSpaceDN w:val="0"/>
      <w:adjustRightInd w:val="0"/>
      <w:snapToGrid w:val="0"/>
      <w:spacing w:before="240" w:after="64" w:line="316" w:lineRule="auto"/>
      <w:jc w:val="left"/>
      <w:textAlignment w:val="baseline"/>
      <w:outlineLvl w:val="6"/>
    </w:pPr>
    <w:rPr>
      <w:rFonts w:ascii="宋体"/>
      <w:b/>
      <w:color w:val="000000"/>
      <w:kern w:val="0"/>
      <w:sz w:val="24"/>
      <w:szCs w:val="20"/>
    </w:rPr>
  </w:style>
  <w:style w:type="paragraph" w:styleId="9">
    <w:name w:val="heading 8"/>
    <w:basedOn w:val="1"/>
    <w:next w:val="1"/>
    <w:autoRedefine/>
    <w:qFormat/>
    <w:uiPriority w:val="0"/>
    <w:pPr>
      <w:keepNext/>
      <w:keepLines/>
      <w:widowControl w:val="0"/>
      <w:tabs>
        <w:tab w:val="left" w:pos="1134"/>
        <w:tab w:val="right" w:pos="7371"/>
      </w:tabs>
      <w:overflowPunct w:val="0"/>
      <w:autoSpaceDE w:val="0"/>
      <w:autoSpaceDN w:val="0"/>
      <w:adjustRightInd w:val="0"/>
      <w:snapToGrid w:val="0"/>
      <w:spacing w:before="240" w:after="64" w:line="316" w:lineRule="auto"/>
      <w:jc w:val="left"/>
      <w:textAlignment w:val="baseline"/>
      <w:outlineLvl w:val="7"/>
    </w:pPr>
    <w:rPr>
      <w:rFonts w:ascii="Arial" w:hAnsi="Arial" w:eastAsia="黑体"/>
      <w:color w:val="000000"/>
      <w:kern w:val="0"/>
      <w:sz w:val="24"/>
      <w:szCs w:val="20"/>
    </w:rPr>
  </w:style>
  <w:style w:type="paragraph" w:styleId="10">
    <w:name w:val="heading 9"/>
    <w:basedOn w:val="1"/>
    <w:next w:val="1"/>
    <w:autoRedefine/>
    <w:qFormat/>
    <w:uiPriority w:val="0"/>
    <w:pPr>
      <w:keepNext/>
      <w:widowControl w:val="0"/>
      <w:spacing w:line="600" w:lineRule="exact"/>
      <w:jc w:val="center"/>
      <w:outlineLvl w:val="8"/>
    </w:pPr>
    <w:rPr>
      <w:rFonts w:ascii="仿宋_GB2312" w:eastAsia="仿宋_GB2312"/>
      <w:sz w:val="32"/>
    </w:rPr>
  </w:style>
  <w:style w:type="character" w:default="1" w:styleId="65">
    <w:name w:val="Default Paragraph Font"/>
    <w:autoRedefine/>
    <w:qFormat/>
    <w:uiPriority w:val="1"/>
  </w:style>
  <w:style w:type="table" w:default="1" w:styleId="63">
    <w:name w:val="Normal Table"/>
    <w:autoRedefine/>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1260"/>
      <w:jc w:val="left"/>
    </w:pPr>
    <w:rPr>
      <w:rFonts w:ascii="Calibri" w:hAnsi="Calibri" w:cs="Calibri"/>
      <w:sz w:val="18"/>
      <w:szCs w:val="18"/>
    </w:rPr>
  </w:style>
  <w:style w:type="paragraph" w:styleId="12">
    <w:name w:val="List Bullet 4"/>
    <w:basedOn w:val="1"/>
    <w:autoRedefine/>
    <w:qFormat/>
    <w:uiPriority w:val="0"/>
    <w:pPr>
      <w:tabs>
        <w:tab w:val="left" w:pos="360"/>
      </w:tabs>
      <w:spacing w:line="380" w:lineRule="exact"/>
      <w:ind w:left="360" w:hanging="360"/>
    </w:pPr>
    <w:rPr>
      <w:rFonts w:ascii="Calibri" w:hAnsi="Calibri"/>
      <w:sz w:val="28"/>
      <w:szCs w:val="22"/>
    </w:rPr>
  </w:style>
  <w:style w:type="paragraph" w:styleId="13">
    <w:name w:val="index 8"/>
    <w:basedOn w:val="1"/>
    <w:next w:val="1"/>
    <w:autoRedefine/>
    <w:qFormat/>
    <w:uiPriority w:val="0"/>
    <w:pPr>
      <w:ind w:left="1400" w:leftChars="1400"/>
    </w:pPr>
    <w:rPr>
      <w:rFonts w:ascii="Calibri" w:hAnsi="Calibri"/>
      <w:szCs w:val="22"/>
    </w:rPr>
  </w:style>
  <w:style w:type="paragraph" w:styleId="14">
    <w:name w:val="List Number"/>
    <w:basedOn w:val="1"/>
    <w:autoRedefine/>
    <w:qFormat/>
    <w:uiPriority w:val="0"/>
    <w:pPr>
      <w:tabs>
        <w:tab w:val="left" w:pos="0"/>
        <w:tab w:val="left" w:pos="840"/>
      </w:tabs>
      <w:spacing w:line="360" w:lineRule="auto"/>
    </w:pPr>
  </w:style>
  <w:style w:type="paragraph" w:styleId="15">
    <w:name w:val="Normal Indent"/>
    <w:basedOn w:val="1"/>
    <w:autoRedefine/>
    <w:qFormat/>
    <w:uiPriority w:val="0"/>
    <w:pPr>
      <w:autoSpaceDE w:val="0"/>
      <w:autoSpaceDN w:val="0"/>
      <w:adjustRightInd w:val="0"/>
      <w:snapToGrid w:val="0"/>
      <w:ind w:firstLine="420"/>
    </w:pPr>
    <w:rPr>
      <w:rFonts w:ascii="宋体"/>
      <w:color w:val="000000"/>
      <w:sz w:val="24"/>
      <w:szCs w:val="20"/>
    </w:rPr>
  </w:style>
  <w:style w:type="paragraph" w:styleId="16">
    <w:name w:val="caption"/>
    <w:basedOn w:val="1"/>
    <w:next w:val="1"/>
    <w:link w:val="82"/>
    <w:autoRedefine/>
    <w:qFormat/>
    <w:uiPriority w:val="0"/>
    <w:pPr>
      <w:tabs>
        <w:tab w:val="left" w:pos="0"/>
      </w:tabs>
      <w:spacing w:line="360" w:lineRule="auto"/>
    </w:pPr>
    <w:rPr>
      <w:rFonts w:ascii="Arial" w:hAnsi="Arial" w:eastAsia="黑体"/>
      <w:kern w:val="2"/>
      <w:sz w:val="20"/>
      <w:szCs w:val="20"/>
    </w:rPr>
  </w:style>
  <w:style w:type="paragraph" w:styleId="17">
    <w:name w:val="index 5"/>
    <w:basedOn w:val="1"/>
    <w:next w:val="1"/>
    <w:autoRedefine/>
    <w:qFormat/>
    <w:uiPriority w:val="0"/>
    <w:pPr>
      <w:ind w:left="800" w:leftChars="800"/>
    </w:pPr>
    <w:rPr>
      <w:rFonts w:ascii="Calibri" w:hAnsi="Calibri"/>
      <w:szCs w:val="22"/>
    </w:rPr>
  </w:style>
  <w:style w:type="paragraph" w:styleId="18">
    <w:name w:val="List Bullet"/>
    <w:basedOn w:val="1"/>
    <w:autoRedefine/>
    <w:qFormat/>
    <w:uiPriority w:val="0"/>
    <w:pPr>
      <w:tabs>
        <w:tab w:val="left" w:pos="840"/>
      </w:tabs>
      <w:spacing w:line="360" w:lineRule="auto"/>
      <w:ind w:left="962" w:hanging="480"/>
    </w:pPr>
    <w:rPr>
      <w:sz w:val="24"/>
    </w:rPr>
  </w:style>
  <w:style w:type="paragraph" w:styleId="19">
    <w:name w:val="Document Map"/>
    <w:basedOn w:val="1"/>
    <w:autoRedefine/>
    <w:qFormat/>
    <w:uiPriority w:val="0"/>
    <w:pPr>
      <w:shd w:val="clear" w:color="auto" w:fill="000080"/>
    </w:pPr>
  </w:style>
  <w:style w:type="paragraph" w:styleId="20">
    <w:name w:val="annotation text"/>
    <w:basedOn w:val="1"/>
    <w:link w:val="83"/>
    <w:autoRedefine/>
    <w:qFormat/>
    <w:uiPriority w:val="99"/>
    <w:pPr>
      <w:jc w:val="left"/>
    </w:pPr>
    <w:rPr>
      <w:rFonts w:ascii="Calibri" w:hAnsi="Calibri" w:eastAsia="宋体"/>
      <w:kern w:val="2"/>
      <w:sz w:val="21"/>
      <w:szCs w:val="20"/>
    </w:rPr>
  </w:style>
  <w:style w:type="paragraph" w:styleId="21">
    <w:name w:val="index 6"/>
    <w:basedOn w:val="1"/>
    <w:next w:val="1"/>
    <w:autoRedefine/>
    <w:qFormat/>
    <w:uiPriority w:val="0"/>
    <w:pPr>
      <w:ind w:left="1000" w:leftChars="1000"/>
    </w:pPr>
    <w:rPr>
      <w:rFonts w:ascii="Calibri" w:hAnsi="Calibri"/>
      <w:szCs w:val="22"/>
    </w:rPr>
  </w:style>
  <w:style w:type="paragraph" w:styleId="22">
    <w:name w:val="Body Text 3"/>
    <w:basedOn w:val="1"/>
    <w:qFormat/>
    <w:uiPriority w:val="0"/>
    <w:rPr>
      <w:color w:val="000000"/>
    </w:rPr>
  </w:style>
  <w:style w:type="paragraph" w:styleId="23">
    <w:name w:val="List Bullet 3"/>
    <w:basedOn w:val="1"/>
    <w:autoRedefine/>
    <w:qFormat/>
    <w:uiPriority w:val="0"/>
    <w:pPr>
      <w:tabs>
        <w:tab w:val="left" w:pos="1200"/>
      </w:tabs>
      <w:spacing w:line="380" w:lineRule="exact"/>
      <w:ind w:left="1200" w:hanging="360"/>
    </w:pPr>
    <w:rPr>
      <w:rFonts w:ascii="Calibri" w:hAnsi="Calibri"/>
      <w:sz w:val="28"/>
      <w:szCs w:val="22"/>
    </w:rPr>
  </w:style>
  <w:style w:type="paragraph" w:styleId="24">
    <w:name w:val="Body Text"/>
    <w:basedOn w:val="1"/>
    <w:next w:val="1"/>
    <w:autoRedefine/>
    <w:qFormat/>
    <w:uiPriority w:val="0"/>
    <w:pPr>
      <w:spacing w:line="60" w:lineRule="auto"/>
    </w:pPr>
    <w:rPr>
      <w:rFonts w:ascii="仿宋_GB2312" w:eastAsia="仿宋_GB2312"/>
      <w:sz w:val="32"/>
    </w:rPr>
  </w:style>
  <w:style w:type="paragraph" w:styleId="25">
    <w:name w:val="Body Text Indent"/>
    <w:basedOn w:val="1"/>
    <w:autoRedefine/>
    <w:qFormat/>
    <w:uiPriority w:val="0"/>
    <w:pPr>
      <w:ind w:firstLine="225" w:firstLineChars="225"/>
    </w:pPr>
    <w:rPr>
      <w:rFonts w:ascii="仿宋_GB2312" w:eastAsia="仿宋_GB2312"/>
      <w:sz w:val="32"/>
    </w:rPr>
  </w:style>
  <w:style w:type="paragraph" w:styleId="26">
    <w:name w:val="Block Text"/>
    <w:basedOn w:val="1"/>
    <w:autoRedefine/>
    <w:qFormat/>
    <w:uiPriority w:val="0"/>
    <w:pPr>
      <w:spacing w:line="360" w:lineRule="exact"/>
      <w:ind w:left="1548" w:leftChars="-857" w:right="12" w:rightChars="12" w:hanging="2405" w:hangingChars="2405"/>
    </w:pPr>
    <w:rPr>
      <w:rFonts w:ascii="宋体"/>
      <w:bCs/>
      <w:sz w:val="28"/>
      <w:szCs w:val="22"/>
    </w:rPr>
  </w:style>
  <w:style w:type="paragraph" w:styleId="27">
    <w:name w:val="List Bullet 2"/>
    <w:basedOn w:val="1"/>
    <w:autoRedefine/>
    <w:qFormat/>
    <w:uiPriority w:val="0"/>
    <w:pPr>
      <w:tabs>
        <w:tab w:val="left" w:pos="720"/>
      </w:tabs>
      <w:spacing w:line="360" w:lineRule="auto"/>
      <w:ind w:left="720" w:hanging="360"/>
    </w:pPr>
    <w:rPr>
      <w:sz w:val="24"/>
    </w:rPr>
  </w:style>
  <w:style w:type="paragraph" w:styleId="28">
    <w:name w:val="HTML Address"/>
    <w:basedOn w:val="1"/>
    <w:autoRedefine/>
    <w:qFormat/>
    <w:uiPriority w:val="0"/>
    <w:rPr>
      <w:i/>
      <w:iCs/>
    </w:rPr>
  </w:style>
  <w:style w:type="paragraph" w:styleId="29">
    <w:name w:val="index 4"/>
    <w:basedOn w:val="1"/>
    <w:next w:val="1"/>
    <w:autoRedefine/>
    <w:qFormat/>
    <w:uiPriority w:val="0"/>
    <w:pPr>
      <w:ind w:left="600" w:leftChars="600"/>
    </w:pPr>
    <w:rPr>
      <w:rFonts w:ascii="Calibri" w:hAnsi="Calibri"/>
      <w:szCs w:val="22"/>
    </w:rPr>
  </w:style>
  <w:style w:type="paragraph" w:styleId="30">
    <w:name w:val="toc 5"/>
    <w:basedOn w:val="1"/>
    <w:next w:val="1"/>
    <w:autoRedefine/>
    <w:qFormat/>
    <w:uiPriority w:val="0"/>
    <w:pPr>
      <w:ind w:left="840"/>
      <w:jc w:val="left"/>
    </w:pPr>
    <w:rPr>
      <w:rFonts w:ascii="Calibri" w:hAnsi="Calibri" w:cs="Calibri"/>
      <w:sz w:val="18"/>
      <w:szCs w:val="18"/>
    </w:rPr>
  </w:style>
  <w:style w:type="paragraph" w:styleId="31">
    <w:name w:val="toc 3"/>
    <w:basedOn w:val="1"/>
    <w:next w:val="1"/>
    <w:autoRedefine/>
    <w:qFormat/>
    <w:uiPriority w:val="39"/>
    <w:pPr>
      <w:ind w:left="420"/>
      <w:jc w:val="left"/>
    </w:pPr>
    <w:rPr>
      <w:rFonts w:ascii="Calibri" w:hAnsi="Calibri" w:cs="Calibri"/>
      <w:i/>
      <w:iCs/>
      <w:sz w:val="20"/>
      <w:szCs w:val="20"/>
    </w:rPr>
  </w:style>
  <w:style w:type="paragraph" w:styleId="32">
    <w:name w:val="Plain Text"/>
    <w:basedOn w:val="1"/>
    <w:link w:val="84"/>
    <w:autoRedefine/>
    <w:qFormat/>
    <w:uiPriority w:val="0"/>
    <w:rPr>
      <w:rFonts w:ascii="宋体" w:hAnsi="Calibri" w:eastAsia="宋体"/>
      <w:kern w:val="2"/>
      <w:sz w:val="21"/>
      <w:szCs w:val="21"/>
      <w:lang w:val="en-US" w:eastAsia="zh-CN"/>
    </w:rPr>
  </w:style>
  <w:style w:type="paragraph" w:styleId="33">
    <w:name w:val="List Bullet 5"/>
    <w:basedOn w:val="1"/>
    <w:autoRedefine/>
    <w:qFormat/>
    <w:uiPriority w:val="0"/>
    <w:pPr>
      <w:tabs>
        <w:tab w:val="left" w:pos="720"/>
      </w:tabs>
      <w:spacing w:line="380" w:lineRule="exact"/>
      <w:ind w:left="720" w:hanging="360"/>
    </w:pPr>
    <w:rPr>
      <w:rFonts w:ascii="Calibri" w:hAnsi="Calibri"/>
      <w:sz w:val="28"/>
      <w:szCs w:val="22"/>
    </w:rPr>
  </w:style>
  <w:style w:type="paragraph" w:styleId="34">
    <w:name w:val="toc 8"/>
    <w:basedOn w:val="1"/>
    <w:next w:val="1"/>
    <w:autoRedefine/>
    <w:qFormat/>
    <w:uiPriority w:val="0"/>
    <w:pPr>
      <w:ind w:left="1470"/>
      <w:jc w:val="left"/>
    </w:pPr>
    <w:rPr>
      <w:rFonts w:ascii="Calibri" w:hAnsi="Calibri" w:cs="Calibri"/>
      <w:sz w:val="18"/>
      <w:szCs w:val="18"/>
    </w:rPr>
  </w:style>
  <w:style w:type="paragraph" w:styleId="35">
    <w:name w:val="index 3"/>
    <w:basedOn w:val="1"/>
    <w:next w:val="1"/>
    <w:autoRedefine/>
    <w:qFormat/>
    <w:uiPriority w:val="0"/>
    <w:pPr>
      <w:ind w:left="400" w:leftChars="400"/>
    </w:pPr>
    <w:rPr>
      <w:rFonts w:ascii="Calibri" w:hAnsi="Calibri"/>
      <w:szCs w:val="22"/>
    </w:rPr>
  </w:style>
  <w:style w:type="paragraph" w:styleId="36">
    <w:name w:val="Date"/>
    <w:basedOn w:val="1"/>
    <w:next w:val="1"/>
    <w:autoRedefine/>
    <w:qFormat/>
    <w:uiPriority w:val="0"/>
    <w:pPr>
      <w:ind w:left="2500" w:leftChars="2500"/>
    </w:pPr>
  </w:style>
  <w:style w:type="paragraph" w:styleId="37">
    <w:name w:val="Body Text Indent 2"/>
    <w:basedOn w:val="1"/>
    <w:autoRedefine/>
    <w:qFormat/>
    <w:uiPriority w:val="0"/>
    <w:pPr>
      <w:spacing w:line="540" w:lineRule="exact"/>
      <w:ind w:firstLine="225" w:firstLineChars="225"/>
      <w:jc w:val="left"/>
    </w:pPr>
    <w:rPr>
      <w:rFonts w:ascii="仿宋_GB2312" w:eastAsia="仿宋_GB2312"/>
      <w:sz w:val="32"/>
    </w:rPr>
  </w:style>
  <w:style w:type="paragraph" w:styleId="38">
    <w:name w:val="endnote text"/>
    <w:basedOn w:val="1"/>
    <w:autoRedefine/>
    <w:qFormat/>
    <w:uiPriority w:val="0"/>
    <w:pPr>
      <w:widowControl/>
      <w:snapToGrid w:val="0"/>
      <w:jc w:val="left"/>
    </w:pPr>
    <w:rPr>
      <w:rFonts w:ascii="宋体"/>
      <w:bCs/>
      <w:kern w:val="0"/>
      <w:szCs w:val="21"/>
    </w:rPr>
  </w:style>
  <w:style w:type="paragraph" w:styleId="39">
    <w:name w:val="Balloon Text"/>
    <w:basedOn w:val="1"/>
    <w:autoRedefine/>
    <w:qFormat/>
    <w:uiPriority w:val="0"/>
    <w:rPr>
      <w:sz w:val="18"/>
      <w:szCs w:val="20"/>
    </w:rPr>
  </w:style>
  <w:style w:type="paragraph" w:styleId="40">
    <w:name w:val="footer"/>
    <w:basedOn w:val="1"/>
    <w:link w:val="85"/>
    <w:autoRedefine/>
    <w:qFormat/>
    <w:uiPriority w:val="99"/>
    <w:pPr>
      <w:tabs>
        <w:tab w:val="center" w:pos="4153"/>
        <w:tab w:val="right" w:pos="8306"/>
      </w:tabs>
      <w:snapToGrid w:val="0"/>
      <w:jc w:val="left"/>
    </w:pPr>
    <w:rPr>
      <w:rFonts w:eastAsia="宋体"/>
      <w:kern w:val="2"/>
      <w:sz w:val="18"/>
      <w:szCs w:val="18"/>
    </w:rPr>
  </w:style>
  <w:style w:type="paragraph" w:styleId="4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autoRedefine/>
    <w:qFormat/>
    <w:uiPriority w:val="39"/>
    <w:pPr>
      <w:spacing w:before="120" w:after="120"/>
      <w:jc w:val="left"/>
    </w:pPr>
    <w:rPr>
      <w:rFonts w:ascii="Calibri" w:hAnsi="Calibri" w:cs="Calibri"/>
      <w:b/>
      <w:bCs/>
      <w:caps/>
      <w:sz w:val="20"/>
      <w:szCs w:val="20"/>
    </w:rPr>
  </w:style>
  <w:style w:type="paragraph" w:styleId="43">
    <w:name w:val="toc 4"/>
    <w:basedOn w:val="1"/>
    <w:next w:val="1"/>
    <w:autoRedefine/>
    <w:qFormat/>
    <w:uiPriority w:val="0"/>
    <w:pPr>
      <w:ind w:left="630"/>
      <w:jc w:val="left"/>
    </w:pPr>
    <w:rPr>
      <w:rFonts w:ascii="Calibri" w:hAnsi="Calibri" w:cs="Calibri"/>
      <w:sz w:val="18"/>
      <w:szCs w:val="18"/>
    </w:rPr>
  </w:style>
  <w:style w:type="paragraph" w:styleId="44">
    <w:name w:val="index heading"/>
    <w:basedOn w:val="1"/>
    <w:next w:val="45"/>
    <w:autoRedefine/>
    <w:qFormat/>
    <w:uiPriority w:val="0"/>
    <w:rPr>
      <w:rFonts w:ascii="Calibri" w:hAnsi="Calibri"/>
      <w:szCs w:val="22"/>
    </w:rPr>
  </w:style>
  <w:style w:type="paragraph" w:styleId="45">
    <w:name w:val="index 1"/>
    <w:basedOn w:val="1"/>
    <w:next w:val="1"/>
    <w:autoRedefine/>
    <w:qFormat/>
    <w:uiPriority w:val="0"/>
    <w:rPr>
      <w:rFonts w:ascii="Calibri" w:hAnsi="Calibri"/>
      <w:szCs w:val="22"/>
    </w:rPr>
  </w:style>
  <w:style w:type="paragraph" w:styleId="46">
    <w:name w:val="footnote text"/>
    <w:basedOn w:val="1"/>
    <w:autoRedefine/>
    <w:qFormat/>
    <w:uiPriority w:val="0"/>
    <w:pPr>
      <w:adjustRightInd w:val="0"/>
      <w:snapToGrid w:val="0"/>
      <w:jc w:val="left"/>
    </w:pPr>
    <w:rPr>
      <w:rFonts w:ascii="宋体"/>
      <w:bCs/>
      <w:kern w:val="0"/>
      <w:sz w:val="18"/>
      <w:szCs w:val="18"/>
    </w:rPr>
  </w:style>
  <w:style w:type="paragraph" w:styleId="47">
    <w:name w:val="toc 6"/>
    <w:basedOn w:val="1"/>
    <w:next w:val="1"/>
    <w:autoRedefine/>
    <w:qFormat/>
    <w:uiPriority w:val="0"/>
    <w:pPr>
      <w:ind w:left="1050"/>
      <w:jc w:val="left"/>
    </w:pPr>
    <w:rPr>
      <w:rFonts w:ascii="Calibri" w:hAnsi="Calibri" w:cs="Calibri"/>
      <w:sz w:val="18"/>
      <w:szCs w:val="18"/>
    </w:rPr>
  </w:style>
  <w:style w:type="paragraph" w:styleId="48">
    <w:name w:val="Body Text Indent 3"/>
    <w:basedOn w:val="1"/>
    <w:autoRedefine/>
    <w:qFormat/>
    <w:uiPriority w:val="0"/>
    <w:pPr>
      <w:ind w:firstLine="213" w:firstLineChars="213"/>
    </w:pPr>
    <w:rPr>
      <w:rFonts w:ascii="仿宋_GB2312" w:eastAsia="仿宋_GB2312"/>
      <w:sz w:val="30"/>
    </w:rPr>
  </w:style>
  <w:style w:type="paragraph" w:styleId="49">
    <w:name w:val="index 7"/>
    <w:basedOn w:val="1"/>
    <w:next w:val="1"/>
    <w:autoRedefine/>
    <w:qFormat/>
    <w:uiPriority w:val="0"/>
    <w:pPr>
      <w:ind w:left="1200" w:leftChars="1200"/>
    </w:pPr>
    <w:rPr>
      <w:rFonts w:ascii="Calibri" w:hAnsi="Calibri"/>
      <w:szCs w:val="22"/>
    </w:rPr>
  </w:style>
  <w:style w:type="paragraph" w:styleId="50">
    <w:name w:val="index 9"/>
    <w:basedOn w:val="1"/>
    <w:next w:val="1"/>
    <w:autoRedefine/>
    <w:qFormat/>
    <w:uiPriority w:val="0"/>
    <w:pPr>
      <w:ind w:left="1600" w:leftChars="1600"/>
    </w:pPr>
    <w:rPr>
      <w:rFonts w:ascii="Calibri" w:hAnsi="Calibri"/>
      <w:szCs w:val="22"/>
    </w:rPr>
  </w:style>
  <w:style w:type="paragraph" w:styleId="51">
    <w:name w:val="table of figures"/>
    <w:basedOn w:val="1"/>
    <w:next w:val="1"/>
    <w:autoRedefine/>
    <w:qFormat/>
    <w:uiPriority w:val="0"/>
    <w:pPr>
      <w:widowControl/>
      <w:ind w:left="400" w:leftChars="200" w:hanging="200" w:hangingChars="200"/>
      <w:jc w:val="left"/>
    </w:pPr>
    <w:rPr>
      <w:rFonts w:ascii="宋体"/>
      <w:bCs/>
      <w:kern w:val="0"/>
      <w:szCs w:val="21"/>
    </w:rPr>
  </w:style>
  <w:style w:type="paragraph" w:styleId="52">
    <w:name w:val="toc 2"/>
    <w:basedOn w:val="1"/>
    <w:next w:val="1"/>
    <w:qFormat/>
    <w:uiPriority w:val="39"/>
    <w:pPr>
      <w:ind w:left="210"/>
      <w:jc w:val="left"/>
    </w:pPr>
    <w:rPr>
      <w:rFonts w:ascii="Calibri" w:hAnsi="Calibri" w:cs="Calibri"/>
      <w:smallCaps/>
      <w:sz w:val="20"/>
      <w:szCs w:val="20"/>
    </w:rPr>
  </w:style>
  <w:style w:type="paragraph" w:styleId="53">
    <w:name w:val="toc 9"/>
    <w:basedOn w:val="1"/>
    <w:next w:val="1"/>
    <w:autoRedefine/>
    <w:qFormat/>
    <w:uiPriority w:val="0"/>
    <w:pPr>
      <w:ind w:left="1680"/>
      <w:jc w:val="left"/>
    </w:pPr>
    <w:rPr>
      <w:rFonts w:ascii="Calibri" w:hAnsi="Calibri" w:cs="Calibri"/>
      <w:sz w:val="18"/>
      <w:szCs w:val="18"/>
    </w:rPr>
  </w:style>
  <w:style w:type="paragraph" w:styleId="54">
    <w:name w:val="Body Text 2"/>
    <w:basedOn w:val="1"/>
    <w:autoRedefine/>
    <w:qFormat/>
    <w:uiPriority w:val="0"/>
    <w:pPr>
      <w:spacing w:line="560" w:lineRule="exact"/>
    </w:pPr>
    <w:rPr>
      <w:rFonts w:ascii="仿宋_GB2312" w:eastAsia="仿宋_GB2312"/>
      <w:sz w:val="28"/>
      <w:szCs w:val="30"/>
    </w:rPr>
  </w:style>
  <w:style w:type="paragraph" w:styleId="55">
    <w:name w:val="List Continue 2"/>
    <w:basedOn w:val="1"/>
    <w:qFormat/>
    <w:uiPriority w:val="0"/>
    <w:pPr>
      <w:spacing w:after="120"/>
      <w:ind w:left="840" w:leftChars="400"/>
    </w:pPr>
  </w:style>
  <w:style w:type="paragraph" w:styleId="5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lang w:bidi="ar-SA"/>
    </w:rPr>
  </w:style>
  <w:style w:type="paragraph" w:styleId="57">
    <w:name w:val="Normal (Web)"/>
    <w:basedOn w:val="1"/>
    <w:qFormat/>
    <w:uiPriority w:val="0"/>
    <w:pPr>
      <w:widowControl/>
      <w:spacing w:before="100" w:beforeAutospacing="1" w:after="100" w:afterAutospacing="1"/>
      <w:jc w:val="left"/>
    </w:pPr>
    <w:rPr>
      <w:rFonts w:ascii="宋体"/>
      <w:kern w:val="0"/>
      <w:sz w:val="24"/>
      <w:szCs w:val="20"/>
    </w:rPr>
  </w:style>
  <w:style w:type="paragraph" w:styleId="58">
    <w:name w:val="index 2"/>
    <w:basedOn w:val="1"/>
    <w:next w:val="1"/>
    <w:qFormat/>
    <w:uiPriority w:val="0"/>
    <w:pPr>
      <w:ind w:left="200" w:leftChars="200"/>
    </w:pPr>
    <w:rPr>
      <w:rFonts w:ascii="Calibri" w:hAnsi="Calibri"/>
      <w:szCs w:val="22"/>
    </w:rPr>
  </w:style>
  <w:style w:type="paragraph" w:styleId="59">
    <w:name w:val="Title"/>
    <w:basedOn w:val="1"/>
    <w:qFormat/>
    <w:uiPriority w:val="0"/>
    <w:pPr>
      <w:spacing w:before="240" w:after="60"/>
      <w:jc w:val="center"/>
      <w:outlineLvl w:val="0"/>
    </w:pPr>
    <w:rPr>
      <w:rFonts w:ascii="Cambria" w:hAnsi="Cambria"/>
      <w:b/>
      <w:bCs/>
      <w:sz w:val="32"/>
      <w:szCs w:val="32"/>
    </w:rPr>
  </w:style>
  <w:style w:type="paragraph" w:styleId="60">
    <w:name w:val="annotation subject"/>
    <w:basedOn w:val="20"/>
    <w:next w:val="20"/>
    <w:qFormat/>
    <w:uiPriority w:val="0"/>
    <w:rPr>
      <w:b/>
    </w:rPr>
  </w:style>
  <w:style w:type="paragraph" w:styleId="61">
    <w:name w:val="Body Text First Indent"/>
    <w:basedOn w:val="24"/>
    <w:qFormat/>
    <w:uiPriority w:val="0"/>
    <w:pPr>
      <w:spacing w:after="120" w:line="240" w:lineRule="auto"/>
      <w:ind w:firstLine="100" w:firstLineChars="100"/>
    </w:pPr>
    <w:rPr>
      <w:rFonts w:ascii="Times New Roman" w:hAnsi="Times New Roman" w:eastAsia="宋体"/>
      <w:sz w:val="21"/>
    </w:rPr>
  </w:style>
  <w:style w:type="paragraph" w:styleId="62">
    <w:name w:val="Body Text First Indent 2"/>
    <w:basedOn w:val="25"/>
    <w:link w:val="86"/>
    <w:qFormat/>
    <w:uiPriority w:val="0"/>
    <w:pPr>
      <w:spacing w:after="120"/>
      <w:ind w:left="200" w:leftChars="200" w:firstLine="200" w:firstLineChars="200"/>
    </w:pPr>
    <w:rPr>
      <w:rFonts w:ascii="Times New Roman"/>
      <w:sz w:val="24"/>
    </w:rPr>
  </w:style>
  <w:style w:type="table" w:styleId="64">
    <w:name w:val="Table Grid"/>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6">
    <w:name w:val="Strong"/>
    <w:basedOn w:val="65"/>
    <w:autoRedefine/>
    <w:qFormat/>
    <w:uiPriority w:val="0"/>
    <w:rPr>
      <w:b/>
    </w:rPr>
  </w:style>
  <w:style w:type="character" w:styleId="67">
    <w:name w:val="endnote reference"/>
    <w:qFormat/>
    <w:uiPriority w:val="0"/>
    <w:rPr>
      <w:vertAlign w:val="superscript"/>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0"/>
    <w:rPr>
      <w:color w:val="CC0033"/>
    </w:rPr>
  </w:style>
  <w:style w:type="character" w:styleId="71">
    <w:name w:val="HTML Typewriter"/>
    <w:qFormat/>
    <w:uiPriority w:val="0"/>
    <w:rPr>
      <w:rFonts w:ascii="宋体" w:eastAsia="宋体" w:cs="宋体"/>
      <w:sz w:val="24"/>
      <w:szCs w:val="24"/>
      <w:lang w:bidi="ar-SA"/>
    </w:rPr>
  </w:style>
  <w:style w:type="character" w:styleId="72">
    <w:name w:val="Hyperlink"/>
    <w:autoRedefine/>
    <w:qFormat/>
    <w:uiPriority w:val="99"/>
    <w:rPr>
      <w:color w:val="0000FF"/>
      <w:u w:val="single"/>
    </w:rPr>
  </w:style>
  <w:style w:type="character" w:styleId="73">
    <w:name w:val="annotation reference"/>
    <w:basedOn w:val="65"/>
    <w:qFormat/>
    <w:uiPriority w:val="0"/>
    <w:rPr>
      <w:sz w:val="21"/>
    </w:rPr>
  </w:style>
  <w:style w:type="character" w:styleId="74">
    <w:name w:val="footnote reference"/>
    <w:qFormat/>
    <w:uiPriority w:val="0"/>
    <w:rPr>
      <w:vertAlign w:val="superscript"/>
    </w:rPr>
  </w:style>
  <w:style w:type="paragraph" w:customStyle="1" w:styleId="75">
    <w:name w:val="Default"/>
    <w:qFormat/>
    <w:uiPriority w:val="0"/>
    <w:pPr>
      <w:widowControl w:val="0"/>
      <w:autoSpaceDE w:val="0"/>
      <w:autoSpaceDN w:val="0"/>
      <w:adjustRightInd w:val="0"/>
    </w:pPr>
    <w:rPr>
      <w:rFonts w:ascii="宋体" w:hAnsi="Times New Roman" w:eastAsia="宋体" w:cs="宋体"/>
      <w:color w:val="000000"/>
      <w:kern w:val="2"/>
      <w:sz w:val="24"/>
      <w:szCs w:val="24"/>
      <w:lang w:val="en-US" w:eastAsia="zh-CN" w:bidi="ar-SA"/>
    </w:rPr>
  </w:style>
  <w:style w:type="paragraph" w:customStyle="1" w:styleId="7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styleId="77">
    <w:name w:val="List Paragraph"/>
    <w:basedOn w:val="1"/>
    <w:qFormat/>
    <w:uiPriority w:val="34"/>
    <w:pPr>
      <w:ind w:firstLine="420" w:firstLineChars="200"/>
    </w:pPr>
  </w:style>
  <w:style w:type="character" w:customStyle="1" w:styleId="78">
    <w:name w:val="标题 1 Char"/>
    <w:link w:val="2"/>
    <w:autoRedefine/>
    <w:qFormat/>
    <w:uiPriority w:val="0"/>
    <w:rPr>
      <w:b/>
      <w:kern w:val="44"/>
      <w:sz w:val="44"/>
    </w:rPr>
  </w:style>
  <w:style w:type="character" w:customStyle="1" w:styleId="79">
    <w:name w:val="标题 2 Char"/>
    <w:link w:val="3"/>
    <w:qFormat/>
    <w:uiPriority w:val="0"/>
    <w:rPr>
      <w:rFonts w:ascii="Arial" w:hAnsi="Arial" w:eastAsia="黑体"/>
      <w:b/>
      <w:kern w:val="2"/>
      <w:sz w:val="32"/>
    </w:rPr>
  </w:style>
  <w:style w:type="character" w:customStyle="1" w:styleId="80">
    <w:name w:val="标题 3 Char"/>
    <w:link w:val="4"/>
    <w:qFormat/>
    <w:uiPriority w:val="0"/>
    <w:rPr>
      <w:b/>
      <w:kern w:val="2"/>
      <w:sz w:val="32"/>
    </w:rPr>
  </w:style>
  <w:style w:type="character" w:customStyle="1" w:styleId="81">
    <w:name w:val="标题 4 Char"/>
    <w:link w:val="5"/>
    <w:qFormat/>
    <w:uiPriority w:val="0"/>
    <w:rPr>
      <w:rFonts w:ascii="宋体" w:eastAsia="宋体"/>
      <w:color w:val="800000"/>
      <w:sz w:val="28"/>
      <w:lang w:val="en-US" w:eastAsia="zh-CN" w:bidi="ar-SA"/>
    </w:rPr>
  </w:style>
  <w:style w:type="character" w:customStyle="1" w:styleId="82">
    <w:name w:val="题注 Char"/>
    <w:link w:val="16"/>
    <w:qFormat/>
    <w:uiPriority w:val="0"/>
    <w:rPr>
      <w:rFonts w:ascii="Arial" w:hAnsi="Arial" w:eastAsia="黑体" w:cs="Arial"/>
      <w:kern w:val="2"/>
    </w:rPr>
  </w:style>
  <w:style w:type="character" w:customStyle="1" w:styleId="83">
    <w:name w:val="批注文字 Char"/>
    <w:link w:val="20"/>
    <w:autoRedefine/>
    <w:qFormat/>
    <w:uiPriority w:val="99"/>
    <w:rPr>
      <w:rFonts w:ascii="Calibri" w:hAnsi="Calibri" w:eastAsia="宋体" w:cs="Times New Roman"/>
      <w:kern w:val="2"/>
      <w:sz w:val="21"/>
    </w:rPr>
  </w:style>
  <w:style w:type="character" w:customStyle="1" w:styleId="84">
    <w:name w:val="纯文本 Char"/>
    <w:link w:val="32"/>
    <w:qFormat/>
    <w:uiPriority w:val="0"/>
    <w:rPr>
      <w:rFonts w:ascii="宋体" w:hAnsi="Calibri" w:eastAsia="宋体"/>
      <w:kern w:val="2"/>
      <w:sz w:val="21"/>
      <w:szCs w:val="21"/>
      <w:lang w:val="en-US" w:eastAsia="zh-CN" w:bidi="ar-SA"/>
    </w:rPr>
  </w:style>
  <w:style w:type="character" w:customStyle="1" w:styleId="85">
    <w:name w:val="页脚 Char"/>
    <w:link w:val="40"/>
    <w:qFormat/>
    <w:uiPriority w:val="99"/>
    <w:rPr>
      <w:kern w:val="2"/>
      <w:sz w:val="18"/>
      <w:szCs w:val="18"/>
    </w:rPr>
  </w:style>
  <w:style w:type="character" w:customStyle="1" w:styleId="86">
    <w:name w:val="正文首行缩进 2 Char"/>
    <w:link w:val="62"/>
    <w:qFormat/>
    <w:uiPriority w:val="0"/>
    <w:rPr>
      <w:rFonts w:eastAsia="仿宋_GB2312"/>
      <w:sz w:val="24"/>
      <w:szCs w:val="24"/>
      <w:lang w:bidi="ar-SA"/>
    </w:rPr>
  </w:style>
  <w:style w:type="paragraph" w:customStyle="1" w:styleId="87">
    <w:name w:val="标题二、"/>
    <w:basedOn w:val="1"/>
    <w:qFormat/>
    <w:uiPriority w:val="99"/>
    <w:pPr>
      <w:spacing w:line="360" w:lineRule="auto"/>
      <w:ind w:firstLine="200" w:firstLineChars="200"/>
      <w:outlineLvl w:val="2"/>
    </w:pPr>
    <w:rPr>
      <w:rFonts w:ascii="宋体" w:hAnsi="宋体"/>
      <w:b/>
    </w:rPr>
  </w:style>
  <w:style w:type="character" w:customStyle="1" w:styleId="88">
    <w:name w:val="Char Char"/>
    <w:qFormat/>
    <w:uiPriority w:val="0"/>
    <w:rPr>
      <w:rFonts w:eastAsia="宋体"/>
      <w:kern w:val="2"/>
      <w:sz w:val="18"/>
      <w:lang w:val="en-US" w:eastAsia="zh-CN"/>
    </w:rPr>
  </w:style>
  <w:style w:type="character" w:customStyle="1" w:styleId="89">
    <w:name w:val="maywed421"/>
    <w:qFormat/>
    <w:uiPriority w:val="0"/>
    <w:rPr>
      <w:color w:val="366FB6"/>
      <w:u w:val="none"/>
    </w:rPr>
  </w:style>
  <w:style w:type="character" w:customStyle="1" w:styleId="90">
    <w:name w:val="apple-converted-space"/>
    <w:qFormat/>
    <w:uiPriority w:val="0"/>
  </w:style>
  <w:style w:type="character" w:customStyle="1" w:styleId="91">
    <w:name w:val="question-title"/>
    <w:qFormat/>
    <w:uiPriority w:val="0"/>
  </w:style>
  <w:style w:type="character" w:customStyle="1" w:styleId="92">
    <w:name w:val="ca-41"/>
    <w:autoRedefine/>
    <w:qFormat/>
    <w:uiPriority w:val="0"/>
    <w:rPr>
      <w:rFonts w:ascii="宋体" w:eastAsia="宋体"/>
      <w:b/>
      <w:bCs/>
      <w:color w:val="000000"/>
      <w:spacing w:val="-20"/>
      <w:sz w:val="21"/>
      <w:szCs w:val="21"/>
    </w:rPr>
  </w:style>
  <w:style w:type="character" w:customStyle="1" w:styleId="93">
    <w:name w:val="ca-01"/>
    <w:autoRedefine/>
    <w:qFormat/>
    <w:uiPriority w:val="0"/>
    <w:rPr>
      <w:rFonts w:ascii="宋体" w:eastAsia="宋体"/>
      <w:b/>
      <w:bCs/>
      <w:spacing w:val="-20"/>
      <w:sz w:val="24"/>
      <w:szCs w:val="24"/>
    </w:rPr>
  </w:style>
  <w:style w:type="character" w:customStyle="1" w:styleId="94">
    <w:name w:val="Footer Char_50b0ff25-7d11-4ff7-b369-fec52a1d020a"/>
    <w:autoRedefine/>
    <w:qFormat/>
    <w:uiPriority w:val="0"/>
    <w:rPr>
      <w:rFonts w:eastAsia="宋体"/>
      <w:kern w:val="2"/>
      <w:sz w:val="18"/>
      <w:lang w:val="en-US" w:eastAsia="zh-CN"/>
    </w:rPr>
  </w:style>
  <w:style w:type="character" w:customStyle="1" w:styleId="95">
    <w:name w:val="Heading 3 Char_b2d69157-0318-4283-a0f0-0b6e02cd59d5"/>
    <w:qFormat/>
    <w:uiPriority w:val="0"/>
    <w:rPr>
      <w:rFonts w:cs="Times New Roman"/>
      <w:b/>
      <w:bCs/>
      <w:sz w:val="32"/>
      <w:szCs w:val="32"/>
      <w:lang w:bidi="ar-SA"/>
    </w:rPr>
  </w:style>
  <w:style w:type="character" w:customStyle="1" w:styleId="96">
    <w:name w:val="ca-21"/>
    <w:autoRedefine/>
    <w:qFormat/>
    <w:uiPriority w:val="0"/>
    <w:rPr>
      <w:rFonts w:ascii="宋体" w:eastAsia="宋体"/>
      <w:sz w:val="21"/>
    </w:rPr>
  </w:style>
  <w:style w:type="character" w:customStyle="1" w:styleId="97">
    <w:name w:val="marklong"/>
    <w:qFormat/>
    <w:uiPriority w:val="0"/>
  </w:style>
  <w:style w:type="character" w:customStyle="1" w:styleId="98">
    <w:name w:val="普通文字1 Char"/>
    <w:qFormat/>
    <w:uiPriority w:val="0"/>
    <w:rPr>
      <w:rFonts w:ascii="宋体" w:eastAsia="宋体" w:cs="Courier New"/>
      <w:kern w:val="2"/>
      <w:sz w:val="21"/>
      <w:szCs w:val="21"/>
      <w:lang w:val="en-US" w:eastAsia="zh-CN" w:bidi="ar-SA"/>
    </w:rPr>
  </w:style>
  <w:style w:type="character" w:customStyle="1" w:styleId="99">
    <w:name w:val=" Char Char3"/>
    <w:autoRedefine/>
    <w:qFormat/>
    <w:uiPriority w:val="0"/>
    <w:rPr>
      <w:rFonts w:ascii="宋体" w:eastAsia="宋体"/>
      <w:sz w:val="18"/>
      <w:szCs w:val="18"/>
      <w:lang w:val="en-US" w:eastAsia="zh-CN" w:bidi="ar-SA"/>
    </w:rPr>
  </w:style>
  <w:style w:type="character" w:customStyle="1" w:styleId="100">
    <w:name w:val="正文（缩进） Char Char"/>
    <w:autoRedefine/>
    <w:qFormat/>
    <w:uiPriority w:val="0"/>
    <w:rPr>
      <w:rFonts w:eastAsia="宋体"/>
      <w:kern w:val="2"/>
      <w:sz w:val="24"/>
      <w:szCs w:val="24"/>
      <w:lang w:val="en-US" w:eastAsia="zh-CN" w:bidi="ar-SA"/>
    </w:rPr>
  </w:style>
  <w:style w:type="character" w:customStyle="1" w:styleId="101">
    <w:name w:val="font11"/>
    <w:autoRedefine/>
    <w:qFormat/>
    <w:uiPriority w:val="0"/>
    <w:rPr>
      <w:rFonts w:hint="eastAsia" w:ascii="宋体" w:hAnsi="宋体" w:eastAsia="宋体" w:cs="宋体"/>
      <w:color w:val="000000"/>
      <w:sz w:val="21"/>
      <w:szCs w:val="21"/>
      <w:u w:val="none"/>
    </w:rPr>
  </w:style>
  <w:style w:type="character" w:customStyle="1" w:styleId="102">
    <w:name w:val="z1"/>
    <w:autoRedefine/>
    <w:qFormat/>
    <w:uiPriority w:val="0"/>
  </w:style>
  <w:style w:type="character" w:customStyle="1" w:styleId="103">
    <w:name w:val="Char Char1"/>
    <w:autoRedefine/>
    <w:qFormat/>
    <w:uiPriority w:val="0"/>
    <w:rPr>
      <w:rFonts w:ascii="宋体" w:eastAsia="宋体"/>
      <w:kern w:val="2"/>
      <w:sz w:val="21"/>
      <w:lang w:val="en-US" w:eastAsia="zh-CN"/>
    </w:rPr>
  </w:style>
  <w:style w:type="character" w:customStyle="1" w:styleId="104">
    <w:name w:val="Body text|1_"/>
    <w:link w:val="105"/>
    <w:qFormat/>
    <w:uiPriority w:val="0"/>
    <w:rPr>
      <w:rFonts w:ascii="宋体" w:hAnsi="宋体" w:eastAsia="宋体" w:cs="宋体"/>
      <w:color w:val="757678"/>
      <w:sz w:val="13"/>
      <w:szCs w:val="13"/>
      <w:lang w:val="zh-TW" w:eastAsia="zh-TW" w:bidi="zh-TW"/>
    </w:rPr>
  </w:style>
  <w:style w:type="paragraph" w:customStyle="1" w:styleId="105">
    <w:name w:val="Body text|1"/>
    <w:basedOn w:val="1"/>
    <w:link w:val="104"/>
    <w:autoRedefine/>
    <w:qFormat/>
    <w:uiPriority w:val="0"/>
    <w:pPr>
      <w:spacing w:after="340" w:line="300" w:lineRule="auto"/>
      <w:jc w:val="left"/>
    </w:pPr>
    <w:rPr>
      <w:rFonts w:ascii="宋体" w:hAnsi="宋体" w:eastAsia="宋体" w:cs="宋体"/>
      <w:color w:val="757678"/>
      <w:sz w:val="13"/>
      <w:szCs w:val="13"/>
      <w:lang w:val="zh-TW" w:eastAsia="zh-TW" w:bidi="zh-TW"/>
    </w:rPr>
  </w:style>
  <w:style w:type="character" w:customStyle="1" w:styleId="106">
    <w:name w:val="Comment Text Char"/>
    <w:autoRedefine/>
    <w:qFormat/>
    <w:uiPriority w:val="0"/>
    <w:rPr>
      <w:rFonts w:cs="Times New Roman"/>
      <w:sz w:val="21"/>
      <w:szCs w:val="21"/>
      <w:lang w:bidi="ar-SA"/>
    </w:rPr>
  </w:style>
  <w:style w:type="character" w:customStyle="1" w:styleId="107">
    <w:name w:val="wj1"/>
    <w:autoRedefine/>
    <w:qFormat/>
    <w:uiPriority w:val="0"/>
    <w:rPr>
      <w:color w:val="000000"/>
      <w:sz w:val="18"/>
      <w:szCs w:val="18"/>
      <w:u w:val="none"/>
    </w:rPr>
  </w:style>
  <w:style w:type="character" w:customStyle="1" w:styleId="108">
    <w:name w:val="style15"/>
    <w:qFormat/>
    <w:uiPriority w:val="0"/>
  </w:style>
  <w:style w:type="character" w:customStyle="1" w:styleId="109">
    <w:name w:val="正文文本缩进 2 Char"/>
    <w:link w:val="110"/>
    <w:qFormat/>
    <w:uiPriority w:val="0"/>
    <w:rPr>
      <w:rFonts w:hAnsi="Times New Roman"/>
      <w:sz w:val="21"/>
      <w:szCs w:val="20"/>
    </w:rPr>
  </w:style>
  <w:style w:type="paragraph" w:customStyle="1" w:styleId="110">
    <w:name w:val="正文文本缩进 2_0"/>
    <w:basedOn w:val="111"/>
    <w:link w:val="109"/>
    <w:qFormat/>
    <w:uiPriority w:val="0"/>
    <w:pPr>
      <w:spacing w:line="420" w:lineRule="exact"/>
      <w:ind w:firstLine="525"/>
    </w:pPr>
    <w:rPr>
      <w:kern w:val="0"/>
    </w:rPr>
  </w:style>
  <w:style w:type="paragraph" w:customStyle="1" w:styleId="111">
    <w:name w:val="正文_16"/>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2">
    <w:name w:val="z12 style23"/>
    <w:qFormat/>
    <w:uiPriority w:val="0"/>
  </w:style>
  <w:style w:type="character" w:customStyle="1" w:styleId="113">
    <w:name w:val="ca-31"/>
    <w:qFormat/>
    <w:uiPriority w:val="0"/>
    <w:rPr>
      <w:rFonts w:ascii="宋体" w:eastAsia="宋体"/>
      <w:color w:val="000000"/>
      <w:sz w:val="21"/>
      <w:szCs w:val="21"/>
    </w:rPr>
  </w:style>
  <w:style w:type="character" w:customStyle="1" w:styleId="114">
    <w:name w:val="Plain Text Char"/>
    <w:qFormat/>
    <w:uiPriority w:val="0"/>
    <w:rPr>
      <w:rFonts w:ascii="宋体" w:eastAsia="宋体"/>
      <w:kern w:val="2"/>
      <w:sz w:val="21"/>
      <w:lang w:val="en-US" w:eastAsia="zh-CN"/>
    </w:rPr>
  </w:style>
  <w:style w:type="character" w:customStyle="1" w:styleId="115">
    <w:name w:val=" Char Char23"/>
    <w:qFormat/>
    <w:uiPriority w:val="0"/>
    <w:rPr>
      <w:kern w:val="2"/>
      <w:sz w:val="24"/>
      <w:szCs w:val="21"/>
      <w:lang w:bidi="ar-SA"/>
    </w:rPr>
  </w:style>
  <w:style w:type="character" w:customStyle="1" w:styleId="116">
    <w:name w:val="纯文本 Char_0_0"/>
    <w:link w:val="117"/>
    <w:qFormat/>
    <w:uiPriority w:val="0"/>
    <w:rPr>
      <w:rFonts w:hAnsi="Courier New"/>
      <w:sz w:val="21"/>
      <w:szCs w:val="21"/>
    </w:rPr>
  </w:style>
  <w:style w:type="paragraph" w:customStyle="1" w:styleId="117">
    <w:name w:val="纯文本_0_0"/>
    <w:basedOn w:val="118"/>
    <w:link w:val="116"/>
    <w:qFormat/>
    <w:uiPriority w:val="0"/>
    <w:rPr>
      <w:rFonts w:hAnsi="Courier New"/>
      <w:szCs w:val="21"/>
    </w:rPr>
  </w:style>
  <w:style w:type="paragraph" w:customStyle="1" w:styleId="118">
    <w:name w:val="正文_7_1_0"/>
    <w:qFormat/>
    <w:uiPriority w:val="0"/>
    <w:pPr>
      <w:widowControl w:val="0"/>
      <w:jc w:val="both"/>
    </w:pPr>
    <w:rPr>
      <w:rFonts w:ascii="Times New Roman" w:hAnsi="Times New Roman" w:eastAsia="宋体" w:cs="Times New Roman"/>
      <w:sz w:val="21"/>
      <w:szCs w:val="22"/>
      <w:lang w:bidi="ar-SA"/>
    </w:rPr>
  </w:style>
  <w:style w:type="character" w:customStyle="1" w:styleId="119">
    <w:name w:val="ca-51"/>
    <w:qFormat/>
    <w:uiPriority w:val="0"/>
    <w:rPr>
      <w:rFonts w:ascii="楷体_GB2312" w:eastAsia="楷体_GB2312"/>
      <w:b/>
      <w:bCs/>
      <w:spacing w:val="-20"/>
      <w:sz w:val="24"/>
      <w:szCs w:val="24"/>
    </w:rPr>
  </w:style>
  <w:style w:type="character" w:customStyle="1" w:styleId="120">
    <w:name w:val="标题 2 Char Char Char"/>
    <w:qFormat/>
    <w:uiPriority w:val="0"/>
    <w:rPr>
      <w:rFonts w:ascii="Arial" w:hAnsi="Arial" w:eastAsia="宋体" w:cs="Arial"/>
      <w:b/>
      <w:bCs/>
      <w:i/>
      <w:iCs/>
      <w:sz w:val="28"/>
      <w:szCs w:val="28"/>
      <w:lang w:val="en-US" w:eastAsia="zh-CN" w:bidi="ar-SA"/>
    </w:rPr>
  </w:style>
  <w:style w:type="character" w:customStyle="1" w:styleId="121">
    <w:name w:val="ca-11"/>
    <w:qFormat/>
    <w:uiPriority w:val="0"/>
    <w:rPr>
      <w:rFonts w:ascii="宋体" w:eastAsia="宋体"/>
      <w:b/>
      <w:bCs/>
      <w:color w:val="000000"/>
      <w:spacing w:val="-20"/>
      <w:sz w:val="28"/>
      <w:szCs w:val="28"/>
    </w:rPr>
  </w:style>
  <w:style w:type="character" w:customStyle="1" w:styleId="122">
    <w:name w:val="Heading 2 Char_6aceb374-6e39-4f34-a25c-c3c913540ef7"/>
    <w:qFormat/>
    <w:uiPriority w:val="0"/>
    <w:rPr>
      <w:rFonts w:ascii="Arial" w:hAnsi="Arial" w:eastAsia="黑体"/>
      <w:b/>
      <w:bCs/>
      <w:kern w:val="2"/>
      <w:sz w:val="32"/>
      <w:szCs w:val="32"/>
      <w:lang w:val="en-US" w:eastAsia="zh-CN" w:bidi="ar-SA"/>
    </w:rPr>
  </w:style>
  <w:style w:type="character" w:customStyle="1" w:styleId="123">
    <w:name w:val="正文（标记） Char2"/>
    <w:link w:val="124"/>
    <w:qFormat/>
    <w:uiPriority w:val="0"/>
    <w:rPr>
      <w:kern w:val="2"/>
      <w:sz w:val="24"/>
      <w:szCs w:val="24"/>
    </w:rPr>
  </w:style>
  <w:style w:type="paragraph" w:customStyle="1" w:styleId="124">
    <w:name w:val="正文（标记）"/>
    <w:basedOn w:val="1"/>
    <w:link w:val="123"/>
    <w:qFormat/>
    <w:uiPriority w:val="0"/>
    <w:pPr>
      <w:tabs>
        <w:tab w:val="left" w:pos="0"/>
        <w:tab w:val="left" w:pos="840"/>
      </w:tabs>
      <w:spacing w:before="50" w:beforeLines="50" w:after="50" w:afterLines="50"/>
    </w:pPr>
    <w:rPr>
      <w:rFonts w:eastAsia="宋体"/>
      <w:kern w:val="2"/>
    </w:rPr>
  </w:style>
  <w:style w:type="character" w:customStyle="1" w:styleId="125">
    <w:name w:val="正文（编号） Char Char"/>
    <w:link w:val="126"/>
    <w:qFormat/>
    <w:uiPriority w:val="0"/>
    <w:rPr>
      <w:kern w:val="2"/>
      <w:sz w:val="24"/>
      <w:szCs w:val="24"/>
    </w:rPr>
  </w:style>
  <w:style w:type="paragraph" w:customStyle="1" w:styleId="126">
    <w:name w:val="正文（编号）"/>
    <w:basedOn w:val="127"/>
    <w:link w:val="125"/>
    <w:qFormat/>
    <w:uiPriority w:val="0"/>
    <w:pPr>
      <w:tabs>
        <w:tab w:val="left" w:pos="720"/>
        <w:tab w:val="left" w:pos="780"/>
      </w:tabs>
      <w:ind w:left="720" w:firstLine="0" w:firstLineChars="0"/>
    </w:pPr>
    <w:rPr>
      <w:rFonts w:eastAsia="宋体"/>
      <w:kern w:val="2"/>
    </w:rPr>
  </w:style>
  <w:style w:type="paragraph" w:customStyle="1" w:styleId="127">
    <w:name w:val="正文（缩进）"/>
    <w:basedOn w:val="1"/>
    <w:qFormat/>
    <w:uiPriority w:val="0"/>
    <w:pPr>
      <w:spacing w:before="50" w:beforeLines="50" w:after="50" w:afterLines="50" w:line="360" w:lineRule="auto"/>
      <w:ind w:firstLine="200" w:firstLineChars="200"/>
    </w:pPr>
    <w:rPr>
      <w:sz w:val="24"/>
    </w:rPr>
  </w:style>
  <w:style w:type="character" w:customStyle="1" w:styleId="128">
    <w:name w:val="style161"/>
    <w:qFormat/>
    <w:uiPriority w:val="0"/>
    <w:rPr>
      <w:rFonts w:ascii="Verdana" w:hAnsi="Verdana" w:eastAsia="宋体"/>
      <w:b/>
      <w:color w:val="0A246A"/>
      <w:sz w:val="24"/>
      <w:szCs w:val="24"/>
      <w:lang w:val="en-US" w:eastAsia="zh-CN" w:bidi="ar-SA"/>
    </w:rPr>
  </w:style>
  <w:style w:type="character" w:customStyle="1" w:styleId="129">
    <w:name w:val="Char Char2"/>
    <w:qFormat/>
    <w:uiPriority w:val="0"/>
    <w:rPr>
      <w:kern w:val="2"/>
      <w:sz w:val="18"/>
      <w:szCs w:val="18"/>
    </w:rPr>
  </w:style>
  <w:style w:type="character" w:customStyle="1" w:styleId="130">
    <w:name w:val="无间隔 Char"/>
    <w:link w:val="131"/>
    <w:qFormat/>
    <w:uiPriority w:val="0"/>
    <w:rPr>
      <w:kern w:val="2"/>
      <w:sz w:val="22"/>
      <w:lang w:val="en-US" w:eastAsia="zh-CN" w:bidi="ar-SA"/>
    </w:rPr>
  </w:style>
  <w:style w:type="paragraph" w:styleId="131">
    <w:name w:val="No Spacing"/>
    <w:link w:val="130"/>
    <w:qFormat/>
    <w:uiPriority w:val="0"/>
    <w:rPr>
      <w:rFonts w:ascii="Times New Roman" w:hAnsi="Times New Roman" w:eastAsia="宋体" w:cs="Times New Roman"/>
      <w:kern w:val="2"/>
      <w:sz w:val="22"/>
      <w:lang w:val="en-US" w:eastAsia="zh-CN" w:bidi="ar-SA"/>
    </w:rPr>
  </w:style>
  <w:style w:type="character" w:customStyle="1" w:styleId="132">
    <w:name w:val="正文缩进 Char1_0"/>
    <w:link w:val="133"/>
    <w:qFormat/>
    <w:uiPriority w:val="0"/>
    <w:rPr>
      <w:kern w:val="2"/>
      <w:sz w:val="21"/>
      <w:szCs w:val="22"/>
    </w:rPr>
  </w:style>
  <w:style w:type="paragraph" w:customStyle="1" w:styleId="133">
    <w:name w:val="正文缩进_0"/>
    <w:basedOn w:val="134"/>
    <w:link w:val="132"/>
    <w:qFormat/>
    <w:uiPriority w:val="0"/>
    <w:pPr>
      <w:ind w:firstLine="420" w:firstLineChars="200"/>
    </w:pPr>
    <w:rPr>
      <w:szCs w:val="22"/>
    </w:rPr>
  </w:style>
  <w:style w:type="paragraph" w:customStyle="1" w:styleId="13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5">
    <w:name w:val="纯文本 Char_0_0_0"/>
    <w:link w:val="136"/>
    <w:qFormat/>
    <w:uiPriority w:val="0"/>
    <w:rPr>
      <w:rFonts w:hAnsi="Courier New"/>
      <w:sz w:val="21"/>
      <w:szCs w:val="21"/>
    </w:rPr>
  </w:style>
  <w:style w:type="paragraph" w:customStyle="1" w:styleId="136">
    <w:name w:val="纯文本_0_0_0"/>
    <w:basedOn w:val="137"/>
    <w:link w:val="135"/>
    <w:qFormat/>
    <w:uiPriority w:val="0"/>
    <w:rPr>
      <w:rFonts w:hAnsi="Courier New"/>
      <w:szCs w:val="21"/>
    </w:rPr>
  </w:style>
  <w:style w:type="paragraph" w:customStyle="1" w:styleId="137">
    <w:name w:val="正文_7_1_0_0"/>
    <w:qFormat/>
    <w:uiPriority w:val="0"/>
    <w:pPr>
      <w:widowControl w:val="0"/>
      <w:jc w:val="both"/>
    </w:pPr>
    <w:rPr>
      <w:rFonts w:ascii="Times New Roman" w:hAnsi="Times New Roman" w:eastAsia="宋体" w:cs="Times New Roman"/>
      <w:sz w:val="21"/>
      <w:szCs w:val="22"/>
      <w:lang w:bidi="ar-SA"/>
    </w:rPr>
  </w:style>
  <w:style w:type="character" w:customStyle="1" w:styleId="138">
    <w:name w:val=" Char Char2"/>
    <w:qFormat/>
    <w:uiPriority w:val="0"/>
    <w:rPr>
      <w:kern w:val="2"/>
      <w:sz w:val="18"/>
      <w:szCs w:val="18"/>
    </w:rPr>
  </w:style>
  <w:style w:type="character" w:customStyle="1" w:styleId="139">
    <w:name w:val="Heading 4 Char_da576bd6-da61-4b7e-aafb-9d5e0b6409ed"/>
    <w:qFormat/>
    <w:uiPriority w:val="0"/>
    <w:rPr>
      <w:rFonts w:ascii="Cambria" w:hAnsi="Cambria" w:eastAsia="宋体" w:cs="Cambria"/>
      <w:b/>
      <w:bCs/>
      <w:sz w:val="28"/>
      <w:szCs w:val="28"/>
      <w:lang w:bidi="ar-SA"/>
    </w:rPr>
  </w:style>
  <w:style w:type="character" w:customStyle="1" w:styleId="140">
    <w:name w:val="Plain Text Char1"/>
    <w:qFormat/>
    <w:uiPriority w:val="0"/>
    <w:rPr>
      <w:rFonts w:ascii="宋体" w:eastAsia="宋体"/>
      <w:kern w:val="2"/>
      <w:sz w:val="21"/>
      <w:szCs w:val="21"/>
      <w:lang w:val="en-US" w:eastAsia="zh-CN" w:bidi="ar-SA"/>
    </w:rPr>
  </w:style>
  <w:style w:type="character" w:customStyle="1" w:styleId="141">
    <w:name w:val="Header Char_34844091-e0b8-4a17-9daf-52d59da5f5da"/>
    <w:qFormat/>
    <w:uiPriority w:val="0"/>
    <w:rPr>
      <w:rFonts w:eastAsia="宋体"/>
      <w:kern w:val="2"/>
      <w:sz w:val="18"/>
      <w:lang w:val="en-US" w:eastAsia="zh-CN"/>
    </w:rPr>
  </w:style>
  <w:style w:type="character" w:customStyle="1" w:styleId="142">
    <w:name w:val="Header Char1"/>
    <w:qFormat/>
    <w:uiPriority w:val="0"/>
    <w:rPr>
      <w:rFonts w:cs="Times New Roman"/>
      <w:sz w:val="18"/>
      <w:szCs w:val="18"/>
      <w:lang w:bidi="ar-SA"/>
    </w:rPr>
  </w:style>
  <w:style w:type="character" w:customStyle="1" w:styleId="143">
    <w:name w:val="ca-1"/>
    <w:qFormat/>
    <w:uiPriority w:val="0"/>
  </w:style>
  <w:style w:type="character" w:customStyle="1" w:styleId="144">
    <w:name w:val="段落 Char"/>
    <w:qFormat/>
    <w:uiPriority w:val="0"/>
    <w:rPr>
      <w:rFonts w:ascii="仿宋_GB2312" w:eastAsia="仿宋_GB2312"/>
      <w:kern w:val="2"/>
      <w:sz w:val="24"/>
      <w:szCs w:val="24"/>
      <w:lang w:val="en-US" w:eastAsia="zh-CN" w:bidi="ar-SA"/>
    </w:rPr>
  </w:style>
  <w:style w:type="character" w:customStyle="1" w:styleId="145">
    <w:name w:val="正文文本缩进 Char"/>
    <w:link w:val="146"/>
    <w:qFormat/>
    <w:uiPriority w:val="0"/>
    <w:rPr>
      <w:rFonts w:hAnsi="Times New Roman"/>
      <w:szCs w:val="20"/>
    </w:rPr>
  </w:style>
  <w:style w:type="paragraph" w:customStyle="1" w:styleId="146">
    <w:name w:val="正文文本缩进_0"/>
    <w:basedOn w:val="111"/>
    <w:link w:val="145"/>
    <w:qFormat/>
    <w:uiPriority w:val="0"/>
    <w:pPr>
      <w:spacing w:line="360" w:lineRule="auto"/>
      <w:ind w:firstLine="420"/>
    </w:pPr>
    <w:rPr>
      <w:kern w:val="0"/>
      <w:sz w:val="20"/>
    </w:rPr>
  </w:style>
  <w:style w:type="character" w:customStyle="1" w:styleId="147">
    <w:name w:val="Footer Char1"/>
    <w:qFormat/>
    <w:uiPriority w:val="0"/>
    <w:rPr>
      <w:rFonts w:cs="Times New Roman"/>
      <w:sz w:val="18"/>
      <w:szCs w:val="18"/>
      <w:lang w:bidi="ar-SA"/>
    </w:rPr>
  </w:style>
  <w:style w:type="character" w:customStyle="1" w:styleId="148">
    <w:name w:val="style91"/>
    <w:qFormat/>
    <w:uiPriority w:val="0"/>
    <w:rPr>
      <w:color w:val="2060C0"/>
      <w:sz w:val="24"/>
      <w:szCs w:val="24"/>
    </w:rPr>
  </w:style>
  <w:style w:type="character" w:customStyle="1" w:styleId="149">
    <w:name w:val="Char Char3"/>
    <w:qFormat/>
    <w:uiPriority w:val="0"/>
    <w:rPr>
      <w:rFonts w:ascii="Arial" w:hAnsi="Arial" w:eastAsia="黑体" w:cs="Times New Roman"/>
      <w:b/>
      <w:bCs/>
      <w:kern w:val="2"/>
      <w:sz w:val="32"/>
      <w:szCs w:val="32"/>
      <w:lang w:val="en-US" w:eastAsia="zh-CN" w:bidi="ar-SA"/>
    </w:rPr>
  </w:style>
  <w:style w:type="character" w:customStyle="1" w:styleId="150">
    <w:name w:val="纯文本 Char_0"/>
    <w:link w:val="151"/>
    <w:qFormat/>
    <w:uiPriority w:val="0"/>
    <w:rPr>
      <w:rFonts w:ascii="宋体" w:hAnsi="Courier New" w:cs="Courier New"/>
      <w:kern w:val="2"/>
      <w:sz w:val="21"/>
      <w:szCs w:val="21"/>
    </w:rPr>
  </w:style>
  <w:style w:type="paragraph" w:customStyle="1" w:styleId="151">
    <w:name w:val="纯文本_0"/>
    <w:basedOn w:val="134"/>
    <w:link w:val="150"/>
    <w:qFormat/>
    <w:uiPriority w:val="0"/>
    <w:rPr>
      <w:rFonts w:ascii="宋体" w:hAnsi="Courier New"/>
      <w:szCs w:val="21"/>
    </w:rPr>
  </w:style>
  <w:style w:type="character" w:customStyle="1" w:styleId="152">
    <w:name w:val="font21"/>
    <w:qFormat/>
    <w:uiPriority w:val="0"/>
    <w:rPr>
      <w:rFonts w:ascii="Times New Roman" w:hAnsi="Times New Roman"/>
      <w:color w:val="000000"/>
      <w:sz w:val="20"/>
      <w:u w:val="none"/>
    </w:rPr>
  </w:style>
  <w:style w:type="paragraph" w:customStyle="1" w:styleId="153">
    <w:name w:val="Normal_17"/>
    <w:qFormat/>
    <w:uiPriority w:val="0"/>
    <w:rPr>
      <w:rFonts w:ascii="黑体" w:hAnsi="黑体" w:eastAsia="黑体" w:cs="Times New Roman"/>
      <w:b/>
      <w:sz w:val="32"/>
      <w:szCs w:val="24"/>
      <w:lang w:bidi="ar-SA"/>
    </w:rPr>
  </w:style>
  <w:style w:type="paragraph" w:customStyle="1" w:styleId="15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5">
    <w:name w:val="Normal_2"/>
    <w:qFormat/>
    <w:uiPriority w:val="0"/>
    <w:rPr>
      <w:rFonts w:ascii="黑体" w:hAnsi="黑体" w:eastAsia="黑体" w:cs="Times New Roman"/>
      <w:b/>
      <w:sz w:val="32"/>
      <w:szCs w:val="24"/>
      <w:lang w:bidi="ar-SA"/>
    </w:rPr>
  </w:style>
  <w:style w:type="paragraph" w:customStyle="1" w:styleId="156">
    <w:name w:val="正文_3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7">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8">
    <w:name w:val="a1"/>
    <w:basedOn w:val="1"/>
    <w:qFormat/>
    <w:uiPriority w:val="0"/>
    <w:pPr>
      <w:widowControl/>
      <w:spacing w:before="100" w:beforeAutospacing="1" w:after="100" w:afterAutospacing="1"/>
      <w:jc w:val="left"/>
    </w:pPr>
    <w:rPr>
      <w:rFonts w:ascii="宋体"/>
      <w:kern w:val="0"/>
      <w:sz w:val="24"/>
      <w:szCs w:val="22"/>
    </w:rPr>
  </w:style>
  <w:style w:type="paragraph" w:customStyle="1" w:styleId="159">
    <w:name w:val="表格样式居中"/>
    <w:qFormat/>
    <w:uiPriority w:val="0"/>
    <w:pPr>
      <w:adjustRightInd w:val="0"/>
      <w:snapToGrid w:val="0"/>
      <w:jc w:val="center"/>
    </w:pPr>
    <w:rPr>
      <w:rFonts w:ascii="Times New Roman" w:hAnsi="Times New Roman" w:eastAsia="仿宋_GB2312" w:cs="Times New Roman"/>
      <w:bCs/>
      <w:kern w:val="44"/>
      <w:sz w:val="21"/>
      <w:szCs w:val="44"/>
      <w:lang w:val="en-US" w:eastAsia="zh-CN" w:bidi="ar-SA"/>
    </w:rPr>
  </w:style>
  <w:style w:type="paragraph" w:customStyle="1" w:styleId="160">
    <w:name w:val="段落"/>
    <w:qFormat/>
    <w:uiPriority w:val="0"/>
    <w:pPr>
      <w:adjustRightInd w:val="0"/>
      <w:snapToGrid w:val="0"/>
      <w:spacing w:before="120" w:after="120" w:line="360" w:lineRule="auto"/>
      <w:ind w:firstLine="420"/>
      <w:jc w:val="both"/>
    </w:pPr>
    <w:rPr>
      <w:rFonts w:ascii="Times New Roman" w:hAnsi="Times New Roman" w:eastAsia="仿宋_GB2312" w:cs="Times New Roman"/>
      <w:kern w:val="2"/>
      <w:sz w:val="24"/>
      <w:szCs w:val="24"/>
      <w:lang w:val="en-US" w:eastAsia="zh-CN" w:bidi="ar-SA"/>
    </w:rPr>
  </w:style>
  <w:style w:type="paragraph" w:customStyle="1" w:styleId="161">
    <w:name w:val="样式1"/>
    <w:basedOn w:val="14"/>
    <w:next w:val="1"/>
    <w:qFormat/>
    <w:uiPriority w:val="0"/>
    <w:pPr>
      <w:numPr>
        <w:ilvl w:val="0"/>
        <w:numId w:val="0"/>
      </w:numPr>
    </w:pPr>
    <w:rPr>
      <w:rFonts w:ascii="Arial" w:hAnsi="Arial" w:eastAsia="幼圆" w:cs="Arial"/>
      <w:sz w:val="24"/>
      <w:szCs w:val="20"/>
      <w:lang w:bidi="ar-SA"/>
    </w:rPr>
  </w:style>
  <w:style w:type="paragraph" w:customStyle="1" w:styleId="162">
    <w:name w:val="Normal_4"/>
    <w:qFormat/>
    <w:uiPriority w:val="0"/>
    <w:rPr>
      <w:rFonts w:ascii="黑体" w:hAnsi="黑体" w:eastAsia="黑体" w:cs="Times New Roman"/>
      <w:b/>
      <w:sz w:val="32"/>
      <w:szCs w:val="24"/>
      <w:lang w:bidi="ar-SA"/>
    </w:rPr>
  </w:style>
  <w:style w:type="paragraph" w:customStyle="1" w:styleId="163">
    <w:name w:val="技术方案正文"/>
    <w:basedOn w:val="1"/>
    <w:qFormat/>
    <w:uiPriority w:val="0"/>
    <w:pPr>
      <w:spacing w:line="360" w:lineRule="auto"/>
      <w:ind w:firstLine="480"/>
    </w:pPr>
    <w:rPr>
      <w:rFonts w:ascii="宋体"/>
      <w:sz w:val="24"/>
      <w:szCs w:val="22"/>
    </w:rPr>
  </w:style>
  <w:style w:type="paragraph" w:customStyle="1" w:styleId="164">
    <w:name w:val="首页标题小初"/>
    <w:qFormat/>
    <w:uiPriority w:val="0"/>
    <w:pPr>
      <w:adjustRightInd w:val="0"/>
      <w:snapToGrid w:val="0"/>
      <w:jc w:val="center"/>
    </w:pPr>
    <w:rPr>
      <w:rFonts w:ascii="黑体" w:hAnsi="Times New Roman" w:eastAsia="黑体" w:cs="宋体"/>
      <w:kern w:val="2"/>
      <w:sz w:val="72"/>
      <w:lang w:val="en-US" w:eastAsia="zh-CN" w:bidi="ar-SA"/>
    </w:rPr>
  </w:style>
  <w:style w:type="paragraph" w:customStyle="1" w:styleId="165">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6">
    <w:name w:val="列出段落1"/>
    <w:basedOn w:val="1"/>
    <w:qFormat/>
    <w:uiPriority w:val="99"/>
    <w:pPr>
      <w:ind w:firstLine="200" w:firstLineChars="200"/>
    </w:pPr>
    <w:rPr>
      <w:rFonts w:ascii="Calibri" w:hAnsi="Calibri"/>
      <w:szCs w:val="22"/>
    </w:rPr>
  </w:style>
  <w:style w:type="paragraph" w:customStyle="1" w:styleId="167">
    <w:name w:val="正文_2"/>
    <w:next w:val="16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8">
    <w:name w:val="列出段落1_0"/>
    <w:basedOn w:val="169"/>
    <w:next w:val="170"/>
    <w:qFormat/>
    <w:uiPriority w:val="0"/>
    <w:pPr>
      <w:ind w:firstLine="420" w:firstLineChars="200"/>
    </w:pPr>
    <w:rPr>
      <w:rFonts w:ascii="Calibri" w:hAnsi="Calibri" w:cs="Calibri"/>
      <w:szCs w:val="21"/>
    </w:rPr>
  </w:style>
  <w:style w:type="paragraph" w:customStyle="1" w:styleId="169">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标题 7_0"/>
    <w:basedOn w:val="167"/>
    <w:next w:val="167"/>
    <w:qFormat/>
    <w:uiPriority w:val="0"/>
    <w:pPr>
      <w:keepNext/>
      <w:keepLines/>
      <w:adjustRightInd w:val="0"/>
      <w:spacing w:before="240" w:after="64" w:line="320" w:lineRule="atLeast"/>
      <w:jc w:val="left"/>
      <w:textAlignment w:val="baseline"/>
      <w:outlineLvl w:val="6"/>
    </w:pPr>
    <w:rPr>
      <w:b/>
      <w:bCs/>
      <w:kern w:val="0"/>
      <w:sz w:val="24"/>
    </w:rPr>
  </w:style>
  <w:style w:type="paragraph" w:customStyle="1" w:styleId="171">
    <w:name w:val="正文_7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72">
    <w:name w:val="ul"/>
    <w:basedOn w:val="1"/>
    <w:qFormat/>
    <w:uiPriority w:val="0"/>
    <w:pPr>
      <w:widowControl/>
      <w:numPr>
        <w:ilvl w:val="0"/>
        <w:numId w:val="1"/>
      </w:numPr>
      <w:tabs>
        <w:tab w:val="clear" w:pos="930"/>
      </w:tabs>
      <w:spacing w:line="360" w:lineRule="auto"/>
      <w:ind w:left="567" w:hanging="85"/>
      <w:jc w:val="left"/>
    </w:pPr>
    <w:rPr>
      <w:rFonts w:ascii="Calibri" w:hAnsi="Calibri"/>
      <w:kern w:val="0"/>
      <w:sz w:val="24"/>
      <w:szCs w:val="22"/>
    </w:rPr>
  </w:style>
  <w:style w:type="paragraph" w:customStyle="1" w:styleId="173">
    <w:name w:val="保密事宜格式"/>
    <w:basedOn w:val="16"/>
    <w:qFormat/>
    <w:uiPriority w:val="0"/>
    <w:pPr>
      <w:numPr>
        <w:ilvl w:val="0"/>
        <w:numId w:val="0"/>
      </w:numPr>
      <w:pBdr>
        <w:top w:val="single" w:color="auto" w:sz="4" w:space="1"/>
        <w:left w:val="single" w:color="auto" w:sz="4" w:space="4"/>
        <w:bottom w:val="single" w:color="auto" w:sz="4" w:space="1"/>
        <w:right w:val="single" w:color="auto" w:sz="4" w:space="4"/>
      </w:pBdr>
      <w:shd w:val="clear" w:color="auto" w:fill="E6E6E6"/>
      <w:spacing w:before="152" w:after="160"/>
    </w:pPr>
    <w:rPr>
      <w:rFonts w:ascii="Tahoma" w:hAnsi="Tahoma" w:eastAsia="楷体_GB2312" w:cs="宋体"/>
      <w:b/>
      <w:kern w:val="0"/>
      <w:sz w:val="32"/>
      <w:lang w:bidi="ar-SA"/>
    </w:rPr>
  </w:style>
  <w:style w:type="paragraph" w:customStyle="1" w:styleId="174">
    <w:name w:val="Sourcetext bullet"/>
    <w:basedOn w:val="1"/>
    <w:qFormat/>
    <w:uiPriority w:val="0"/>
    <w:pPr>
      <w:widowControl/>
      <w:tabs>
        <w:tab w:val="left" w:pos="360"/>
      </w:tabs>
      <w:spacing w:after="120"/>
      <w:ind w:left="2160" w:hanging="360"/>
      <w:jc w:val="left"/>
    </w:pPr>
    <w:rPr>
      <w:rFonts w:ascii="Book Antiqua" w:hAnsi="Book Antiqua"/>
      <w:kern w:val="0"/>
      <w:sz w:val="20"/>
      <w:szCs w:val="20"/>
      <w:lang w:eastAsia="en-US"/>
    </w:rPr>
  </w:style>
  <w:style w:type="paragraph" w:customStyle="1" w:styleId="175">
    <w:name w:val="表格样式居左"/>
    <w:qFormat/>
    <w:uiPriority w:val="0"/>
    <w:pPr>
      <w:adjustRightInd w:val="0"/>
      <w:snapToGrid w:val="0"/>
      <w:spacing w:before="120" w:after="120" w:line="400" w:lineRule="exact"/>
      <w:jc w:val="both"/>
    </w:pPr>
    <w:rPr>
      <w:rFonts w:ascii="Times New Roman" w:hAnsi="Times New Roman" w:eastAsia="仿宋_GB2312" w:cs="Times New Roman"/>
      <w:bCs/>
      <w:sz w:val="21"/>
      <w:szCs w:val="21"/>
      <w:lang w:val="en-US" w:eastAsia="zh-CN" w:bidi="ar-SA"/>
    </w:rPr>
  </w:style>
  <w:style w:type="paragraph" w:customStyle="1" w:styleId="176">
    <w:name w:val="pa-2"/>
    <w:basedOn w:val="1"/>
    <w:qFormat/>
    <w:uiPriority w:val="0"/>
    <w:pPr>
      <w:widowControl/>
      <w:spacing w:line="360" w:lineRule="atLeast"/>
    </w:pPr>
    <w:rPr>
      <w:rFonts w:ascii="宋体" w:cs="宋体"/>
      <w:kern w:val="0"/>
      <w:sz w:val="24"/>
      <w:lang w:bidi="ar-SA"/>
    </w:rPr>
  </w:style>
  <w:style w:type="paragraph" w:customStyle="1" w:styleId="177">
    <w:name w:val=" Char Char Char Char Char Char Char Char Char Char"/>
    <w:basedOn w:val="1"/>
    <w:qFormat/>
    <w:uiPriority w:val="0"/>
    <w:rPr>
      <w:rFonts w:ascii="Tahoma" w:hAnsi="Tahoma"/>
      <w:sz w:val="24"/>
      <w:szCs w:val="20"/>
    </w:rPr>
  </w:style>
  <w:style w:type="paragraph" w:customStyle="1" w:styleId="178">
    <w:name w:val="SFClearBullets"/>
    <w:qFormat/>
    <w:uiPriority w:val="0"/>
    <w:pPr>
      <w:tabs>
        <w:tab w:val="left" w:pos="1440"/>
      </w:tabs>
      <w:ind w:left="1440" w:hanging="360"/>
    </w:pPr>
    <w:rPr>
      <w:rFonts w:ascii="Helvetica" w:hAnsi="Helvetica" w:eastAsia="宋体" w:cs="Times New Roman"/>
      <w:szCs w:val="24"/>
      <w:lang w:val="en-US" w:eastAsia="en-US" w:bidi="ar-SA"/>
    </w:rPr>
  </w:style>
  <w:style w:type="paragraph" w:customStyle="1" w:styleId="179">
    <w:name w:val="表格文字"/>
    <w:basedOn w:val="1"/>
    <w:qFormat/>
    <w:uiPriority w:val="0"/>
    <w:pPr>
      <w:jc w:val="left"/>
    </w:pPr>
    <w:rPr>
      <w:sz w:val="18"/>
    </w:rPr>
  </w:style>
  <w:style w:type="paragraph" w:customStyle="1" w:styleId="180">
    <w:name w:val="Normal_1_1"/>
    <w:qFormat/>
    <w:uiPriority w:val="0"/>
    <w:rPr>
      <w:rFonts w:ascii="黑体" w:hAnsi="黑体" w:eastAsia="黑体" w:cs="Times New Roman"/>
      <w:b/>
      <w:sz w:val="32"/>
      <w:szCs w:val="24"/>
      <w:lang w:bidi="ar-SA"/>
    </w:rPr>
  </w:style>
  <w:style w:type="paragraph" w:customStyle="1" w:styleId="181">
    <w:name w:val="样式 正文缩进 + (中文) 仿宋_GB2312 小四 Char"/>
    <w:basedOn w:val="15"/>
    <w:qFormat/>
    <w:uiPriority w:val="0"/>
    <w:pPr>
      <w:autoSpaceDE/>
      <w:autoSpaceDN/>
      <w:adjustRightInd/>
      <w:snapToGrid/>
      <w:spacing w:line="360" w:lineRule="auto"/>
      <w:ind w:firstLine="200" w:firstLineChars="200"/>
    </w:pPr>
    <w:rPr>
      <w:rFonts w:ascii="宋体"/>
      <w:color w:val="auto"/>
      <w:szCs w:val="24"/>
    </w:rPr>
  </w:style>
  <w:style w:type="paragraph" w:customStyle="1" w:styleId="182">
    <w:name w:val="二级条标题"/>
    <w:basedOn w:val="183"/>
    <w:next w:val="184"/>
    <w:qFormat/>
    <w:uiPriority w:val="0"/>
    <w:pPr>
      <w:ind w:left="360"/>
      <w:outlineLvl w:val="3"/>
    </w:pPr>
  </w:style>
  <w:style w:type="paragraph" w:customStyle="1" w:styleId="183">
    <w:name w:val="一级条标题"/>
    <w:next w:val="184"/>
    <w:qFormat/>
    <w:uiPriority w:val="0"/>
    <w:pPr>
      <w:outlineLvl w:val="2"/>
    </w:pPr>
    <w:rPr>
      <w:rFonts w:ascii="Times New Roman" w:hAnsi="Times New Roman" w:eastAsia="黑体" w:cs="Times New Roman"/>
      <w:sz w:val="21"/>
      <w:lang w:val="en-US" w:eastAsia="zh-CN" w:bidi="ar-SA"/>
    </w:rPr>
  </w:style>
  <w:style w:type="paragraph" w:customStyle="1" w:styleId="18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85">
    <w:name w:val="Char Char Char"/>
    <w:basedOn w:val="1"/>
    <w:qFormat/>
    <w:uiPriority w:val="0"/>
    <w:rPr>
      <w:rFonts w:ascii="Tahoma" w:hAnsi="Tahoma"/>
      <w:sz w:val="24"/>
      <w:szCs w:val="20"/>
    </w:rPr>
  </w:style>
  <w:style w:type="paragraph" w:customStyle="1" w:styleId="186">
    <w:name w:val="xl39"/>
    <w:basedOn w:val="1"/>
    <w:qFormat/>
    <w:uiPriority w:val="0"/>
    <w:pPr>
      <w:widowControl/>
      <w:pBdr>
        <w:top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187">
    <w:name w:val="标题2"/>
    <w:basedOn w:val="1"/>
    <w:qFormat/>
    <w:uiPriority w:val="0"/>
    <w:pPr>
      <w:tabs>
        <w:tab w:val="left" w:pos="0"/>
      </w:tabs>
    </w:pPr>
    <w:rPr>
      <w:rFonts w:ascii="黑体" w:eastAsia="黑体"/>
      <w:sz w:val="24"/>
      <w:szCs w:val="22"/>
    </w:rPr>
  </w:style>
  <w:style w:type="paragraph" w:customStyle="1" w:styleId="188">
    <w:name w:val="正文_14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无标题正文 Char Char Char Char Char Char Char Char Char Char Char Char Char Char Char Char Char Char Char Char Char Char Char Char Char Char Char1 Char"/>
    <w:basedOn w:val="1"/>
    <w:autoRedefine/>
    <w:qFormat/>
    <w:uiPriority w:val="0"/>
    <w:pPr>
      <w:widowControl/>
      <w:spacing w:after="160" w:line="240" w:lineRule="exact"/>
      <w:jc w:val="center"/>
    </w:pPr>
    <w:rPr>
      <w:rFonts w:ascii="Arial" w:hAnsi="Arial"/>
      <w:kern w:val="0"/>
      <w:sz w:val="20"/>
      <w:szCs w:val="20"/>
      <w:lang w:eastAsia="en-US"/>
    </w:rPr>
  </w:style>
  <w:style w:type="paragraph" w:customStyle="1" w:styleId="190">
    <w:name w:val="表内容"/>
    <w:basedOn w:val="191"/>
    <w:qFormat/>
    <w:uiPriority w:val="0"/>
    <w:pPr>
      <w:spacing w:line="320" w:lineRule="exact"/>
      <w:ind w:left="0" w:firstLine="0"/>
    </w:pPr>
    <w:rPr>
      <w:sz w:val="20"/>
    </w:rPr>
  </w:style>
  <w:style w:type="paragraph" w:customStyle="1" w:styleId="191">
    <w:name w:val="正文1"/>
    <w:basedOn w:val="1"/>
    <w:next w:val="1"/>
    <w:qFormat/>
    <w:uiPriority w:val="0"/>
    <w:pPr>
      <w:widowControl/>
      <w:spacing w:line="360" w:lineRule="auto"/>
      <w:ind w:left="357" w:firstLine="420"/>
      <w:jc w:val="left"/>
    </w:pPr>
    <w:rPr>
      <w:rFonts w:cs="Arial"/>
      <w:szCs w:val="20"/>
      <w:lang w:bidi="ar-SA"/>
    </w:rPr>
  </w:style>
  <w:style w:type="paragraph" w:customStyle="1" w:styleId="192">
    <w:name w:val="txt"/>
    <w:basedOn w:val="1"/>
    <w:qFormat/>
    <w:uiPriority w:val="0"/>
    <w:pPr>
      <w:widowControl/>
      <w:spacing w:before="100" w:beforeAutospacing="1" w:after="100" w:afterAutospacing="1"/>
      <w:jc w:val="left"/>
    </w:pPr>
    <w:rPr>
      <w:rFonts w:ascii="宋体" w:cs="宋体"/>
      <w:kern w:val="0"/>
      <w:sz w:val="24"/>
      <w:lang w:bidi="ar-SA"/>
    </w:rPr>
  </w:style>
  <w:style w:type="paragraph" w:customStyle="1" w:styleId="193">
    <w:name w:val="Table Text/Title"/>
    <w:basedOn w:val="1"/>
    <w:qFormat/>
    <w:uiPriority w:val="0"/>
    <w:pPr>
      <w:widowControl/>
      <w:jc w:val="left"/>
    </w:pPr>
    <w:rPr>
      <w:rFonts w:ascii="宋体"/>
      <w:b/>
      <w:bCs/>
      <w:kern w:val="0"/>
      <w:sz w:val="20"/>
      <w:szCs w:val="20"/>
      <w:lang w:eastAsia="en-US"/>
    </w:rPr>
  </w:style>
  <w:style w:type="paragraph" w:customStyle="1" w:styleId="194">
    <w:name w:val="参考资料清单+倾斜+蓝色"/>
    <w:basedOn w:val="1"/>
    <w:qFormat/>
    <w:uiPriority w:val="0"/>
    <w:pPr>
      <w:autoSpaceDE w:val="0"/>
      <w:autoSpaceDN w:val="0"/>
      <w:adjustRightInd w:val="0"/>
      <w:spacing w:line="360" w:lineRule="auto"/>
    </w:pPr>
    <w:rPr>
      <w:rFonts w:ascii="Arial" w:hAnsi="Arial"/>
      <w:i/>
      <w:iCs/>
      <w:color w:val="0000FF"/>
      <w:kern w:val="0"/>
      <w:szCs w:val="21"/>
    </w:rPr>
  </w:style>
  <w:style w:type="paragraph" w:customStyle="1" w:styleId="195">
    <w:name w:val="Normal_5_0_0"/>
    <w:qFormat/>
    <w:uiPriority w:val="0"/>
    <w:rPr>
      <w:rFonts w:ascii="黑体" w:hAnsi="黑体" w:eastAsia="黑体" w:cs="Times New Roman"/>
      <w:b/>
      <w:sz w:val="32"/>
      <w:szCs w:val="24"/>
      <w:lang w:bidi="ar-SA"/>
    </w:rPr>
  </w:style>
  <w:style w:type="paragraph" w:customStyle="1" w:styleId="196">
    <w:name w:val="Normal_19_0"/>
    <w:qFormat/>
    <w:uiPriority w:val="0"/>
    <w:rPr>
      <w:rFonts w:ascii="黑体" w:hAnsi="黑体" w:eastAsia="黑体" w:cs="Times New Roman"/>
      <w:b/>
      <w:sz w:val="32"/>
      <w:szCs w:val="24"/>
      <w:lang w:bidi="ar-SA"/>
    </w:rPr>
  </w:style>
  <w:style w:type="paragraph" w:customStyle="1" w:styleId="197">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8">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kern w:val="0"/>
      <w:sz w:val="20"/>
      <w:szCs w:val="20"/>
    </w:rPr>
  </w:style>
  <w:style w:type="paragraph" w:customStyle="1" w:styleId="199">
    <w:name w:val="pa-8"/>
    <w:basedOn w:val="1"/>
    <w:qFormat/>
    <w:uiPriority w:val="0"/>
    <w:pPr>
      <w:widowControl/>
      <w:spacing w:line="280" w:lineRule="atLeast"/>
      <w:ind w:firstLine="480"/>
    </w:pPr>
    <w:rPr>
      <w:rFonts w:ascii="宋体" w:cs="宋体"/>
      <w:kern w:val="0"/>
      <w:sz w:val="24"/>
      <w:lang w:bidi="ar-SA"/>
    </w:rPr>
  </w:style>
  <w:style w:type="paragraph" w:customStyle="1" w:styleId="200">
    <w:name w:val="Normal_3_0_0"/>
    <w:qFormat/>
    <w:uiPriority w:val="0"/>
    <w:rPr>
      <w:rFonts w:ascii="黑体" w:hAnsi="黑体" w:eastAsia="黑体" w:cs="Times New Roman"/>
      <w:b/>
      <w:sz w:val="32"/>
      <w:szCs w:val="24"/>
      <w:lang w:bidi="ar-SA"/>
    </w:rPr>
  </w:style>
  <w:style w:type="paragraph" w:customStyle="1" w:styleId="201">
    <w:name w:val="样式6"/>
    <w:basedOn w:val="161"/>
    <w:qFormat/>
    <w:uiPriority w:val="0"/>
    <w:pPr>
      <w:keepNext/>
      <w:keepLines/>
      <w:widowControl w:val="0"/>
      <w:tabs>
        <w:tab w:val="clear" w:pos="840"/>
      </w:tabs>
      <w:spacing w:before="260" w:after="260" w:line="415" w:lineRule="auto"/>
      <w:outlineLvl w:val="1"/>
    </w:pPr>
    <w:rPr>
      <w:rFonts w:ascii="Times New Roman" w:hAnsi="Times New Roman" w:eastAsia="宋体" w:cs="Times New Roman"/>
      <w:b/>
      <w:bCs/>
      <w:sz w:val="32"/>
      <w:szCs w:val="32"/>
      <w:lang w:bidi="ar-SA"/>
    </w:rPr>
  </w:style>
  <w:style w:type="paragraph" w:customStyle="1" w:styleId="202">
    <w:name w:val="附图标题"/>
    <w:basedOn w:val="16"/>
    <w:next w:val="15"/>
    <w:qFormat/>
    <w:uiPriority w:val="0"/>
    <w:pPr>
      <w:tabs>
        <w:tab w:val="clear" w:pos="0"/>
      </w:tabs>
      <w:spacing w:after="100" w:afterLines="100"/>
      <w:ind w:left="780" w:hanging="480"/>
      <w:jc w:val="center"/>
    </w:pPr>
    <w:rPr>
      <w:b/>
      <w:sz w:val="21"/>
    </w:rPr>
  </w:style>
  <w:style w:type="paragraph" w:customStyle="1" w:styleId="203">
    <w:name w:val="新段落缩进"/>
    <w:basedOn w:val="1"/>
    <w:qFormat/>
    <w:uiPriority w:val="0"/>
    <w:pPr>
      <w:spacing w:line="400" w:lineRule="exact"/>
      <w:ind w:firstLine="200" w:firstLineChars="200"/>
    </w:pPr>
    <w:rPr>
      <w:rFonts w:ascii="仿宋_GB2312" w:eastAsia="仿宋_GB2312"/>
      <w:kern w:val="0"/>
      <w:sz w:val="24"/>
    </w:rPr>
  </w:style>
  <w:style w:type="paragraph" w:customStyle="1" w:styleId="204">
    <w:name w:val="Normal_16_0"/>
    <w:qFormat/>
    <w:uiPriority w:val="0"/>
    <w:rPr>
      <w:rFonts w:ascii="黑体" w:hAnsi="黑体" w:eastAsia="黑体" w:cs="Times New Roman"/>
      <w:b/>
      <w:sz w:val="32"/>
      <w:szCs w:val="24"/>
      <w:lang w:bidi="ar-SA"/>
    </w:rPr>
  </w:style>
  <w:style w:type="paragraph" w:customStyle="1" w:styleId="20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06">
    <w:name w:val="图表目录1"/>
    <w:qFormat/>
    <w:uiPriority w:val="0"/>
    <w:pPr>
      <w:ind w:left="840" w:hanging="420"/>
    </w:pPr>
    <w:rPr>
      <w:rFonts w:ascii="Times New Roman" w:hAnsi="Times New Roman" w:eastAsia="宋体" w:cs="宋体"/>
      <w:kern w:val="2"/>
      <w:sz w:val="21"/>
      <w:lang w:val="en-US" w:eastAsia="zh-CN" w:bidi="ar-SA"/>
    </w:rPr>
  </w:style>
  <w:style w:type="paragraph" w:customStyle="1" w:styleId="207">
    <w:name w:val="Char Char Char Char1"/>
    <w:basedOn w:val="1"/>
    <w:qFormat/>
    <w:uiPriority w:val="0"/>
    <w:pPr>
      <w:spacing w:line="360" w:lineRule="auto"/>
      <w:ind w:firstLine="200" w:firstLineChars="200"/>
    </w:pPr>
    <w:rPr>
      <w:kern w:val="0"/>
      <w:sz w:val="24"/>
      <w:szCs w:val="20"/>
    </w:rPr>
  </w:style>
  <w:style w:type="paragraph" w:customStyle="1" w:styleId="208">
    <w:name w:val="默认段落字体 Para Char Char Char Char Char Char Char Char Char1 Char Char Char Char Char Char Char Char"/>
    <w:basedOn w:val="19"/>
    <w:qFormat/>
    <w:uiPriority w:val="0"/>
    <w:rPr>
      <w:rFonts w:ascii="Calibri" w:hAnsi="Calibri"/>
      <w:szCs w:val="22"/>
    </w:rPr>
  </w:style>
  <w:style w:type="paragraph" w:customStyle="1" w:styleId="209">
    <w:name w:val="pa-6"/>
    <w:basedOn w:val="1"/>
    <w:qFormat/>
    <w:uiPriority w:val="0"/>
    <w:pPr>
      <w:widowControl/>
      <w:spacing w:line="360" w:lineRule="atLeast"/>
    </w:pPr>
    <w:rPr>
      <w:rFonts w:ascii="宋体"/>
      <w:kern w:val="0"/>
      <w:sz w:val="24"/>
      <w:szCs w:val="20"/>
    </w:rPr>
  </w:style>
  <w:style w:type="paragraph" w:customStyle="1" w:styleId="210">
    <w:name w:val="编号2"/>
    <w:qFormat/>
    <w:uiPriority w:val="0"/>
    <w:pPr>
      <w:tabs>
        <w:tab w:val="left" w:pos="-40"/>
      </w:tabs>
      <w:spacing w:before="120" w:after="120" w:line="360" w:lineRule="auto"/>
      <w:ind w:left="720" w:hanging="360"/>
    </w:pPr>
    <w:rPr>
      <w:rFonts w:ascii="仿宋_GB2312" w:hAnsi="Times New Roman" w:eastAsia="仿宋_GB2312" w:cs="Times New Roman"/>
      <w:color w:val="FF0000"/>
      <w:kern w:val="2"/>
      <w:sz w:val="24"/>
      <w:szCs w:val="24"/>
      <w:lang w:val="en-US" w:eastAsia="zh-CN" w:bidi="ar-SA"/>
    </w:rPr>
  </w:style>
  <w:style w:type="paragraph" w:customStyle="1" w:styleId="21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12">
    <w:name w:val="正文（首行缩进两字）"/>
    <w:basedOn w:val="1"/>
    <w:qFormat/>
    <w:uiPriority w:val="0"/>
    <w:pPr>
      <w:spacing w:line="312" w:lineRule="auto"/>
    </w:pPr>
    <w:rPr>
      <w:rFonts w:ascii="宋体" w:cs="宋体"/>
      <w:sz w:val="24"/>
      <w:szCs w:val="22"/>
      <w:lang w:bidi="ar-SA"/>
    </w:rPr>
  </w:style>
  <w:style w:type="paragraph" w:customStyle="1" w:styleId="213">
    <w:name w:val="Normal_10"/>
    <w:qFormat/>
    <w:uiPriority w:val="0"/>
    <w:rPr>
      <w:rFonts w:ascii="黑体" w:hAnsi="黑体" w:eastAsia="黑体" w:cs="Times New Roman"/>
      <w:b/>
      <w:sz w:val="32"/>
      <w:szCs w:val="24"/>
      <w:lang w:bidi="ar-SA"/>
    </w:rPr>
  </w:style>
  <w:style w:type="paragraph" w:customStyle="1" w:styleId="214">
    <w:name w:val="Normal_20"/>
    <w:qFormat/>
    <w:uiPriority w:val="0"/>
    <w:pPr>
      <w:widowControl w:val="0"/>
      <w:jc w:val="both"/>
    </w:pPr>
    <w:rPr>
      <w:rFonts w:ascii="Times New Roman" w:hAnsi="Times New Roman" w:eastAsia="宋体" w:cs="Times New Roman"/>
      <w:sz w:val="21"/>
      <w:szCs w:val="22"/>
      <w:lang w:bidi="ar-SA"/>
    </w:rPr>
  </w:style>
  <w:style w:type="paragraph" w:customStyle="1" w:styleId="215">
    <w:name w:val="首页单位日期"/>
    <w:basedOn w:val="1"/>
    <w:qFormat/>
    <w:uiPriority w:val="0"/>
    <w:pPr>
      <w:widowControl/>
      <w:adjustRightInd w:val="0"/>
      <w:snapToGrid w:val="0"/>
      <w:jc w:val="center"/>
    </w:pPr>
    <w:rPr>
      <w:rFonts w:ascii="宋体" w:cs="宋体"/>
      <w:bCs/>
      <w:kern w:val="0"/>
      <w:sz w:val="28"/>
      <w:szCs w:val="20"/>
      <w:lang w:bidi="ar-SA"/>
    </w:rPr>
  </w:style>
  <w:style w:type="paragraph" w:customStyle="1" w:styleId="216">
    <w:name w:val="正文_12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样式 序号----------- + 仿宋_GB2312"/>
    <w:basedOn w:val="218"/>
    <w:qFormat/>
    <w:uiPriority w:val="0"/>
    <w:pPr>
      <w:spacing w:line="360" w:lineRule="auto"/>
      <w:ind w:firstLine="200" w:firstLineChars="200"/>
    </w:pPr>
    <w:rPr>
      <w:rFonts w:ascii="仿宋_GB2312" w:eastAsia="仿宋_GB2312"/>
      <w:bCs w:val="0"/>
    </w:rPr>
  </w:style>
  <w:style w:type="paragraph" w:customStyle="1" w:styleId="218">
    <w:name w:val="序号-----------"/>
    <w:basedOn w:val="1"/>
    <w:qFormat/>
    <w:uiPriority w:val="0"/>
    <w:pPr>
      <w:widowControl/>
      <w:jc w:val="left"/>
    </w:pPr>
    <w:rPr>
      <w:rFonts w:ascii="宋体"/>
      <w:bCs/>
      <w:kern w:val="0"/>
      <w:szCs w:val="21"/>
    </w:rPr>
  </w:style>
  <w:style w:type="paragraph" w:customStyle="1" w:styleId="219">
    <w:name w:val="篇名"/>
    <w:next w:val="2"/>
    <w:qFormat/>
    <w:uiPriority w:val="0"/>
    <w:pPr>
      <w:pageBreakBefore/>
      <w:adjustRightInd w:val="0"/>
      <w:snapToGrid w:val="0"/>
      <w:spacing w:before="480" w:after="480"/>
      <w:jc w:val="center"/>
    </w:pPr>
    <w:rPr>
      <w:rFonts w:ascii="Times New Roman" w:hAnsi="Times New Roman" w:eastAsia="黑体" w:cs="Times New Roman"/>
      <w:b/>
      <w:kern w:val="2"/>
      <w:sz w:val="44"/>
      <w:szCs w:val="24"/>
      <w:lang w:val="en-US" w:eastAsia="zh-CN" w:bidi="ar-SA"/>
    </w:rPr>
  </w:style>
  <w:style w:type="paragraph" w:customStyle="1" w:styleId="220">
    <w:name w:val="正文_7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1">
    <w:name w:val="style42"/>
    <w:basedOn w:val="1"/>
    <w:qFormat/>
    <w:uiPriority w:val="0"/>
    <w:pPr>
      <w:widowControl/>
      <w:spacing w:before="100" w:beforeAutospacing="1" w:after="100" w:afterAutospacing="1"/>
      <w:jc w:val="left"/>
    </w:pPr>
    <w:rPr>
      <w:rFonts w:ascii="宋体" w:cs="宋体"/>
      <w:color w:val="000000"/>
      <w:kern w:val="0"/>
      <w:sz w:val="15"/>
      <w:szCs w:val="15"/>
      <w:lang w:bidi="ar-SA"/>
    </w:rPr>
  </w:style>
  <w:style w:type="paragraph" w:customStyle="1" w:styleId="222">
    <w:name w:val="保密事宜内容"/>
    <w:basedOn w:val="1"/>
    <w:qFormat/>
    <w:uiPriority w:val="0"/>
    <w:pPr>
      <w:pBdr>
        <w:top w:val="single" w:color="auto" w:sz="4" w:space="1"/>
        <w:left w:val="single" w:color="auto" w:sz="4" w:space="4"/>
        <w:bottom w:val="single" w:color="auto" w:sz="4" w:space="1"/>
        <w:right w:val="single" w:color="auto" w:sz="4" w:space="4"/>
      </w:pBdr>
      <w:adjustRightInd w:val="0"/>
      <w:snapToGrid w:val="0"/>
      <w:spacing w:line="360" w:lineRule="auto"/>
      <w:ind w:firstLine="200" w:firstLineChars="200"/>
    </w:pPr>
    <w:rPr>
      <w:rFonts w:ascii="Tahoma" w:hAnsi="Tahoma" w:eastAsia="楷体_GB2312" w:cs="宋体"/>
      <w:bCs/>
      <w:kern w:val="0"/>
      <w:sz w:val="24"/>
      <w:szCs w:val="20"/>
      <w:lang w:bidi="ar-SA"/>
    </w:rPr>
  </w:style>
  <w:style w:type="paragraph" w:customStyle="1" w:styleId="223">
    <w:name w:val="我的样式"/>
    <w:basedOn w:val="1"/>
    <w:qFormat/>
    <w:uiPriority w:val="0"/>
    <w:pPr>
      <w:widowControl/>
      <w:spacing w:after="120"/>
      <w:ind w:firstLine="420"/>
      <w:jc w:val="left"/>
    </w:pPr>
    <w:rPr>
      <w:rFonts w:ascii="宋体"/>
      <w:color w:val="000000"/>
      <w:kern w:val="0"/>
      <w:sz w:val="24"/>
      <w:szCs w:val="16"/>
    </w:rPr>
  </w:style>
  <w:style w:type="paragraph" w:customStyle="1" w:styleId="224">
    <w:name w:val="普通正文"/>
    <w:basedOn w:val="1"/>
    <w:qFormat/>
    <w:uiPriority w:val="0"/>
    <w:pPr>
      <w:adjustRightInd w:val="0"/>
      <w:ind w:firstLine="425"/>
      <w:jc w:val="left"/>
      <w:textAlignment w:val="baseline"/>
    </w:pPr>
    <w:rPr>
      <w:rFonts w:ascii="宋体"/>
      <w:kern w:val="0"/>
      <w:sz w:val="20"/>
      <w:szCs w:val="20"/>
    </w:rPr>
  </w:style>
  <w:style w:type="paragraph" w:customStyle="1" w:styleId="225">
    <w:name w:val="五级条标题"/>
    <w:basedOn w:val="226"/>
    <w:next w:val="184"/>
    <w:qFormat/>
    <w:uiPriority w:val="0"/>
    <w:pPr>
      <w:outlineLvl w:val="6"/>
    </w:pPr>
  </w:style>
  <w:style w:type="paragraph" w:customStyle="1" w:styleId="226">
    <w:name w:val="四级条标题"/>
    <w:basedOn w:val="227"/>
    <w:next w:val="184"/>
    <w:qFormat/>
    <w:uiPriority w:val="0"/>
    <w:pPr>
      <w:ind w:left="0"/>
      <w:outlineLvl w:val="5"/>
    </w:pPr>
  </w:style>
  <w:style w:type="paragraph" w:customStyle="1" w:styleId="227">
    <w:name w:val="三级条标题"/>
    <w:basedOn w:val="182"/>
    <w:next w:val="184"/>
    <w:qFormat/>
    <w:uiPriority w:val="0"/>
    <w:pPr>
      <w:ind w:left="1050"/>
      <w:outlineLvl w:val="4"/>
    </w:pPr>
  </w:style>
  <w:style w:type="paragraph" w:customStyle="1" w:styleId="228">
    <w:name w:val="正文_13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大汉方案正文 Char"/>
    <w:basedOn w:val="1"/>
    <w:qFormat/>
    <w:uiPriority w:val="0"/>
    <w:pPr>
      <w:spacing w:line="360" w:lineRule="auto"/>
      <w:ind w:firstLine="200" w:firstLineChars="200"/>
    </w:pPr>
    <w:rPr>
      <w:rFonts w:ascii="Arial" w:hAnsi="Arial"/>
      <w:sz w:val="24"/>
      <w:szCs w:val="22"/>
    </w:rPr>
  </w:style>
  <w:style w:type="paragraph" w:customStyle="1" w:styleId="230">
    <w:name w:val="文档正文"/>
    <w:basedOn w:val="1"/>
    <w:qFormat/>
    <w:uiPriority w:val="0"/>
    <w:rPr>
      <w:rFonts w:ascii="宋体"/>
      <w:szCs w:val="20"/>
    </w:rPr>
  </w:style>
  <w:style w:type="paragraph" w:customStyle="1" w:styleId="231">
    <w:name w:val="Normal_7_0"/>
    <w:qFormat/>
    <w:uiPriority w:val="0"/>
    <w:rPr>
      <w:rFonts w:ascii="黑体" w:hAnsi="黑体" w:eastAsia="黑体" w:cs="Times New Roman"/>
      <w:b/>
      <w:sz w:val="32"/>
      <w:szCs w:val="24"/>
      <w:lang w:bidi="ar-SA"/>
    </w:rPr>
  </w:style>
  <w:style w:type="paragraph" w:customStyle="1" w:styleId="232">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3">
    <w:name w:val="正文_1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
    <w:name w:val="pa-5"/>
    <w:basedOn w:val="1"/>
    <w:qFormat/>
    <w:uiPriority w:val="0"/>
    <w:pPr>
      <w:widowControl/>
      <w:spacing w:line="280" w:lineRule="atLeast"/>
    </w:pPr>
    <w:rPr>
      <w:rFonts w:ascii="宋体" w:cs="宋体"/>
      <w:kern w:val="0"/>
      <w:sz w:val="24"/>
      <w:lang w:bidi="ar-SA"/>
    </w:rPr>
  </w:style>
  <w:style w:type="paragraph" w:customStyle="1" w:styleId="235">
    <w:name w:val="标书2"/>
    <w:next w:val="160"/>
    <w:qFormat/>
    <w:uiPriority w:val="0"/>
    <w:rPr>
      <w:rFonts w:ascii="Times New Roman" w:hAnsi="Times New Roman" w:eastAsia="黑体" w:cs="宋体"/>
      <w:b/>
      <w:kern w:val="2"/>
      <w:sz w:val="44"/>
      <w:lang w:val="en-US" w:eastAsia="zh-CN" w:bidi="ar-SA"/>
    </w:rPr>
  </w:style>
  <w:style w:type="paragraph" w:customStyle="1" w:styleId="236">
    <w:name w:val="xl42"/>
    <w:basedOn w:val="1"/>
    <w:autoRedefine/>
    <w:qFormat/>
    <w:uiPriority w:val="0"/>
    <w:pPr>
      <w:widowControl/>
      <w:pBdr>
        <w:top w:val="single" w:color="auto" w:sz="4" w:space="0"/>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237">
    <w:name w:val="英文音标"/>
    <w:qFormat/>
    <w:uiPriority w:val="0"/>
    <w:rPr>
      <w:rFonts w:ascii="Kingsoft Phonetic Plain" w:hAnsi="Kingsoft Phonetic Plain" w:eastAsia="Kingsoft Phonetic Plain" w:cs="Times New Roman"/>
      <w:kern w:val="2"/>
      <w:sz w:val="24"/>
      <w:szCs w:val="24"/>
      <w:lang w:val="en-US" w:eastAsia="zh-CN" w:bidi="ar-SA"/>
    </w:rPr>
  </w:style>
  <w:style w:type="paragraph" w:customStyle="1" w:styleId="238">
    <w:name w:val="正文_4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Normal_0_3"/>
    <w:qFormat/>
    <w:uiPriority w:val="0"/>
    <w:rPr>
      <w:rFonts w:ascii="黑体" w:hAnsi="黑体" w:eastAsia="黑体" w:cs="Times New Roman"/>
      <w:b/>
      <w:sz w:val="32"/>
      <w:szCs w:val="24"/>
      <w:lang w:bidi="ar-SA"/>
    </w:rPr>
  </w:style>
  <w:style w:type="paragraph" w:customStyle="1" w:styleId="24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1">
    <w:name w:val="Normal_16"/>
    <w:qFormat/>
    <w:uiPriority w:val="0"/>
    <w:rPr>
      <w:rFonts w:ascii="黑体" w:hAnsi="黑体" w:eastAsia="黑体" w:cs="Times New Roman"/>
      <w:b/>
      <w:sz w:val="32"/>
      <w:szCs w:val="24"/>
      <w:lang w:bidi="ar-SA"/>
    </w:rPr>
  </w:style>
  <w:style w:type="paragraph" w:customStyle="1" w:styleId="242">
    <w:name w:val="Char Char1 Char Char Char Char Char Char Char Char"/>
    <w:basedOn w:val="1"/>
    <w:qFormat/>
    <w:uiPriority w:val="0"/>
    <w:pPr>
      <w:widowControl/>
      <w:spacing w:after="160" w:line="240" w:lineRule="exact"/>
      <w:jc w:val="left"/>
    </w:pPr>
  </w:style>
  <w:style w:type="paragraph" w:customStyle="1" w:styleId="243">
    <w:name w:val="一级缩进"/>
    <w:qFormat/>
    <w:uiPriority w:val="0"/>
    <w:pPr>
      <w:tabs>
        <w:tab w:val="left" w:pos="0"/>
        <w:tab w:val="left" w:pos="568"/>
      </w:tabs>
      <w:adjustRightInd w:val="0"/>
      <w:snapToGrid w:val="0"/>
      <w:spacing w:before="120" w:after="120" w:line="360" w:lineRule="auto"/>
      <w:jc w:val="both"/>
    </w:pPr>
    <w:rPr>
      <w:rFonts w:ascii="Times New Roman" w:hAnsi="Times New Roman" w:eastAsia="仿宋_GB2312" w:cs="Times New Roman"/>
      <w:kern w:val="2"/>
      <w:sz w:val="24"/>
      <w:szCs w:val="24"/>
      <w:lang w:val="en-US" w:eastAsia="zh-CN" w:bidi="ar-SA"/>
    </w:rPr>
  </w:style>
  <w:style w:type="paragraph" w:customStyle="1" w:styleId="244">
    <w:name w:val="正文_14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5">
    <w:name w:val="xl40"/>
    <w:basedOn w:val="1"/>
    <w:qFormat/>
    <w:uiPriority w:val="0"/>
    <w:pPr>
      <w:widowControl/>
      <w:pBdr>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246">
    <w:name w:val="正文_6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7">
    <w:name w:val="Normal_12"/>
    <w:qFormat/>
    <w:uiPriority w:val="0"/>
    <w:rPr>
      <w:rFonts w:ascii="黑体" w:hAnsi="黑体" w:eastAsia="黑体" w:cs="Times New Roman"/>
      <w:b/>
      <w:sz w:val="32"/>
      <w:szCs w:val="24"/>
      <w:lang w:bidi="ar-SA"/>
    </w:rPr>
  </w:style>
  <w:style w:type="paragraph" w:customStyle="1" w:styleId="248">
    <w:name w:val="pa-3"/>
    <w:basedOn w:val="1"/>
    <w:qFormat/>
    <w:uiPriority w:val="0"/>
    <w:pPr>
      <w:widowControl/>
      <w:spacing w:before="150" w:after="150"/>
      <w:jc w:val="left"/>
    </w:pPr>
    <w:rPr>
      <w:rFonts w:ascii="宋体" w:cs="宋体"/>
      <w:kern w:val="0"/>
      <w:sz w:val="24"/>
      <w:lang w:bidi="ar-SA"/>
    </w:rPr>
  </w:style>
  <w:style w:type="paragraph" w:customStyle="1" w:styleId="249">
    <w:name w:val="a0"/>
    <w:basedOn w:val="1"/>
    <w:qFormat/>
    <w:uiPriority w:val="0"/>
    <w:pPr>
      <w:widowControl/>
      <w:spacing w:before="100" w:beforeAutospacing="1" w:after="100" w:afterAutospacing="1"/>
      <w:jc w:val="left"/>
    </w:pPr>
    <w:rPr>
      <w:rFonts w:ascii="宋体"/>
      <w:kern w:val="0"/>
      <w:sz w:val="24"/>
      <w:szCs w:val="22"/>
    </w:rPr>
  </w:style>
  <w:style w:type="paragraph" w:customStyle="1" w:styleId="250">
    <w:name w:val="特点"/>
    <w:basedOn w:val="1"/>
    <w:next w:val="1"/>
    <w:qFormat/>
    <w:uiPriority w:val="0"/>
    <w:pPr>
      <w:spacing w:line="360" w:lineRule="auto"/>
      <w:jc w:val="center"/>
    </w:pPr>
    <w:rPr>
      <w:rFonts w:ascii="Arial" w:hAnsi="Arial"/>
      <w:sz w:val="24"/>
      <w:szCs w:val="20"/>
    </w:rPr>
  </w:style>
  <w:style w:type="paragraph" w:customStyle="1" w:styleId="25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0"/>
      <w:szCs w:val="20"/>
    </w:rPr>
  </w:style>
  <w:style w:type="paragraph" w:customStyle="1" w:styleId="252">
    <w:name w:val="正文（黑体）"/>
    <w:basedOn w:val="1"/>
    <w:next w:val="1"/>
    <w:qFormat/>
    <w:uiPriority w:val="0"/>
    <w:pPr>
      <w:spacing w:before="50" w:beforeLines="50" w:after="50" w:afterLines="50" w:line="360" w:lineRule="auto"/>
      <w:ind w:firstLine="200" w:firstLineChars="200"/>
    </w:pPr>
    <w:rPr>
      <w:rFonts w:ascii="黑体" w:eastAsia="黑体"/>
      <w:color w:val="000080"/>
      <w:sz w:val="24"/>
    </w:rPr>
  </w:style>
  <w:style w:type="paragraph" w:customStyle="1" w:styleId="253">
    <w:name w:val="Normal_87d40a3c-4a4e-4114-bad9-9ba489d66dd9"/>
    <w:qFormat/>
    <w:uiPriority w:val="0"/>
    <w:rPr>
      <w:rFonts w:ascii="Times New Roman" w:hAnsi="Times New Roman" w:eastAsia="Times New Roman" w:cs="Times New Roman"/>
      <w:sz w:val="24"/>
      <w:szCs w:val="24"/>
      <w:lang w:bidi="ar-SA"/>
    </w:rPr>
  </w:style>
  <w:style w:type="paragraph" w:customStyle="1" w:styleId="254">
    <w:name w:val="CM17"/>
    <w:basedOn w:val="1"/>
    <w:next w:val="1"/>
    <w:qFormat/>
    <w:uiPriority w:val="0"/>
    <w:pPr>
      <w:autoSpaceDE w:val="0"/>
      <w:autoSpaceDN w:val="0"/>
      <w:adjustRightInd w:val="0"/>
      <w:spacing w:after="273" w:line="360" w:lineRule="auto"/>
      <w:jc w:val="left"/>
    </w:pPr>
    <w:rPr>
      <w:rFonts w:ascii="宋体"/>
      <w:kern w:val="0"/>
      <w:sz w:val="24"/>
    </w:rPr>
  </w:style>
  <w:style w:type="paragraph" w:customStyle="1" w:styleId="255">
    <w:name w:val="技术方案3"/>
    <w:basedOn w:val="1"/>
    <w:qFormat/>
    <w:uiPriority w:val="0"/>
    <w:pPr>
      <w:spacing w:line="360" w:lineRule="auto"/>
    </w:pPr>
    <w:rPr>
      <w:rFonts w:ascii="宋体"/>
      <w:b/>
      <w:bCs/>
      <w:sz w:val="32"/>
      <w:szCs w:val="22"/>
    </w:rPr>
  </w:style>
  <w:style w:type="paragraph" w:customStyle="1" w:styleId="256">
    <w:name w:val="正文_15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7">
    <w:name w:val="xl41"/>
    <w:basedOn w:val="1"/>
    <w:qFormat/>
    <w:uiPriority w:val="0"/>
    <w:pPr>
      <w:widowControl/>
      <w:pBdr>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4"/>
    </w:rPr>
  </w:style>
  <w:style w:type="paragraph" w:customStyle="1" w:styleId="258">
    <w:name w:val="样式4"/>
    <w:basedOn w:val="4"/>
    <w:qFormat/>
    <w:uiPriority w:val="0"/>
    <w:pPr>
      <w:autoSpaceDE/>
      <w:autoSpaceDN/>
      <w:adjustRightInd/>
      <w:snapToGrid/>
      <w:spacing w:line="415" w:lineRule="auto"/>
    </w:pPr>
    <w:rPr>
      <w:rFonts w:ascii="Calibri" w:hAnsi="Calibri"/>
      <w:bCs/>
      <w:color w:val="auto"/>
      <w:sz w:val="28"/>
      <w:szCs w:val="28"/>
    </w:rPr>
  </w:style>
  <w:style w:type="paragraph" w:customStyle="1" w:styleId="259">
    <w:name w:val="Char"/>
    <w:basedOn w:val="1"/>
    <w:qFormat/>
    <w:uiPriority w:val="0"/>
    <w:pPr>
      <w:tabs>
        <w:tab w:val="left" w:pos="360"/>
      </w:tabs>
    </w:pPr>
    <w:rPr>
      <w:rFonts w:ascii="仿宋_GB2312" w:eastAsia="仿宋_GB2312"/>
      <w:b/>
      <w:sz w:val="24"/>
    </w:rPr>
  </w:style>
  <w:style w:type="paragraph" w:customStyle="1" w:styleId="260">
    <w:name w:val="Normal_7"/>
    <w:qFormat/>
    <w:uiPriority w:val="0"/>
    <w:rPr>
      <w:rFonts w:ascii="黑体" w:hAnsi="黑体" w:eastAsia="黑体" w:cs="Times New Roman"/>
      <w:b/>
      <w:sz w:val="32"/>
      <w:szCs w:val="24"/>
      <w:lang w:bidi="ar-SA"/>
    </w:rPr>
  </w:style>
  <w:style w:type="paragraph" w:customStyle="1" w:styleId="261">
    <w:name w:val="正文_0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2">
    <w:name w:val="项目"/>
    <w:basedOn w:val="1"/>
    <w:qFormat/>
    <w:uiPriority w:val="0"/>
    <w:pPr>
      <w:tabs>
        <w:tab w:val="left" w:pos="840"/>
      </w:tabs>
      <w:adjustRightInd w:val="0"/>
      <w:spacing w:before="60" w:after="60" w:line="360" w:lineRule="auto"/>
      <w:ind w:left="840" w:hanging="420"/>
      <w:textAlignment w:val="baseline"/>
    </w:pPr>
    <w:rPr>
      <w:rFonts w:ascii="宋体"/>
      <w:kern w:val="0"/>
      <w:szCs w:val="20"/>
    </w:rPr>
  </w:style>
  <w:style w:type="paragraph" w:customStyle="1" w:styleId="263">
    <w:name w:val="Figure and Table Title"/>
    <w:basedOn w:val="1"/>
    <w:qFormat/>
    <w:uiPriority w:val="0"/>
    <w:pPr>
      <w:widowControl/>
      <w:ind w:left="2160"/>
      <w:jc w:val="left"/>
    </w:pPr>
    <w:rPr>
      <w:rFonts w:ascii="Helvetica-Light" w:hAnsi="Helvetica-Light"/>
      <w:b/>
      <w:bCs/>
      <w:kern w:val="0"/>
      <w:sz w:val="20"/>
      <w:szCs w:val="22"/>
      <w:lang w:eastAsia="en-US"/>
    </w:rPr>
  </w:style>
  <w:style w:type="paragraph" w:customStyle="1" w:styleId="264">
    <w:name w:val="pa-4"/>
    <w:basedOn w:val="1"/>
    <w:qFormat/>
    <w:uiPriority w:val="0"/>
    <w:pPr>
      <w:widowControl/>
      <w:spacing w:line="280" w:lineRule="atLeast"/>
      <w:jc w:val="center"/>
    </w:pPr>
    <w:rPr>
      <w:rFonts w:ascii="宋体" w:cs="宋体"/>
      <w:kern w:val="0"/>
      <w:sz w:val="24"/>
      <w:lang w:bidi="ar-SA"/>
    </w:rPr>
  </w:style>
  <w:style w:type="paragraph" w:customStyle="1" w:styleId="265">
    <w:name w:val="正文_1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6">
    <w:name w:val="Normal_4_0"/>
    <w:qFormat/>
    <w:uiPriority w:val="0"/>
    <w:rPr>
      <w:rFonts w:ascii="黑体" w:hAnsi="黑体" w:eastAsia="黑体" w:cs="Times New Roman"/>
      <w:b/>
      <w:sz w:val="32"/>
      <w:szCs w:val="24"/>
      <w:lang w:bidi="ar-SA"/>
    </w:rPr>
  </w:style>
  <w:style w:type="paragraph" w:customStyle="1" w:styleId="267">
    <w:name w:val="标书3"/>
    <w:next w:val="160"/>
    <w:qFormat/>
    <w:uiPriority w:val="0"/>
    <w:pPr>
      <w:widowControl w:val="0"/>
      <w:jc w:val="center"/>
    </w:pPr>
    <w:rPr>
      <w:rFonts w:ascii="Times New Roman" w:hAnsi="Times New Roman" w:eastAsia="黑体" w:cs="Times New Roman"/>
      <w:b/>
      <w:kern w:val="2"/>
      <w:sz w:val="44"/>
      <w:szCs w:val="24"/>
      <w:lang w:val="en-US" w:eastAsia="zh-CN" w:bidi="ar-SA"/>
    </w:rPr>
  </w:style>
  <w:style w:type="paragraph" w:customStyle="1" w:styleId="268">
    <w:name w:val="样式 序号----------- + 仿宋_GB23121"/>
    <w:basedOn w:val="218"/>
    <w:qFormat/>
    <w:uiPriority w:val="0"/>
    <w:pPr>
      <w:spacing w:line="360" w:lineRule="auto"/>
    </w:pPr>
    <w:rPr>
      <w:rFonts w:ascii="仿宋_GB2312" w:eastAsia="仿宋_GB2312"/>
      <w:bCs w:val="0"/>
    </w:rPr>
  </w:style>
  <w:style w:type="paragraph" w:customStyle="1" w:styleId="269">
    <w:name w:val="Normal_18_0"/>
    <w:qFormat/>
    <w:uiPriority w:val="0"/>
    <w:rPr>
      <w:rFonts w:ascii="黑体" w:hAnsi="黑体" w:eastAsia="黑体" w:cs="Times New Roman"/>
      <w:b/>
      <w:sz w:val="32"/>
      <w:szCs w:val="24"/>
      <w:lang w:bidi="ar-SA"/>
    </w:rPr>
  </w:style>
  <w:style w:type="paragraph" w:customStyle="1" w:styleId="270">
    <w:name w:val="Normal_15"/>
    <w:qFormat/>
    <w:uiPriority w:val="0"/>
    <w:rPr>
      <w:rFonts w:ascii="黑体" w:hAnsi="黑体" w:eastAsia="黑体" w:cs="Times New Roman"/>
      <w:b/>
      <w:sz w:val="32"/>
      <w:szCs w:val="24"/>
      <w:lang w:bidi="ar-SA"/>
    </w:rPr>
  </w:style>
  <w:style w:type="paragraph" w:customStyle="1" w:styleId="271">
    <w:name w:val="正文_9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2">
    <w:name w:val="编号3"/>
    <w:qFormat/>
    <w:uiPriority w:val="0"/>
    <w:pPr>
      <w:tabs>
        <w:tab w:val="left" w:pos="771"/>
      </w:tabs>
      <w:adjustRightInd w:val="0"/>
      <w:snapToGrid w:val="0"/>
      <w:spacing w:before="120" w:after="120" w:line="360" w:lineRule="auto"/>
      <w:ind w:left="1021" w:hanging="250"/>
      <w:jc w:val="both"/>
    </w:pPr>
    <w:rPr>
      <w:rFonts w:ascii="Times New Roman" w:hAnsi="Times New Roman" w:eastAsia="仿宋_GB2312" w:cs="Times New Roman"/>
      <w:kern w:val="2"/>
      <w:sz w:val="24"/>
      <w:szCs w:val="24"/>
      <w:lang w:val="en-US" w:eastAsia="zh-CN" w:bidi="ar-SA"/>
    </w:rPr>
  </w:style>
  <w:style w:type="paragraph" w:customStyle="1" w:styleId="27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20"/>
      <w:szCs w:val="20"/>
    </w:rPr>
  </w:style>
  <w:style w:type="paragraph" w:customStyle="1" w:styleId="27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275">
    <w:name w:val="Normal_0_2"/>
    <w:qFormat/>
    <w:uiPriority w:val="0"/>
    <w:rPr>
      <w:rFonts w:ascii="黑体" w:hAnsi="黑体" w:eastAsia="黑体" w:cs="Times New Roman"/>
      <w:b/>
      <w:sz w:val="32"/>
      <w:szCs w:val="24"/>
      <w:lang w:bidi="ar-SA"/>
    </w:rPr>
  </w:style>
  <w:style w:type="paragraph" w:customStyle="1" w:styleId="27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77">
    <w:name w:val="Normal_14_0"/>
    <w:qFormat/>
    <w:uiPriority w:val="0"/>
    <w:rPr>
      <w:rFonts w:ascii="黑体" w:hAnsi="黑体" w:eastAsia="黑体" w:cs="Times New Roman"/>
      <w:b/>
      <w:sz w:val="32"/>
      <w:szCs w:val="24"/>
      <w:lang w:bidi="ar-SA"/>
    </w:rPr>
  </w:style>
  <w:style w:type="paragraph" w:customStyle="1" w:styleId="278">
    <w:name w:val="正文_1_1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9">
    <w:name w:val="正文_1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0">
    <w:name w:val="附图居中"/>
    <w:basedOn w:val="1"/>
    <w:next w:val="202"/>
    <w:qFormat/>
    <w:uiPriority w:val="0"/>
    <w:pPr>
      <w:keepNext/>
      <w:tabs>
        <w:tab w:val="left" w:pos="0"/>
      </w:tabs>
      <w:spacing w:line="360" w:lineRule="auto"/>
      <w:ind w:left="1271" w:hanging="420"/>
      <w:jc w:val="center"/>
    </w:pPr>
    <w:rPr>
      <w:caps/>
      <w:sz w:val="24"/>
    </w:rPr>
  </w:style>
  <w:style w:type="paragraph" w:customStyle="1" w:styleId="281">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2">
    <w:name w:val="Normal_1"/>
    <w:qFormat/>
    <w:uiPriority w:val="0"/>
    <w:rPr>
      <w:rFonts w:ascii="黑体" w:hAnsi="黑体" w:eastAsia="黑体" w:cs="Times New Roman"/>
      <w:b/>
      <w:sz w:val="32"/>
      <w:szCs w:val="24"/>
      <w:lang w:bidi="ar-SA"/>
    </w:rPr>
  </w:style>
  <w:style w:type="paragraph" w:customStyle="1" w:styleId="283">
    <w:name w:val="Normal_17_0"/>
    <w:qFormat/>
    <w:uiPriority w:val="0"/>
    <w:rPr>
      <w:rFonts w:ascii="黑体" w:hAnsi="黑体" w:eastAsia="黑体" w:cs="Times New Roman"/>
      <w:b/>
      <w:sz w:val="32"/>
      <w:szCs w:val="24"/>
      <w:lang w:bidi="ar-SA"/>
    </w:rPr>
  </w:style>
  <w:style w:type="paragraph" w:customStyle="1" w:styleId="284">
    <w:name w:val="正文_12_0"/>
    <w:qFormat/>
    <w:uiPriority w:val="0"/>
    <w:pPr>
      <w:widowControl w:val="0"/>
      <w:jc w:val="both"/>
    </w:pPr>
    <w:rPr>
      <w:rFonts w:ascii="Times New Roman" w:hAnsi="Times New Roman" w:eastAsia="宋体" w:cs="Times New Roman"/>
      <w:sz w:val="21"/>
      <w:szCs w:val="22"/>
      <w:lang w:bidi="ar-SA"/>
    </w:rPr>
  </w:style>
  <w:style w:type="paragraph" w:customStyle="1" w:styleId="285">
    <w:name w:val="xl3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86">
    <w:name w:val="正文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7">
    <w:name w:val="表头"/>
    <w:basedOn w:val="191"/>
    <w:qFormat/>
    <w:uiPriority w:val="0"/>
    <w:pPr>
      <w:spacing w:line="240" w:lineRule="auto"/>
      <w:ind w:left="0" w:firstLine="0"/>
    </w:pPr>
    <w:rPr>
      <w:sz w:val="20"/>
    </w:rPr>
  </w:style>
  <w:style w:type="paragraph" w:customStyle="1" w:styleId="288">
    <w:name w:val="Normal_8_0"/>
    <w:qFormat/>
    <w:uiPriority w:val="0"/>
    <w:rPr>
      <w:rFonts w:ascii="Times New Roman" w:hAnsi="Times New Roman" w:eastAsia="Times New Roman" w:cs="Times New Roman"/>
      <w:sz w:val="24"/>
      <w:szCs w:val="24"/>
      <w:lang w:bidi="ar-SA"/>
    </w:rPr>
  </w:style>
  <w:style w:type="paragraph" w:customStyle="1" w:styleId="289">
    <w:name w:val="正文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0">
    <w:name w:val="Char Char1 Char Char Char Char Char Char"/>
    <w:basedOn w:val="1"/>
    <w:qFormat/>
    <w:uiPriority w:val="0"/>
    <w:pPr>
      <w:widowControl/>
      <w:jc w:val="center"/>
    </w:pPr>
    <w:rPr>
      <w:szCs w:val="20"/>
    </w:rPr>
  </w:style>
  <w:style w:type="paragraph" w:customStyle="1" w:styleId="291">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2">
    <w:name w:val="正文_1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编号"/>
    <w:basedOn w:val="1"/>
    <w:next w:val="160"/>
    <w:qFormat/>
    <w:uiPriority w:val="0"/>
    <w:pPr>
      <w:widowControl/>
      <w:tabs>
        <w:tab w:val="left" w:pos="420"/>
      </w:tabs>
      <w:ind w:left="420" w:right="-136" w:rightChars="-136" w:hanging="420"/>
    </w:pPr>
    <w:rPr>
      <w:rFonts w:ascii="仿宋_GB2312" w:eastAsia="仿宋_GB2312"/>
      <w:b/>
      <w:bCs/>
      <w:kern w:val="0"/>
      <w:sz w:val="24"/>
      <w:szCs w:val="21"/>
    </w:rPr>
  </w:style>
  <w:style w:type="paragraph" w:customStyle="1" w:styleId="294">
    <w:name w:val="默认段落字体 Para Char Char Char Char Char Char Char Char Char Char Char Char Char Char"/>
    <w:basedOn w:val="19"/>
    <w:qFormat/>
    <w:uiPriority w:val="0"/>
    <w:rPr>
      <w:rFonts w:ascii="Tahoma" w:hAnsi="Tahoma"/>
      <w:sz w:val="24"/>
    </w:rPr>
  </w:style>
  <w:style w:type="paragraph" w:customStyle="1" w:styleId="295">
    <w:name w:val="Normal_2_0"/>
    <w:qFormat/>
    <w:uiPriority w:val="0"/>
    <w:rPr>
      <w:rFonts w:ascii="黑体" w:hAnsi="黑体" w:eastAsia="黑体" w:cs="Times New Roman"/>
      <w:b/>
      <w:sz w:val="32"/>
      <w:szCs w:val="24"/>
      <w:lang w:bidi="ar-SA"/>
    </w:rPr>
  </w:style>
  <w:style w:type="paragraph" w:customStyle="1" w:styleId="296">
    <w:name w:val="表格"/>
    <w:basedOn w:val="1"/>
    <w:qFormat/>
    <w:uiPriority w:val="0"/>
    <w:pPr>
      <w:snapToGrid w:val="0"/>
      <w:ind w:firstLine="21" w:firstLineChars="21"/>
    </w:pPr>
    <w:rPr>
      <w:rFonts w:ascii="宋体"/>
      <w:szCs w:val="20"/>
    </w:rPr>
  </w:style>
  <w:style w:type="paragraph" w:customStyle="1" w:styleId="297">
    <w:name w:val="技术方案2"/>
    <w:basedOn w:val="1"/>
    <w:qFormat/>
    <w:uiPriority w:val="0"/>
    <w:pPr>
      <w:spacing w:line="480" w:lineRule="auto"/>
    </w:pPr>
    <w:rPr>
      <w:rFonts w:ascii="宋体"/>
      <w:b/>
      <w:bCs/>
      <w:sz w:val="36"/>
      <w:szCs w:val="22"/>
    </w:rPr>
  </w:style>
  <w:style w:type="paragraph" w:customStyle="1" w:styleId="298">
    <w:name w:val="正文_1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9">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00">
    <w:name w:val="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01">
    <w:name w:val="正文_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02">
    <w:name w:val="样式 正文2 + 首行缩进:  0 厘米 段后: 1.5 行"/>
    <w:basedOn w:val="1"/>
    <w:qFormat/>
    <w:uiPriority w:val="0"/>
    <w:pPr>
      <w:widowControl/>
      <w:tabs>
        <w:tab w:val="left" w:pos="987"/>
      </w:tabs>
      <w:spacing w:line="360" w:lineRule="auto"/>
      <w:ind w:left="985" w:hanging="567"/>
      <w:jc w:val="left"/>
    </w:pPr>
    <w:rPr>
      <w:rFonts w:ascii="Calibri" w:hAnsi="Calibri" w:eastAsia="楷体_GB2312"/>
      <w:kern w:val="0"/>
      <w:sz w:val="24"/>
      <w:szCs w:val="20"/>
      <w:lang w:eastAsia="en-US"/>
    </w:rPr>
  </w:style>
  <w:style w:type="paragraph" w:customStyle="1" w:styleId="303">
    <w:name w:val="首页空格"/>
    <w:qFormat/>
    <w:uiPriority w:val="0"/>
    <w:pPr>
      <w:adjustRightInd w:val="0"/>
      <w:snapToGrid w:val="0"/>
      <w:jc w:val="center"/>
    </w:pPr>
    <w:rPr>
      <w:rFonts w:ascii="Times New Roman" w:hAnsi="Times New Roman" w:eastAsia="宋体" w:cs="宋体"/>
      <w:kern w:val="2"/>
      <w:sz w:val="72"/>
      <w:lang w:val="en-US" w:eastAsia="zh-CN" w:bidi="ar-SA"/>
    </w:rPr>
  </w:style>
  <w:style w:type="paragraph" w:customStyle="1" w:styleId="304">
    <w:name w:val="首页标题 一号"/>
    <w:basedOn w:val="164"/>
    <w:qFormat/>
    <w:uiPriority w:val="0"/>
    <w:rPr>
      <w:sz w:val="52"/>
    </w:rPr>
  </w:style>
  <w:style w:type="paragraph" w:customStyle="1" w:styleId="305">
    <w:name w:val="Normal Paragraph Char"/>
    <w:basedOn w:val="1"/>
    <w:qFormat/>
    <w:uiPriority w:val="0"/>
    <w:pPr>
      <w:widowControl/>
      <w:spacing w:before="120" w:line="360" w:lineRule="auto"/>
      <w:ind w:firstLine="425"/>
    </w:pPr>
    <w:rPr>
      <w:rFonts w:ascii="Calibri" w:hAnsi="Calibri"/>
      <w:kern w:val="0"/>
      <w:sz w:val="24"/>
      <w:szCs w:val="22"/>
    </w:rPr>
  </w:style>
  <w:style w:type="paragraph" w:customStyle="1" w:styleId="306">
    <w:name w:val="表格正文"/>
    <w:basedOn w:val="1"/>
    <w:qFormat/>
    <w:uiPriority w:val="0"/>
    <w:pPr>
      <w:tabs>
        <w:tab w:val="left" w:pos="420"/>
      </w:tabs>
      <w:snapToGrid w:val="0"/>
      <w:spacing w:line="300" w:lineRule="auto"/>
    </w:pPr>
  </w:style>
  <w:style w:type="paragraph" w:customStyle="1" w:styleId="30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8">
    <w:name w:val="font8"/>
    <w:basedOn w:val="1"/>
    <w:qFormat/>
    <w:uiPriority w:val="0"/>
    <w:pPr>
      <w:widowControl/>
      <w:spacing w:before="100" w:beforeAutospacing="1" w:after="100" w:afterAutospacing="1"/>
      <w:jc w:val="left"/>
    </w:pPr>
    <w:rPr>
      <w:rFonts w:ascii="Arial" w:hAnsi="Arial" w:cs="Arial"/>
      <w:color w:val="000000"/>
      <w:kern w:val="0"/>
      <w:sz w:val="18"/>
      <w:szCs w:val="18"/>
      <w:lang w:bidi="ar-SA"/>
    </w:rPr>
  </w:style>
  <w:style w:type="paragraph" w:customStyle="1" w:styleId="309">
    <w:name w:val="font9"/>
    <w:basedOn w:val="1"/>
    <w:qFormat/>
    <w:uiPriority w:val="0"/>
    <w:pPr>
      <w:widowControl/>
      <w:spacing w:before="100" w:beforeAutospacing="1" w:after="100" w:afterAutospacing="1"/>
      <w:jc w:val="left"/>
    </w:pPr>
    <w:rPr>
      <w:rFonts w:ascii="宋体"/>
      <w:color w:val="000000"/>
      <w:kern w:val="0"/>
      <w:sz w:val="18"/>
      <w:szCs w:val="18"/>
    </w:rPr>
  </w:style>
  <w:style w:type="paragraph" w:customStyle="1" w:styleId="310">
    <w:name w:val="样式2"/>
    <w:basedOn w:val="4"/>
    <w:qFormat/>
    <w:uiPriority w:val="0"/>
    <w:pPr>
      <w:autoSpaceDE/>
      <w:autoSpaceDN/>
      <w:adjustRightInd/>
      <w:snapToGrid/>
      <w:spacing w:line="415" w:lineRule="auto"/>
    </w:pPr>
    <w:rPr>
      <w:rFonts w:ascii="Calibri" w:hAnsi="Calibri"/>
      <w:bCs/>
      <w:color w:val="auto"/>
      <w:sz w:val="28"/>
      <w:szCs w:val="28"/>
    </w:rPr>
  </w:style>
  <w:style w:type="paragraph" w:customStyle="1" w:styleId="311">
    <w:name w:val="Normal_11_0"/>
    <w:qFormat/>
    <w:uiPriority w:val="0"/>
    <w:rPr>
      <w:rFonts w:ascii="黑体" w:hAnsi="黑体" w:eastAsia="黑体" w:cs="Times New Roman"/>
      <w:b/>
      <w:sz w:val="32"/>
      <w:szCs w:val="24"/>
      <w:lang w:bidi="ar-SA"/>
    </w:rPr>
  </w:style>
  <w:style w:type="paragraph" w:customStyle="1" w:styleId="312">
    <w:name w:val="正文_0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3">
    <w:name w:val="正文文字缩进 3"/>
    <w:basedOn w:val="1"/>
    <w:qFormat/>
    <w:uiPriority w:val="0"/>
    <w:pPr>
      <w:spacing w:line="312" w:lineRule="auto"/>
      <w:ind w:left="420" w:firstLine="420"/>
    </w:pPr>
    <w:rPr>
      <w:rFonts w:ascii="黑体" w:hAnsi="黑体" w:cs="宋体"/>
      <w:bCs/>
      <w:color w:val="000000"/>
      <w:kern w:val="0"/>
      <w:sz w:val="24"/>
      <w:szCs w:val="22"/>
      <w:lang w:bidi="ar-SA"/>
    </w:rPr>
  </w:style>
  <w:style w:type="paragraph" w:customStyle="1" w:styleId="314">
    <w:name w:val="Char11"/>
    <w:basedOn w:val="1"/>
    <w:qFormat/>
    <w:uiPriority w:val="0"/>
    <w:rPr>
      <w:szCs w:val="21"/>
    </w:rPr>
  </w:style>
  <w:style w:type="paragraph" w:customStyle="1" w:styleId="315">
    <w:name w:val="规范正文"/>
    <w:basedOn w:val="1"/>
    <w:qFormat/>
    <w:uiPriority w:val="0"/>
    <w:pPr>
      <w:adjustRightInd w:val="0"/>
      <w:spacing w:line="360" w:lineRule="auto"/>
      <w:ind w:left="480"/>
      <w:textAlignment w:val="baseline"/>
    </w:pPr>
    <w:rPr>
      <w:kern w:val="0"/>
      <w:sz w:val="24"/>
      <w:szCs w:val="20"/>
    </w:rPr>
  </w:style>
  <w:style w:type="paragraph" w:customStyle="1" w:styleId="316">
    <w:name w:val=" Char Char Char Char"/>
    <w:basedOn w:val="1"/>
    <w:qFormat/>
    <w:uiPriority w:val="0"/>
    <w:pPr>
      <w:widowControl/>
      <w:spacing w:after="120" w:line="360" w:lineRule="auto"/>
      <w:ind w:left="560" w:firstLine="200" w:firstLineChars="200"/>
      <w:jc w:val="left"/>
    </w:pPr>
    <w:rPr>
      <w:rFonts w:ascii="Verdana" w:hAnsi="Verdana"/>
      <w:kern w:val="0"/>
      <w:sz w:val="24"/>
      <w:szCs w:val="22"/>
    </w:rPr>
  </w:style>
  <w:style w:type="paragraph" w:customStyle="1" w:styleId="317">
    <w:name w:val="Normal_0_0"/>
    <w:qFormat/>
    <w:uiPriority w:val="0"/>
    <w:rPr>
      <w:rFonts w:ascii="黑体" w:hAnsi="黑体" w:eastAsia="黑体" w:cs="Times New Roman"/>
      <w:b/>
      <w:sz w:val="40"/>
      <w:szCs w:val="24"/>
      <w:lang w:bidi="ar-SA"/>
    </w:rPr>
  </w:style>
  <w:style w:type="paragraph" w:customStyle="1" w:styleId="318">
    <w:name w:val="标准小四"/>
    <w:basedOn w:val="1"/>
    <w:qFormat/>
    <w:uiPriority w:val="0"/>
    <w:pPr>
      <w:spacing w:line="360" w:lineRule="auto"/>
      <w:ind w:firstLine="200" w:firstLineChars="200"/>
    </w:pPr>
    <w:rPr>
      <w:rFonts w:ascii="Arial" w:hAnsi="Arial"/>
      <w:sz w:val="24"/>
      <w:szCs w:val="21"/>
    </w:rPr>
  </w:style>
  <w:style w:type="paragraph" w:customStyle="1" w:styleId="3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320">
    <w:name w:val="pa-9"/>
    <w:basedOn w:val="1"/>
    <w:qFormat/>
    <w:uiPriority w:val="0"/>
    <w:pPr>
      <w:widowControl/>
      <w:spacing w:line="360" w:lineRule="atLeast"/>
      <w:jc w:val="center"/>
    </w:pPr>
    <w:rPr>
      <w:rFonts w:ascii="宋体" w:cs="宋体"/>
      <w:kern w:val="0"/>
      <w:sz w:val="24"/>
      <w:lang w:bidi="ar-SA"/>
    </w:rPr>
  </w:style>
  <w:style w:type="paragraph" w:customStyle="1" w:styleId="321">
    <w:name w:val="目录 1_0"/>
    <w:basedOn w:val="111"/>
    <w:next w:val="111"/>
    <w:qFormat/>
    <w:uiPriority w:val="0"/>
    <w:pPr>
      <w:autoSpaceDE w:val="0"/>
      <w:autoSpaceDN w:val="0"/>
      <w:adjustRightInd w:val="0"/>
      <w:jc w:val="left"/>
    </w:pPr>
    <w:rPr>
      <w:rFonts w:hint="eastAsia" w:ascii="宋体" w:hAnsi="宋体"/>
      <w:b/>
      <w:kern w:val="0"/>
      <w:sz w:val="24"/>
    </w:rPr>
  </w:style>
  <w:style w:type="paragraph" w:customStyle="1" w:styleId="322">
    <w:name w:val="正文 + 宋体"/>
    <w:basedOn w:val="1"/>
    <w:qFormat/>
    <w:uiPriority w:val="0"/>
    <w:pPr>
      <w:ind w:firstLine="250" w:firstLineChars="250"/>
    </w:pPr>
    <w:rPr>
      <w:rFonts w:ascii="宋体"/>
      <w:szCs w:val="21"/>
    </w:rPr>
  </w:style>
  <w:style w:type="paragraph" w:customStyle="1" w:styleId="323">
    <w:name w:val="p0"/>
    <w:basedOn w:val="1"/>
    <w:qFormat/>
    <w:uiPriority w:val="0"/>
    <w:pPr>
      <w:widowControl/>
    </w:pPr>
    <w:rPr>
      <w:kern w:val="0"/>
      <w:szCs w:val="21"/>
    </w:rPr>
  </w:style>
  <w:style w:type="paragraph" w:customStyle="1" w:styleId="324">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25">
    <w:name w:val="表格序号"/>
    <w:qFormat/>
    <w:uiPriority w:val="0"/>
    <w:rPr>
      <w:rFonts w:ascii="Times New Roman" w:hAnsi="Times New Roman" w:eastAsia="仿宋_GB2312" w:cs="宋体"/>
      <w:kern w:val="44"/>
      <w:sz w:val="21"/>
      <w:lang w:val="en-US" w:eastAsia="zh-CN" w:bidi="ar-SA"/>
    </w:rPr>
  </w:style>
  <w:style w:type="paragraph" w:customStyle="1" w:styleId="326">
    <w:name w:val="图号"/>
    <w:basedOn w:val="1"/>
    <w:qFormat/>
    <w:uiPriority w:val="0"/>
    <w:pPr>
      <w:keepNext/>
      <w:tabs>
        <w:tab w:val="left" w:pos="0"/>
        <w:tab w:val="left" w:pos="3360"/>
      </w:tabs>
      <w:autoSpaceDE w:val="0"/>
      <w:autoSpaceDN w:val="0"/>
      <w:adjustRightInd w:val="0"/>
      <w:spacing w:before="105" w:line="360" w:lineRule="auto"/>
      <w:jc w:val="center"/>
    </w:pPr>
    <w:rPr>
      <w:rFonts w:ascii="Arial" w:hAnsi="Arial"/>
      <w:kern w:val="0"/>
      <w:sz w:val="18"/>
      <w:szCs w:val="18"/>
    </w:rPr>
  </w:style>
  <w:style w:type="paragraph" w:customStyle="1" w:styleId="327">
    <w:name w:val="List Paragraph1"/>
    <w:basedOn w:val="1"/>
    <w:qFormat/>
    <w:uiPriority w:val="0"/>
    <w:pPr>
      <w:ind w:firstLine="200" w:firstLineChars="200"/>
    </w:pPr>
    <w:rPr>
      <w:rFonts w:ascii="Calibri" w:hAnsi="Calibri"/>
      <w:szCs w:val="22"/>
    </w:rPr>
  </w:style>
  <w:style w:type="paragraph" w:customStyle="1" w:styleId="328">
    <w:name w:val="Normal_5_0"/>
    <w:qFormat/>
    <w:uiPriority w:val="0"/>
    <w:rPr>
      <w:rFonts w:ascii="黑体" w:hAnsi="黑体" w:eastAsia="黑体" w:cs="Times New Roman"/>
      <w:b/>
      <w:sz w:val="32"/>
      <w:szCs w:val="24"/>
      <w:lang w:bidi="ar-SA"/>
    </w:rPr>
  </w:style>
  <w:style w:type="paragraph" w:customStyle="1" w:styleId="329">
    <w:name w:val="Normal_4_0_0"/>
    <w:qFormat/>
    <w:uiPriority w:val="0"/>
    <w:rPr>
      <w:rFonts w:ascii="黑体" w:hAnsi="黑体" w:eastAsia="黑体" w:cs="Times New Roman"/>
      <w:b/>
      <w:sz w:val="32"/>
      <w:szCs w:val="24"/>
      <w:lang w:bidi="ar-SA"/>
    </w:rPr>
  </w:style>
  <w:style w:type="paragraph" w:customStyle="1" w:styleId="330">
    <w:name w:val="Normal_3_0"/>
    <w:qFormat/>
    <w:uiPriority w:val="0"/>
    <w:rPr>
      <w:rFonts w:ascii="黑体" w:hAnsi="黑体" w:eastAsia="黑体" w:cs="Times New Roman"/>
      <w:b/>
      <w:sz w:val="32"/>
      <w:szCs w:val="24"/>
      <w:lang w:bidi="ar-SA"/>
    </w:rPr>
  </w:style>
  <w:style w:type="paragraph" w:customStyle="1" w:styleId="331">
    <w:name w:val="默认段落字体 Para Char"/>
    <w:basedOn w:val="1"/>
    <w:qFormat/>
    <w:uiPriority w:val="0"/>
    <w:rPr>
      <w:rFonts w:ascii="宋体"/>
      <w:b/>
      <w:sz w:val="28"/>
      <w:szCs w:val="28"/>
    </w:rPr>
  </w:style>
  <w:style w:type="paragraph" w:customStyle="1" w:styleId="332">
    <w:name w:val="技术方案正文样式"/>
    <w:basedOn w:val="1"/>
    <w:qFormat/>
    <w:uiPriority w:val="0"/>
    <w:pPr>
      <w:autoSpaceDE w:val="0"/>
      <w:autoSpaceDN w:val="0"/>
      <w:adjustRightInd w:val="0"/>
      <w:spacing w:line="400" w:lineRule="exact"/>
      <w:ind w:firstLine="200" w:firstLineChars="200"/>
    </w:pPr>
    <w:rPr>
      <w:rFonts w:ascii="宋体" w:cs="宋体"/>
      <w:sz w:val="24"/>
      <w:szCs w:val="21"/>
      <w:lang w:bidi="ar-SA"/>
    </w:rPr>
  </w:style>
  <w:style w:type="paragraph" w:customStyle="1" w:styleId="333">
    <w:name w:val="Normal_8"/>
    <w:qFormat/>
    <w:uiPriority w:val="0"/>
    <w:rPr>
      <w:rFonts w:ascii="Times New Roman" w:hAnsi="Times New Roman" w:eastAsia="Times New Roman" w:cs="Times New Roman"/>
      <w:sz w:val="24"/>
      <w:szCs w:val="24"/>
      <w:lang w:bidi="ar-SA"/>
    </w:rPr>
  </w:style>
  <w:style w:type="paragraph" w:customStyle="1" w:styleId="334">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5">
    <w:name w:val="默认段落字体 Para Char Char Char Char Char"/>
    <w:basedOn w:val="1"/>
    <w:qFormat/>
    <w:uiPriority w:val="0"/>
    <w:pPr>
      <w:spacing w:before="100" w:beforeAutospacing="1" w:after="100" w:afterAutospacing="1" w:line="360" w:lineRule="auto"/>
      <w:ind w:firstLine="200" w:firstLineChars="200"/>
      <w:jc w:val="left"/>
    </w:pPr>
    <w:rPr>
      <w:rFonts w:ascii="Arial" w:hAnsi="Arial"/>
      <w:kern w:val="0"/>
      <w:sz w:val="24"/>
      <w:szCs w:val="22"/>
      <w:lang w:eastAsia="en-US"/>
    </w:rPr>
  </w:style>
  <w:style w:type="paragraph" w:customStyle="1" w:styleId="336">
    <w:name w:val="说明书3级标题"/>
    <w:basedOn w:val="1"/>
    <w:next w:val="1"/>
    <w:qFormat/>
    <w:uiPriority w:val="0"/>
    <w:pPr>
      <w:numPr>
        <w:ilvl w:val="2"/>
        <w:numId w:val="2"/>
      </w:numPr>
      <w:spacing w:line="360" w:lineRule="auto"/>
    </w:pPr>
    <w:rPr>
      <w:rFonts w:ascii="Calibri" w:hAnsi="Calibri" w:eastAsia="黑体"/>
      <w:sz w:val="24"/>
      <w:szCs w:val="22"/>
    </w:rPr>
  </w:style>
  <w:style w:type="paragraph" w:customStyle="1" w:styleId="337">
    <w:name w:val="正文_1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8">
    <w:name w:val="Normal_15_0"/>
    <w:qFormat/>
    <w:uiPriority w:val="0"/>
    <w:rPr>
      <w:rFonts w:ascii="黑体" w:hAnsi="黑体" w:eastAsia="黑体" w:cs="Times New Roman"/>
      <w:b/>
      <w:sz w:val="32"/>
      <w:szCs w:val="24"/>
      <w:lang w:bidi="ar-SA"/>
    </w:rPr>
  </w:style>
  <w:style w:type="paragraph" w:customStyle="1" w:styleId="339">
    <w:name w:val="Normal_9_0"/>
    <w:qFormat/>
    <w:uiPriority w:val="0"/>
    <w:rPr>
      <w:rFonts w:ascii="黑体" w:hAnsi="黑体" w:eastAsia="黑体" w:cs="Times New Roman"/>
      <w:b/>
      <w:sz w:val="32"/>
      <w:szCs w:val="24"/>
      <w:lang w:bidi="ar-SA"/>
    </w:rPr>
  </w:style>
  <w:style w:type="paragraph" w:customStyle="1" w:styleId="340">
    <w:name w:val="Normal_0"/>
    <w:qFormat/>
    <w:uiPriority w:val="0"/>
    <w:rPr>
      <w:rFonts w:ascii="黑体" w:hAnsi="黑体" w:eastAsia="黑体" w:cs="Times New Roman"/>
      <w:b/>
      <w:sz w:val="32"/>
      <w:szCs w:val="24"/>
      <w:lang w:bidi="ar-SA"/>
    </w:rPr>
  </w:style>
  <w:style w:type="paragraph" w:customStyle="1" w:styleId="341">
    <w:name w:val="font6"/>
    <w:basedOn w:val="1"/>
    <w:qFormat/>
    <w:uiPriority w:val="0"/>
    <w:pPr>
      <w:widowControl/>
      <w:spacing w:before="100" w:beforeAutospacing="1" w:after="100" w:afterAutospacing="1"/>
      <w:jc w:val="left"/>
    </w:pPr>
    <w:rPr>
      <w:kern w:val="0"/>
      <w:sz w:val="20"/>
      <w:szCs w:val="20"/>
    </w:rPr>
  </w:style>
  <w:style w:type="paragraph" w:customStyle="1" w:styleId="342">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3">
    <w:name w:val="正文小四"/>
    <w:basedOn w:val="1"/>
    <w:qFormat/>
    <w:uiPriority w:val="0"/>
    <w:pPr>
      <w:spacing w:line="312" w:lineRule="auto"/>
    </w:pPr>
    <w:rPr>
      <w:rFonts w:ascii="Calibri" w:hAnsi="Calibri"/>
      <w:sz w:val="24"/>
      <w:szCs w:val="22"/>
    </w:rPr>
  </w:style>
  <w:style w:type="paragraph" w:customStyle="1" w:styleId="344">
    <w:name w:val="表文1"/>
    <w:basedOn w:val="1"/>
    <w:qFormat/>
    <w:uiPriority w:val="0"/>
    <w:pPr>
      <w:widowControl/>
      <w:spacing w:line="360" w:lineRule="auto"/>
      <w:ind w:firstLine="196" w:firstLineChars="196"/>
    </w:pPr>
    <w:rPr>
      <w:rFonts w:ascii="宋体"/>
      <w:sz w:val="24"/>
    </w:rPr>
  </w:style>
  <w:style w:type="paragraph" w:customStyle="1" w:styleId="345">
    <w:name w:val="Normal_3"/>
    <w:qFormat/>
    <w:uiPriority w:val="0"/>
    <w:rPr>
      <w:rFonts w:ascii="黑体" w:hAnsi="黑体" w:eastAsia="黑体" w:cs="Times New Roman"/>
      <w:b/>
      <w:sz w:val="32"/>
      <w:szCs w:val="24"/>
      <w:lang w:bidi="ar-SA"/>
    </w:rPr>
  </w:style>
  <w:style w:type="paragraph" w:customStyle="1" w:styleId="346">
    <w:name w:val="Char Char Char Char Char Char Char Char Char Char2"/>
    <w:basedOn w:val="1"/>
    <w:qFormat/>
    <w:uiPriority w:val="0"/>
    <w:rPr>
      <w:rFonts w:ascii="Tahoma" w:hAnsi="Tahoma"/>
      <w:sz w:val="24"/>
      <w:szCs w:val="20"/>
    </w:rPr>
  </w:style>
  <w:style w:type="paragraph" w:customStyle="1" w:styleId="347">
    <w:name w:val="font7"/>
    <w:basedOn w:val="1"/>
    <w:qFormat/>
    <w:uiPriority w:val="0"/>
    <w:pPr>
      <w:widowControl/>
      <w:spacing w:before="100" w:beforeAutospacing="1" w:after="100" w:afterAutospacing="1"/>
      <w:jc w:val="left"/>
    </w:pPr>
    <w:rPr>
      <w:rFonts w:ascii="宋体"/>
      <w:kern w:val="0"/>
      <w:sz w:val="20"/>
      <w:szCs w:val="20"/>
    </w:rPr>
  </w:style>
  <w:style w:type="paragraph" w:customStyle="1" w:styleId="348">
    <w:name w:val="序号"/>
    <w:next w:val="1"/>
    <w:qFormat/>
    <w:uiPriority w:val="0"/>
    <w:pPr>
      <w:adjustRightInd w:val="0"/>
      <w:snapToGrid w:val="0"/>
      <w:jc w:val="center"/>
      <w:textAlignment w:val="center"/>
    </w:pPr>
    <w:rPr>
      <w:rFonts w:ascii="Times New Roman" w:hAnsi="Times New Roman" w:eastAsia="仿宋_GB2312" w:cs="Times New Roman"/>
      <w:bCs/>
      <w:kern w:val="44"/>
      <w:sz w:val="21"/>
      <w:szCs w:val="44"/>
      <w:lang w:val="en-US" w:eastAsia="zh-CN" w:bidi="ar-SA"/>
    </w:rPr>
  </w:style>
  <w:style w:type="paragraph" w:customStyle="1" w:styleId="349">
    <w:name w:val="Char Char Char Char Char Char Char Char Char Char"/>
    <w:basedOn w:val="1"/>
    <w:qFormat/>
    <w:uiPriority w:val="0"/>
    <w:rPr>
      <w:rFonts w:ascii="Tahoma" w:hAnsi="Tahoma"/>
      <w:sz w:val="24"/>
      <w:szCs w:val="20"/>
    </w:rPr>
  </w:style>
  <w:style w:type="paragraph" w:customStyle="1" w:styleId="350">
    <w:name w:val="D&amp;L"/>
    <w:basedOn w:val="41"/>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51">
    <w:name w:val="表中文字"/>
    <w:basedOn w:val="1"/>
    <w:qFormat/>
    <w:uiPriority w:val="0"/>
    <w:pPr>
      <w:widowControl/>
    </w:pPr>
    <w:rPr>
      <w:rFonts w:ascii="Calibri" w:hAnsi="Calibri"/>
      <w:szCs w:val="20"/>
    </w:rPr>
  </w:style>
  <w:style w:type="paragraph" w:customStyle="1" w:styleId="352">
    <w:name w:val="Normal_19"/>
    <w:qFormat/>
    <w:uiPriority w:val="0"/>
    <w:rPr>
      <w:rFonts w:ascii="Times New Roman" w:hAnsi="Times New Roman" w:eastAsia="Times New Roman" w:cs="Times New Roman"/>
      <w:sz w:val="24"/>
      <w:szCs w:val="24"/>
      <w:lang w:bidi="ar-SA"/>
    </w:rPr>
  </w:style>
  <w:style w:type="paragraph" w:customStyle="1" w:styleId="353">
    <w:name w:val="Normal_6"/>
    <w:qFormat/>
    <w:uiPriority w:val="0"/>
    <w:rPr>
      <w:rFonts w:ascii="黑体" w:hAnsi="黑体" w:eastAsia="黑体" w:cs="Times New Roman"/>
      <w:b/>
      <w:sz w:val="32"/>
      <w:szCs w:val="24"/>
      <w:lang w:bidi="ar-SA"/>
    </w:rPr>
  </w:style>
  <w:style w:type="paragraph" w:customStyle="1" w:styleId="354">
    <w:name w:val="pa-10"/>
    <w:basedOn w:val="1"/>
    <w:qFormat/>
    <w:uiPriority w:val="0"/>
    <w:pPr>
      <w:widowControl/>
      <w:spacing w:line="240" w:lineRule="atLeast"/>
    </w:pPr>
    <w:rPr>
      <w:rFonts w:ascii="宋体" w:cs="宋体"/>
      <w:kern w:val="0"/>
      <w:sz w:val="24"/>
      <w:lang w:bidi="ar-SA"/>
    </w:rPr>
  </w:style>
  <w:style w:type="paragraph" w:customStyle="1" w:styleId="355">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6">
    <w:name w:val="Indent Normal"/>
    <w:basedOn w:val="1"/>
    <w:qFormat/>
    <w:uiPriority w:val="0"/>
    <w:pPr>
      <w:ind w:firstLine="150" w:firstLineChars="150"/>
    </w:pPr>
    <w:rPr>
      <w:sz w:val="24"/>
      <w:szCs w:val="20"/>
    </w:rPr>
  </w:style>
  <w:style w:type="paragraph" w:customStyle="1" w:styleId="357">
    <w:name w:val="Normal_14"/>
    <w:qFormat/>
    <w:uiPriority w:val="0"/>
    <w:rPr>
      <w:rFonts w:ascii="黑体" w:hAnsi="黑体" w:eastAsia="黑体" w:cs="Times New Roman"/>
      <w:b/>
      <w:sz w:val="32"/>
      <w:szCs w:val="24"/>
      <w:lang w:bidi="ar-SA"/>
    </w:rPr>
  </w:style>
  <w:style w:type="paragraph" w:customStyle="1" w:styleId="358">
    <w:name w:val="Normal_6_0"/>
    <w:qFormat/>
    <w:uiPriority w:val="0"/>
    <w:rPr>
      <w:rFonts w:ascii="黑体" w:hAnsi="黑体" w:eastAsia="黑体" w:cs="Times New Roman"/>
      <w:b/>
      <w:sz w:val="32"/>
      <w:szCs w:val="24"/>
      <w:lang w:bidi="ar-SA"/>
    </w:rPr>
  </w:style>
  <w:style w:type="paragraph" w:customStyle="1" w:styleId="359">
    <w:name w:val="正文_0_0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0">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361">
    <w:name w:val="xl31"/>
    <w:basedOn w:val="1"/>
    <w:qFormat/>
    <w:uiPriority w:val="0"/>
    <w:pPr>
      <w:widowControl/>
      <w:pBdr>
        <w:top w:val="single" w:color="FFFFFF" w:sz="4" w:space="0"/>
        <w:left w:val="single" w:color="FFFFFF" w:sz="4" w:space="0"/>
        <w:bottom w:val="single" w:color="FFFFFF" w:sz="4" w:space="0"/>
        <w:right w:val="single" w:color="FFFFFF" w:sz="4" w:space="0"/>
      </w:pBdr>
      <w:shd w:val="clear" w:color="auto" w:fill="FFFFFF"/>
      <w:spacing w:before="100" w:beforeAutospacing="1" w:after="100" w:afterAutospacing="1"/>
      <w:jc w:val="left"/>
      <w:textAlignment w:val="top"/>
    </w:pPr>
    <w:rPr>
      <w:rFonts w:ascii="Arial Unicode MS" w:hAnsi="Arial Unicode MS"/>
      <w:color w:val="000000"/>
      <w:kern w:val="0"/>
      <w:sz w:val="18"/>
      <w:szCs w:val="18"/>
    </w:rPr>
  </w:style>
  <w:style w:type="paragraph" w:customStyle="1" w:styleId="362">
    <w:name w:val="正文_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3">
    <w:name w:val="样式 宋体 小四 行距: 1.5 倍行距 首行缩进:  2 字符"/>
    <w:basedOn w:val="1"/>
    <w:qFormat/>
    <w:uiPriority w:val="0"/>
    <w:pPr>
      <w:spacing w:line="360" w:lineRule="auto"/>
      <w:ind w:firstLine="480" w:firstLineChars="200"/>
    </w:pPr>
    <w:rPr>
      <w:rFonts w:ascii="宋体" w:hAnsi="宋体" w:eastAsia="Calibri" w:cs="宋体"/>
      <w:szCs w:val="20"/>
      <w:lang w:val="zh-CN" w:eastAsia="zh-CN"/>
    </w:rPr>
  </w:style>
  <w:style w:type="paragraph" w:customStyle="1" w:styleId="364">
    <w:name w:val="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65">
    <w:name w:val="pa-0"/>
    <w:basedOn w:val="1"/>
    <w:qFormat/>
    <w:uiPriority w:val="0"/>
    <w:pPr>
      <w:widowControl/>
      <w:spacing w:line="360" w:lineRule="atLeast"/>
      <w:ind w:firstLine="480"/>
    </w:pPr>
    <w:rPr>
      <w:rFonts w:ascii="宋体" w:cs="宋体"/>
      <w:kern w:val="0"/>
      <w:sz w:val="24"/>
      <w:lang w:bidi="ar-SA"/>
    </w:rPr>
  </w:style>
  <w:style w:type="paragraph" w:customStyle="1" w:styleId="366">
    <w:name w:val="缺省文本"/>
    <w:basedOn w:val="1"/>
    <w:qFormat/>
    <w:uiPriority w:val="0"/>
    <w:pPr>
      <w:autoSpaceDE w:val="0"/>
      <w:autoSpaceDN w:val="0"/>
      <w:adjustRightInd w:val="0"/>
      <w:jc w:val="left"/>
    </w:pPr>
    <w:rPr>
      <w:kern w:val="0"/>
      <w:sz w:val="24"/>
      <w:szCs w:val="20"/>
    </w:rPr>
  </w:style>
  <w:style w:type="paragraph" w:customStyle="1" w:styleId="367">
    <w:name w:val="编号1"/>
    <w:next w:val="160"/>
    <w:qFormat/>
    <w:uiPriority w:val="0"/>
    <w:pPr>
      <w:tabs>
        <w:tab w:val="left" w:pos="420"/>
      </w:tabs>
      <w:spacing w:before="120" w:after="120" w:line="360" w:lineRule="auto"/>
      <w:ind w:left="720" w:hanging="360"/>
    </w:pPr>
    <w:rPr>
      <w:rFonts w:ascii="Times New Roman" w:hAnsi="Times New Roman" w:eastAsia="宋体" w:cs="Times New Roman"/>
      <w:kern w:val="2"/>
      <w:sz w:val="24"/>
      <w:szCs w:val="24"/>
      <w:lang w:val="en-US" w:eastAsia="zh-CN" w:bidi="ar-SA"/>
    </w:rPr>
  </w:style>
  <w:style w:type="paragraph" w:customStyle="1" w:styleId="368">
    <w:name w:val="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32"/>
      <w:lang w:eastAsia="en-US" w:bidi="ar-SA"/>
    </w:rPr>
  </w:style>
  <w:style w:type="paragraph" w:customStyle="1" w:styleId="369">
    <w:name w:val="Bullet"/>
    <w:basedOn w:val="1"/>
    <w:qFormat/>
    <w:uiPriority w:val="0"/>
    <w:pPr>
      <w:widowControl/>
      <w:tabs>
        <w:tab w:val="left" w:pos="360"/>
        <w:tab w:val="left" w:pos="720"/>
      </w:tabs>
      <w:spacing w:before="120" w:after="60" w:line="387" w:lineRule="atLeast"/>
      <w:ind w:left="720" w:right="360" w:hanging="360"/>
    </w:pPr>
    <w:rPr>
      <w:rFonts w:ascii="Book Antiqua" w:hAnsi="Book Antiqua"/>
      <w:kern w:val="0"/>
      <w:sz w:val="24"/>
      <w:szCs w:val="20"/>
    </w:rPr>
  </w:style>
  <w:style w:type="paragraph" w:customStyle="1" w:styleId="370">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1">
    <w:name w:val="Normal_0_1"/>
    <w:qFormat/>
    <w:uiPriority w:val="0"/>
    <w:rPr>
      <w:rFonts w:ascii="黑体" w:hAnsi="黑体" w:eastAsia="黑体" w:cs="Times New Roman"/>
      <w:b/>
      <w:sz w:val="32"/>
      <w:szCs w:val="24"/>
      <w:lang w:bidi="ar-SA"/>
    </w:rPr>
  </w:style>
  <w:style w:type="paragraph" w:customStyle="1" w:styleId="372">
    <w:name w:val="正文段"/>
    <w:basedOn w:val="1"/>
    <w:qFormat/>
    <w:uiPriority w:val="0"/>
    <w:pPr>
      <w:widowControl/>
      <w:snapToGrid w:val="0"/>
      <w:spacing w:after="240" w:line="240" w:lineRule="atLeast"/>
      <w:ind w:firstLine="425"/>
    </w:pPr>
    <w:rPr>
      <w:kern w:val="0"/>
      <w:sz w:val="24"/>
      <w:szCs w:val="20"/>
    </w:rPr>
  </w:style>
  <w:style w:type="paragraph" w:customStyle="1" w:styleId="373">
    <w:name w:val="Normal Paragraph"/>
    <w:basedOn w:val="1"/>
    <w:qFormat/>
    <w:uiPriority w:val="0"/>
    <w:pPr>
      <w:widowControl/>
      <w:spacing w:before="120" w:line="360" w:lineRule="auto"/>
      <w:ind w:firstLine="425"/>
    </w:pPr>
    <w:rPr>
      <w:rFonts w:ascii="Calibri" w:hAnsi="Calibri"/>
      <w:kern w:val="0"/>
      <w:sz w:val="24"/>
      <w:szCs w:val="20"/>
    </w:rPr>
  </w:style>
  <w:style w:type="paragraph" w:customStyle="1" w:styleId="374">
    <w:name w:val="正文_1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75">
    <w:name w:val="缩进正文"/>
    <w:basedOn w:val="1"/>
    <w:qFormat/>
    <w:uiPriority w:val="0"/>
    <w:pPr>
      <w:widowControl/>
      <w:adjustRightInd w:val="0"/>
      <w:spacing w:after="200" w:line="400" w:lineRule="exact"/>
      <w:ind w:left="1418" w:firstLine="425"/>
      <w:jc w:val="left"/>
      <w:textAlignment w:val="baseline"/>
    </w:pPr>
    <w:rPr>
      <w:rFonts w:ascii="宋体"/>
      <w:kern w:val="0"/>
      <w:sz w:val="24"/>
      <w:szCs w:val="20"/>
    </w:rPr>
  </w:style>
  <w:style w:type="paragraph" w:customStyle="1" w:styleId="376">
    <w:name w:val="_Style 371"/>
    <w:basedOn w:val="2"/>
    <w:next w:val="1"/>
    <w:qFormat/>
    <w:uiPriority w:val="0"/>
    <w:pPr>
      <w:widowControl/>
      <w:spacing w:before="480" w:after="0" w:line="276" w:lineRule="auto"/>
      <w:outlineLvl w:val="9"/>
    </w:pPr>
    <w:rPr>
      <w:rFonts w:ascii="Cambria" w:hAnsi="Cambria"/>
      <w:color w:val="365F91"/>
      <w:kern w:val="0"/>
      <w:sz w:val="28"/>
    </w:rPr>
  </w:style>
  <w:style w:type="paragraph" w:customStyle="1" w:styleId="377">
    <w:name w:val="Char1 Char Char Char"/>
    <w:basedOn w:val="1"/>
    <w:qFormat/>
    <w:uiPriority w:val="0"/>
    <w:rPr>
      <w:szCs w:val="20"/>
    </w:rPr>
  </w:style>
  <w:style w:type="paragraph" w:customStyle="1" w:styleId="378">
    <w:name w:val="首页小标题"/>
    <w:next w:val="303"/>
    <w:qFormat/>
    <w:uiPriority w:val="0"/>
    <w:pPr>
      <w:adjustRightInd w:val="0"/>
      <w:snapToGrid w:val="0"/>
      <w:jc w:val="center"/>
    </w:pPr>
    <w:rPr>
      <w:rFonts w:ascii="Times New Roman" w:hAnsi="Times New Roman" w:eastAsia="宋体" w:cs="宋体"/>
      <w:kern w:val="2"/>
      <w:sz w:val="44"/>
      <w:lang w:val="en-US" w:eastAsia="zh-CN" w:bidi="ar-SA"/>
    </w:rPr>
  </w:style>
  <w:style w:type="paragraph" w:customStyle="1" w:styleId="37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0">
    <w:name w:val="Normal_5"/>
    <w:qFormat/>
    <w:uiPriority w:val="0"/>
    <w:rPr>
      <w:rFonts w:ascii="黑体" w:hAnsi="黑体" w:eastAsia="黑体" w:cs="Times New Roman"/>
      <w:b/>
      <w:sz w:val="32"/>
      <w:szCs w:val="24"/>
      <w:lang w:bidi="ar-SA"/>
    </w:rPr>
  </w:style>
  <w:style w:type="paragraph" w:customStyle="1" w:styleId="381">
    <w:name w:val="FA正文+标号"/>
    <w:basedOn w:val="1"/>
    <w:qFormat/>
    <w:uiPriority w:val="0"/>
    <w:pPr>
      <w:tabs>
        <w:tab w:val="left" w:pos="907"/>
        <w:tab w:val="left" w:pos="3375"/>
      </w:tabs>
      <w:spacing w:line="400" w:lineRule="exact"/>
      <w:ind w:left="900" w:hanging="420"/>
    </w:pPr>
    <w:rPr>
      <w:rFonts w:ascii="仿宋_GB2312" w:eastAsia="仿宋_GB2312"/>
      <w:sz w:val="24"/>
      <w:szCs w:val="20"/>
    </w:rPr>
  </w:style>
  <w:style w:type="paragraph" w:customStyle="1" w:styleId="382">
    <w:name w:val="样式3"/>
    <w:basedOn w:val="4"/>
    <w:qFormat/>
    <w:uiPriority w:val="0"/>
    <w:pPr>
      <w:autoSpaceDE/>
      <w:autoSpaceDN/>
      <w:adjustRightInd/>
      <w:snapToGrid/>
      <w:spacing w:line="415" w:lineRule="auto"/>
    </w:pPr>
    <w:rPr>
      <w:rFonts w:ascii="Calibri" w:hAnsi="Calibri"/>
      <w:bCs/>
      <w:color w:val="auto"/>
      <w:sz w:val="28"/>
      <w:szCs w:val="28"/>
    </w:rPr>
  </w:style>
  <w:style w:type="paragraph" w:customStyle="1" w:styleId="383">
    <w:name w:val="ibm-list-next"/>
    <w:basedOn w:val="1"/>
    <w:qFormat/>
    <w:uiPriority w:val="0"/>
    <w:pPr>
      <w:widowControl/>
      <w:spacing w:before="100" w:beforeAutospacing="1" w:after="100" w:afterAutospacing="1"/>
      <w:jc w:val="left"/>
    </w:pPr>
    <w:rPr>
      <w:rFonts w:ascii="宋体" w:cs="宋体"/>
      <w:kern w:val="0"/>
      <w:sz w:val="24"/>
      <w:lang w:bidi="ar-SA"/>
    </w:rPr>
  </w:style>
  <w:style w:type="paragraph" w:customStyle="1" w:styleId="384">
    <w:name w:val="样式5"/>
    <w:basedOn w:val="4"/>
    <w:qFormat/>
    <w:uiPriority w:val="0"/>
    <w:pPr>
      <w:autoSpaceDE/>
      <w:autoSpaceDN/>
      <w:adjustRightInd/>
      <w:snapToGrid/>
      <w:spacing w:line="415" w:lineRule="auto"/>
    </w:pPr>
    <w:rPr>
      <w:rFonts w:ascii="Calibri" w:hAnsi="Calibri"/>
      <w:bCs/>
      <w:color w:val="auto"/>
      <w:sz w:val="28"/>
      <w:szCs w:val="28"/>
    </w:rPr>
  </w:style>
  <w:style w:type="paragraph" w:customStyle="1" w:styleId="385">
    <w:name w:val=" Char1"/>
    <w:basedOn w:val="1"/>
    <w:qFormat/>
    <w:uiPriority w:val="0"/>
    <w:pPr>
      <w:tabs>
        <w:tab w:val="left" w:pos="360"/>
      </w:tabs>
      <w:spacing w:line="480" w:lineRule="auto"/>
      <w:ind w:left="360" w:right="202" w:firstLine="360"/>
    </w:pPr>
    <w:rPr>
      <w:sz w:val="24"/>
    </w:rPr>
  </w:style>
  <w:style w:type="paragraph" w:customStyle="1" w:styleId="386">
    <w:name w:val="È±Ê¡ÎÄ±¾"/>
    <w:basedOn w:val="1"/>
    <w:qFormat/>
    <w:uiPriority w:val="0"/>
    <w:pPr>
      <w:widowControl/>
      <w:overflowPunct w:val="0"/>
      <w:autoSpaceDE w:val="0"/>
      <w:autoSpaceDN w:val="0"/>
      <w:adjustRightInd w:val="0"/>
      <w:spacing w:line="360" w:lineRule="auto"/>
      <w:jc w:val="left"/>
      <w:textAlignment w:val="baseline"/>
    </w:pPr>
    <w:rPr>
      <w:kern w:val="0"/>
      <w:sz w:val="24"/>
      <w:szCs w:val="20"/>
    </w:rPr>
  </w:style>
  <w:style w:type="paragraph" w:customStyle="1" w:styleId="387">
    <w:name w:val="加点正文缩进"/>
    <w:basedOn w:val="1"/>
    <w:qFormat/>
    <w:uiPriority w:val="0"/>
    <w:pPr>
      <w:tabs>
        <w:tab w:val="left" w:pos="840"/>
      </w:tabs>
      <w:snapToGrid w:val="0"/>
      <w:spacing w:line="300" w:lineRule="auto"/>
      <w:ind w:left="962" w:hanging="480"/>
    </w:pPr>
    <w:rPr>
      <w:snapToGrid w:val="0"/>
      <w:sz w:val="24"/>
    </w:rPr>
  </w:style>
  <w:style w:type="paragraph" w:customStyle="1" w:styleId="388">
    <w:name w:val="正文_9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9">
    <w:name w:val="pbody"/>
    <w:basedOn w:val="1"/>
    <w:qFormat/>
    <w:uiPriority w:val="0"/>
    <w:pPr>
      <w:widowControl/>
      <w:spacing w:before="100" w:beforeAutospacing="1" w:after="100" w:afterAutospacing="1" w:line="360" w:lineRule="auto"/>
      <w:jc w:val="left"/>
    </w:pPr>
    <w:rPr>
      <w:rFonts w:ascii="宋体" w:cs="宋体"/>
      <w:kern w:val="0"/>
      <w:sz w:val="24"/>
      <w:lang w:bidi="ar-SA"/>
    </w:rPr>
  </w:style>
  <w:style w:type="paragraph" w:customStyle="1" w:styleId="390">
    <w:name w:val="Char1"/>
    <w:basedOn w:val="1"/>
    <w:qFormat/>
    <w:uiPriority w:val="0"/>
  </w:style>
  <w:style w:type="paragraph" w:customStyle="1" w:styleId="391">
    <w:name w:val="说明书2级标题"/>
    <w:basedOn w:val="1"/>
    <w:next w:val="336"/>
    <w:qFormat/>
    <w:uiPriority w:val="0"/>
    <w:pPr>
      <w:numPr>
        <w:ilvl w:val="2"/>
        <w:numId w:val="3"/>
      </w:numPr>
      <w:spacing w:before="100" w:beforeLines="100"/>
    </w:pPr>
    <w:rPr>
      <w:rFonts w:ascii="Calibri" w:hAnsi="Calibri" w:eastAsia="黑体"/>
      <w:sz w:val="28"/>
      <w:szCs w:val="28"/>
    </w:rPr>
  </w:style>
  <w:style w:type="paragraph" w:customStyle="1" w:styleId="392">
    <w:name w:val="Char Char Char Char Char Char Char1 Char"/>
    <w:basedOn w:val="1"/>
    <w:qFormat/>
    <w:uiPriority w:val="0"/>
    <w:rPr>
      <w:rFonts w:ascii="Tahoma" w:hAnsi="Tahoma"/>
      <w:sz w:val="24"/>
      <w:szCs w:val="20"/>
    </w:rPr>
  </w:style>
  <w:style w:type="paragraph" w:customStyle="1" w:styleId="393">
    <w:name w:val="Char12"/>
    <w:basedOn w:val="1"/>
    <w:qFormat/>
    <w:uiPriority w:val="0"/>
    <w:pPr>
      <w:tabs>
        <w:tab w:val="left" w:pos="360"/>
      </w:tabs>
      <w:spacing w:line="480" w:lineRule="auto"/>
      <w:ind w:left="360" w:right="202" w:firstLine="360"/>
    </w:pPr>
    <w:rPr>
      <w:sz w:val="24"/>
    </w:rPr>
  </w:style>
  <w:style w:type="paragraph" w:customStyle="1" w:styleId="394">
    <w:name w:val="样式 正文首行缩进 + 宋体 首行缩进:  0.74 厘米"/>
    <w:basedOn w:val="61"/>
    <w:qFormat/>
    <w:uiPriority w:val="0"/>
    <w:pPr>
      <w:autoSpaceDE w:val="0"/>
      <w:autoSpaceDN w:val="0"/>
      <w:adjustRightInd w:val="0"/>
      <w:spacing w:before="120" w:after="0" w:line="380" w:lineRule="exact"/>
      <w:ind w:firstLine="210" w:firstLineChars="0"/>
    </w:pPr>
    <w:rPr>
      <w:rFonts w:ascii="宋体" w:cs="宋体"/>
      <w:kern w:val="0"/>
      <w:sz w:val="24"/>
      <w:szCs w:val="20"/>
      <w:lang w:bidi="ar-SA"/>
    </w:rPr>
  </w:style>
  <w:style w:type="paragraph" w:customStyle="1" w:styleId="39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正文（首行缩进）"/>
    <w:basedOn w:val="1"/>
    <w:qFormat/>
    <w:uiPriority w:val="0"/>
    <w:pPr>
      <w:widowControl/>
      <w:spacing w:before="120" w:line="360" w:lineRule="auto"/>
      <w:ind w:firstLine="482"/>
    </w:pPr>
    <w:rPr>
      <w:rFonts w:ascii="Calibri" w:hAnsi="Calibri"/>
      <w:sz w:val="24"/>
      <w:szCs w:val="20"/>
    </w:rPr>
  </w:style>
  <w:style w:type="paragraph" w:customStyle="1" w:styleId="397">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8">
    <w:name w:val="xl3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399">
    <w:name w:val="正文_2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0">
    <w:name w:val="正文_7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1">
    <w:name w:val="Normal_1_2"/>
    <w:qFormat/>
    <w:uiPriority w:val="0"/>
    <w:rPr>
      <w:rFonts w:ascii="Times New Roman" w:hAnsi="Times New Roman" w:eastAsia="Times New Roman" w:cs="Times New Roman"/>
      <w:sz w:val="24"/>
      <w:szCs w:val="24"/>
      <w:lang w:bidi="ar-SA"/>
    </w:rPr>
  </w:style>
  <w:style w:type="paragraph" w:customStyle="1" w:styleId="402">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3">
    <w:name w:val="默认段落字体 Para Char Char Char Char Char Char Char Char Char1"/>
    <w:basedOn w:val="1"/>
    <w:qFormat/>
    <w:uiPriority w:val="0"/>
    <w:rPr>
      <w:rFonts w:ascii="Tahoma" w:hAnsi="Tahoma"/>
      <w:sz w:val="24"/>
      <w:szCs w:val="20"/>
    </w:rPr>
  </w:style>
  <w:style w:type="paragraph" w:customStyle="1" w:styleId="404">
    <w:name w:val="Normal_13_0_0"/>
    <w:qFormat/>
    <w:uiPriority w:val="0"/>
    <w:rPr>
      <w:rFonts w:ascii="黑体" w:hAnsi="黑体" w:eastAsia="黑体" w:cs="Times New Roman"/>
      <w:b/>
      <w:sz w:val="32"/>
      <w:lang w:val="en-US" w:eastAsia="zh-CN" w:bidi="ar-SA"/>
    </w:rPr>
  </w:style>
  <w:style w:type="paragraph" w:customStyle="1" w:styleId="405">
    <w:name w:val="Normal_13"/>
    <w:qFormat/>
    <w:uiPriority w:val="0"/>
    <w:rPr>
      <w:rFonts w:ascii="黑体" w:hAnsi="黑体" w:eastAsia="黑体" w:cs="Times New Roman"/>
      <w:b/>
      <w:sz w:val="32"/>
      <w:szCs w:val="24"/>
      <w:lang w:bidi="ar-SA"/>
    </w:rPr>
  </w:style>
  <w:style w:type="paragraph" w:customStyle="1" w:styleId="406">
    <w:name w:val="首页标题"/>
    <w:qFormat/>
    <w:uiPriority w:val="0"/>
    <w:pPr>
      <w:adjustRightInd w:val="0"/>
      <w:snapToGrid w:val="0"/>
      <w:jc w:val="center"/>
    </w:pPr>
    <w:rPr>
      <w:rFonts w:ascii="宋体" w:hAnsi="Times New Roman" w:eastAsia="宋体" w:cs="宋体"/>
      <w:kern w:val="2"/>
      <w:sz w:val="72"/>
      <w:szCs w:val="72"/>
      <w:lang w:val="en-US" w:eastAsia="zh-CN" w:bidi="ar-SA"/>
    </w:rPr>
  </w:style>
  <w:style w:type="paragraph" w:customStyle="1" w:styleId="407">
    <w:name w:val="正文_9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8">
    <w:name w:val="正文_8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9">
    <w:name w:val="列出段落[858D7CFB-ED40-4347-BF05-701D383B685F][858D7CFB-ED40-4347-BF05-701D383B685F]"/>
    <w:basedOn w:val="1"/>
    <w:qFormat/>
    <w:uiPriority w:val="0"/>
    <w:pPr>
      <w:ind w:firstLine="200" w:firstLineChars="200"/>
    </w:pPr>
    <w:rPr>
      <w:rFonts w:ascii="Calibri" w:hAnsi="Calibri"/>
      <w:szCs w:val="22"/>
    </w:rPr>
  </w:style>
  <w:style w:type="paragraph" w:customStyle="1" w:styleId="410">
    <w:name w:val="正文_3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11">
    <w:name w:val="xl34"/>
    <w:basedOn w:val="1"/>
    <w:qFormat/>
    <w:uiPriority w:val="0"/>
    <w:pPr>
      <w:widowControl/>
      <w:spacing w:before="100" w:beforeAutospacing="1" w:after="100" w:afterAutospacing="1"/>
      <w:jc w:val="center"/>
    </w:pPr>
    <w:rPr>
      <w:rFonts w:ascii="Arial Unicode MS" w:hAnsi="Arial Unicode MS" w:eastAsia="Arial Unicode MS"/>
      <w:kern w:val="0"/>
      <w:sz w:val="24"/>
    </w:rPr>
  </w:style>
  <w:style w:type="paragraph" w:customStyle="1" w:styleId="412">
    <w:name w:val="Normal_11"/>
    <w:qFormat/>
    <w:uiPriority w:val="0"/>
    <w:rPr>
      <w:rFonts w:ascii="黑体" w:hAnsi="黑体" w:eastAsia="黑体" w:cs="Times New Roman"/>
      <w:b/>
      <w:sz w:val="32"/>
      <w:szCs w:val="24"/>
      <w:lang w:bidi="ar-SA"/>
    </w:rPr>
  </w:style>
  <w:style w:type="paragraph" w:customStyle="1" w:styleId="413">
    <w:name w:val="Normal_14_0_0"/>
    <w:qFormat/>
    <w:uiPriority w:val="0"/>
    <w:rPr>
      <w:rFonts w:ascii="黑体" w:hAnsi="黑体" w:eastAsia="黑体" w:cs="Times New Roman"/>
      <w:b/>
      <w:sz w:val="32"/>
      <w:szCs w:val="24"/>
      <w:lang w:bidi="ar-SA"/>
    </w:rPr>
  </w:style>
  <w:style w:type="paragraph" w:customStyle="1" w:styleId="414">
    <w:name w:val="正文_1_0_0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15">
    <w:name w:val="Normal_18"/>
    <w:qFormat/>
    <w:uiPriority w:val="0"/>
    <w:rPr>
      <w:rFonts w:ascii="黑体" w:hAnsi="黑体" w:eastAsia="黑体" w:cs="Times New Roman"/>
      <w:b/>
      <w:sz w:val="32"/>
      <w:szCs w:val="24"/>
      <w:lang w:bidi="ar-SA"/>
    </w:rPr>
  </w:style>
  <w:style w:type="paragraph" w:customStyle="1" w:styleId="416">
    <w:name w:val="正文_0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Normal_9"/>
    <w:qFormat/>
    <w:uiPriority w:val="0"/>
    <w:rPr>
      <w:rFonts w:ascii="黑体" w:hAnsi="黑体" w:eastAsia="黑体" w:cs="Times New Roman"/>
      <w:b/>
      <w:sz w:val="32"/>
      <w:szCs w:val="24"/>
      <w:lang w:bidi="ar-SA"/>
    </w:rPr>
  </w:style>
  <w:style w:type="paragraph" w:customStyle="1" w:styleId="418">
    <w:name w:val="Normal_10_0"/>
    <w:qFormat/>
    <w:uiPriority w:val="0"/>
    <w:rPr>
      <w:rFonts w:ascii="黑体" w:hAnsi="黑体" w:eastAsia="黑体" w:cs="Times New Roman"/>
      <w:b/>
      <w:sz w:val="32"/>
      <w:szCs w:val="24"/>
      <w:lang w:bidi="ar-SA"/>
    </w:rPr>
  </w:style>
  <w:style w:type="paragraph" w:customStyle="1" w:styleId="419">
    <w:name w:val=" Char Char Char"/>
    <w:basedOn w:val="1"/>
    <w:qFormat/>
    <w:uiPriority w:val="0"/>
    <w:rPr>
      <w:rFonts w:ascii="Calibri" w:hAnsi="Calibri"/>
      <w:szCs w:val="21"/>
    </w:rPr>
  </w:style>
  <w:style w:type="paragraph" w:customStyle="1" w:styleId="42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sz w:val="28"/>
      <w:szCs w:val="20"/>
    </w:rPr>
  </w:style>
  <w:style w:type="paragraph" w:customStyle="1" w:styleId="421">
    <w:name w:val="正文_1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2">
    <w:name w:val="_Style 417"/>
    <w:qFormat/>
    <w:uiPriority w:val="0"/>
    <w:rPr>
      <w:rFonts w:ascii="Times New Roman" w:hAnsi="Times New Roman" w:eastAsia="宋体" w:cs="Times New Roman"/>
      <w:kern w:val="2"/>
      <w:sz w:val="21"/>
      <w:szCs w:val="24"/>
      <w:lang w:val="en-US" w:eastAsia="zh-CN" w:bidi="ar-SA"/>
    </w:rPr>
  </w:style>
  <w:style w:type="paragraph" w:customStyle="1" w:styleId="423">
    <w:name w:val="Char Char Char Char Char Char Char Char Char Char1"/>
    <w:basedOn w:val="1"/>
    <w:qFormat/>
    <w:uiPriority w:val="0"/>
    <w:rPr>
      <w:rFonts w:ascii="Tahoma" w:hAnsi="Tahoma" w:cs="Tahoma"/>
      <w:sz w:val="24"/>
      <w:lang w:bidi="ar-SA"/>
    </w:rPr>
  </w:style>
  <w:style w:type="paragraph" w:customStyle="1" w:styleId="424">
    <w:name w:val="正文_0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5">
    <w:name w:val="表格标题"/>
    <w:basedOn w:val="1"/>
    <w:qFormat/>
    <w:uiPriority w:val="0"/>
    <w:pPr>
      <w:jc w:val="center"/>
    </w:pPr>
    <w:rPr>
      <w:b/>
    </w:rPr>
  </w:style>
  <w:style w:type="paragraph" w:customStyle="1" w:styleId="42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427">
    <w:name w:val="tabletext"/>
    <w:basedOn w:val="1"/>
    <w:qFormat/>
    <w:uiPriority w:val="0"/>
    <w:pPr>
      <w:widowControl/>
      <w:spacing w:before="100" w:beforeAutospacing="1" w:after="100" w:afterAutospacing="1"/>
      <w:jc w:val="left"/>
    </w:pPr>
    <w:rPr>
      <w:rFonts w:ascii="宋体"/>
      <w:kern w:val="0"/>
      <w:sz w:val="24"/>
      <w:szCs w:val="22"/>
    </w:rPr>
  </w:style>
  <w:style w:type="paragraph" w:customStyle="1" w:styleId="428">
    <w:name w:val="Normal_1_0"/>
    <w:qFormat/>
    <w:uiPriority w:val="0"/>
    <w:rPr>
      <w:rFonts w:ascii="Times New Roman" w:hAnsi="Times New Roman" w:eastAsia="Times New Roman" w:cs="Times New Roman"/>
      <w:sz w:val="24"/>
      <w:szCs w:val="24"/>
      <w:lang w:bidi="ar-SA"/>
    </w:rPr>
  </w:style>
  <w:style w:type="paragraph" w:customStyle="1" w:styleId="429">
    <w:name w:val="Normal_13_0"/>
    <w:qFormat/>
    <w:uiPriority w:val="0"/>
    <w:rPr>
      <w:rFonts w:ascii="黑体" w:hAnsi="黑体" w:eastAsia="黑体" w:cs="Times New Roman"/>
      <w:b/>
      <w:sz w:val="32"/>
      <w:szCs w:val="24"/>
      <w:lang w:bidi="ar-SA"/>
    </w:rPr>
  </w:style>
  <w:style w:type="paragraph" w:customStyle="1" w:styleId="430">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kern w:val="0"/>
      <w:sz w:val="20"/>
      <w:szCs w:val="20"/>
    </w:rPr>
  </w:style>
  <w:style w:type="paragraph" w:customStyle="1" w:styleId="431">
    <w:name w:val="章标题"/>
    <w:next w:val="184"/>
    <w:qFormat/>
    <w:uiPriority w:val="0"/>
    <w:pPr>
      <w:tabs>
        <w:tab w:val="left" w:pos="1200"/>
      </w:tabs>
      <w:spacing w:before="50" w:beforeLines="50" w:after="50" w:afterLines="50"/>
      <w:ind w:left="1320" w:hanging="420"/>
      <w:jc w:val="both"/>
      <w:outlineLvl w:val="1"/>
    </w:pPr>
    <w:rPr>
      <w:rFonts w:ascii="黑体" w:hAnsi="Times New Roman" w:eastAsia="黑体" w:cs="Times New Roman"/>
      <w:sz w:val="21"/>
      <w:lang w:val="en-US" w:eastAsia="zh-CN" w:bidi="ar-SA"/>
    </w:rPr>
  </w:style>
  <w:style w:type="paragraph" w:customStyle="1" w:styleId="432">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3">
    <w:name w:val="正文_11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4">
    <w:name w:val="正文_4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5">
    <w:name w:val="正文_1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6">
    <w:name w:val="正文_9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37">
    <w:name w:val="Plain Text_fdd5c852-257c-4976-b5c3-fd2e15d9de82"/>
    <w:basedOn w:val="1"/>
    <w:qFormat/>
    <w:uiPriority w:val="0"/>
    <w:pPr>
      <w:widowControl/>
      <w:adjustRightInd w:val="0"/>
      <w:jc w:val="left"/>
      <w:textAlignment w:val="baseline"/>
    </w:pPr>
    <w:rPr>
      <w:rFonts w:ascii="宋体" w:hAnsi="宋体" w:eastAsia="楷体_GB2312"/>
      <w:kern w:val="0"/>
      <w:sz w:val="26"/>
    </w:rPr>
  </w:style>
  <w:style w:type="paragraph" w:customStyle="1" w:styleId="438">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paragraph" w:customStyle="1" w:styleId="439">
    <w:name w:val="正文文本缩进1"/>
    <w:basedOn w:val="1"/>
    <w:qFormat/>
    <w:uiPriority w:val="0"/>
    <w:pPr>
      <w:spacing w:after="120"/>
      <w:ind w:left="420" w:leftChars="200"/>
    </w:pPr>
    <w:rPr>
      <w:szCs w:val="24"/>
    </w:rPr>
  </w:style>
  <w:style w:type="paragraph" w:customStyle="1" w:styleId="440">
    <w:name w:val="Normal_12_0"/>
    <w:qFormat/>
    <w:uiPriority w:val="0"/>
    <w:rPr>
      <w:rFonts w:ascii="黑体" w:hAnsi="黑体" w:eastAsia="黑体" w:cs="Times New Roman"/>
      <w:b/>
      <w:sz w:val="32"/>
      <w:szCs w:val="24"/>
      <w:lang w:val="en-US" w:eastAsia="zh-CN" w:bidi="ar-SA"/>
    </w:rPr>
  </w:style>
  <w:style w:type="paragraph" w:customStyle="1" w:styleId="441">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paragraph" w:customStyle="1" w:styleId="442">
    <w:name w:val="正文_10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3">
    <w:name w:val="正文_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4">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5">
    <w:name w:val="Table Paragraph"/>
    <w:basedOn w:val="1"/>
    <w:qFormat/>
    <w:uiPriority w:val="1"/>
  </w:style>
  <w:style w:type="paragraph" w:customStyle="1" w:styleId="446">
    <w:name w:val="列出段落"/>
    <w:basedOn w:val="1"/>
    <w:qFormat/>
    <w:uiPriority w:val="34"/>
    <w:pPr>
      <w:ind w:firstLine="420"/>
    </w:pPr>
    <w:rPr>
      <w:rFonts w:ascii="Calibri" w:hAnsi="Calibri"/>
      <w:szCs w:val="22"/>
    </w:rPr>
  </w:style>
  <w:style w:type="paragraph" w:customStyle="1" w:styleId="447">
    <w:name w:val="列表段落11"/>
    <w:basedOn w:val="1"/>
    <w:qFormat/>
    <w:uiPriority w:val="34"/>
    <w:pPr>
      <w:ind w:firstLine="420"/>
    </w:pPr>
    <w:rPr>
      <w:szCs w:val="20"/>
    </w:rPr>
  </w:style>
  <w:style w:type="table" w:customStyle="1" w:styleId="448">
    <w:name w:val="网格型1"/>
    <w:basedOn w:val="63"/>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49">
    <w:name w:val="NormalCharacter"/>
    <w:link w:val="450"/>
    <w:autoRedefine/>
    <w:semiHidden/>
    <w:qFormat/>
    <w:uiPriority w:val="0"/>
    <w:rPr>
      <w:sz w:val="20"/>
      <w:szCs w:val="20"/>
    </w:rPr>
  </w:style>
  <w:style w:type="paragraph" w:customStyle="1" w:styleId="450">
    <w:name w:val="UserStyle_3"/>
    <w:basedOn w:val="1"/>
    <w:link w:val="449"/>
    <w:autoRedefine/>
    <w:qFormat/>
    <w:uiPriority w:val="0"/>
    <w:pPr>
      <w:widowControl w:val="0"/>
      <w:spacing w:after="160" w:line="240" w:lineRule="exact"/>
      <w:jc w:val="left"/>
    </w:pPr>
    <w:rPr>
      <w:sz w:val="20"/>
      <w:szCs w:val="20"/>
    </w:rPr>
  </w:style>
  <w:style w:type="table" w:customStyle="1" w:styleId="451">
    <w:name w:val="Table Normal2"/>
    <w:autoRedefine/>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52">
    <w:name w:val="网格型2"/>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3">
    <w:name w:val="正文2"/>
    <w:qFormat/>
    <w:uiPriority w:val="0"/>
    <w:rPr>
      <w:rFonts w:ascii="Times New Roman" w:hAnsi="Times New Roman" w:eastAsia="微软雅黑" w:cs="Times New Roman"/>
      <w:sz w:val="24"/>
      <w:szCs w:val="24"/>
      <w:lang w:val="en-US" w:eastAsia="zh-CN" w:bidi="ar-SA"/>
    </w:rPr>
  </w:style>
  <w:style w:type="paragraph" w:customStyle="1" w:styleId="454">
    <w:name w:val="正文首行缩进11"/>
    <w:basedOn w:val="455"/>
    <w:unhideWhenUsed/>
    <w:qFormat/>
    <w:uiPriority w:val="99"/>
    <w:pPr>
      <w:ind w:firstLine="420"/>
    </w:pPr>
  </w:style>
  <w:style w:type="paragraph" w:customStyle="1" w:styleId="455">
    <w:name w:val="正文文本12"/>
    <w:basedOn w:val="1"/>
    <w:qFormat/>
    <w:uiPriority w:val="0"/>
    <w:rPr>
      <w:rFonts w:ascii="楷体_GB2312" w:hAnsi="Arial" w:eastAsia="楷体_GB2312"/>
      <w:sz w:val="28"/>
      <w:szCs w:val="28"/>
    </w:rPr>
  </w:style>
  <w:style w:type="paragraph" w:customStyle="1" w:styleId="456">
    <w:name w:val="样式 正文缩进 + 首行缩进:  2 字符"/>
    <w:basedOn w:val="15"/>
    <w:qFormat/>
    <w:uiPriority w:val="0"/>
    <w:pPr>
      <w:widowControl/>
      <w:ind w:firstLine="0"/>
    </w:pPr>
    <w:rPr>
      <w:kern w:val="0"/>
      <w:sz w:val="20"/>
      <w:szCs w:val="21"/>
    </w:rPr>
  </w:style>
  <w:style w:type="paragraph" w:customStyle="1" w:styleId="457">
    <w:name w:val="正文缩进1"/>
    <w:basedOn w:val="1"/>
    <w:qFormat/>
    <w:uiPriority w:val="0"/>
    <w:pPr>
      <w:ind w:firstLine="420"/>
    </w:pPr>
    <w:rPr>
      <w:rFonts w:ascii="Calibri" w:hAnsi="Calibri"/>
    </w:rPr>
  </w:style>
  <w:style w:type="paragraph" w:customStyle="1" w:styleId="458">
    <w:name w:val="标题 21"/>
    <w:basedOn w:val="1"/>
    <w:next w:val="457"/>
    <w:qFormat/>
    <w:uiPriority w:val="0"/>
    <w:pPr>
      <w:keepNext/>
      <w:keepLines/>
      <w:spacing w:before="260" w:after="260" w:line="416" w:lineRule="auto"/>
      <w:outlineLvl w:val="1"/>
    </w:pPr>
    <w:rPr>
      <w:rFonts w:ascii="Cambria" w:hAnsi="Cambria"/>
      <w:b/>
      <w:bCs/>
      <w:sz w:val="32"/>
      <w:szCs w:val="32"/>
    </w:rPr>
  </w:style>
  <w:style w:type="paragraph" w:customStyle="1" w:styleId="459">
    <w:name w:val="普通(网站)1"/>
    <w:basedOn w:val="1"/>
    <w:qFormat/>
    <w:uiPriority w:val="0"/>
    <w:pPr>
      <w:jc w:val="left"/>
    </w:pPr>
    <w:rPr>
      <w:rFonts w:ascii="Calibri" w:hAnsi="Calibri"/>
      <w:sz w:val="24"/>
      <w:szCs w:val="24"/>
    </w:rPr>
  </w:style>
  <w:style w:type="character" w:customStyle="1" w:styleId="460">
    <w:name w:val="要点1"/>
    <w:link w:val="1"/>
    <w:qFormat/>
    <w:uiPriority w:val="0"/>
    <w:rPr>
      <w:rFonts w:ascii="Times New Roman" w:hAnsi="Times New Roman" w:eastAsia="Times New Roman" w:cs="Times New Roman"/>
      <w:sz w:val="24"/>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82</Pages>
  <Words>2550</Words>
  <Characters>2826</Characters>
  <Paragraphs>1320</Paragraphs>
  <TotalTime>1</TotalTime>
  <ScaleCrop>false</ScaleCrop>
  <LinksUpToDate>false</LinksUpToDate>
  <CharactersWithSpaces>2911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2020-06-15T01:31:00Z</dcterms:created>
  <dc:creator>Administrator</dc:creator>
  <cp:lastModifiedBy>方头大狮子</cp:lastModifiedBy>
  <cp:lastPrinted>2026-08-12T01:48:00Z</cp:lastPrinted>
  <dcterms:modified xsi:type="dcterms:W3CDTF">2026-09-01T07:10:27Z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A2F4B506606048DDBA53467764C13961_13</vt:lpwstr>
  </property>
  <property fmtid="{D5CDD505-2E9C-101B-9397-08002B2CF9AE}" pid="4" name="KSOSaveFontToCloudKey">
    <vt:lpwstr>30211203_cloud</vt:lpwstr>
  </property>
  <property fmtid="{D5CDD505-2E9C-101B-9397-08002B2CF9AE}" pid="5" name="KSOTemplateDocerSaveRecord">
    <vt:lpwstr>eyJoZGlkIjoiZWU0MTFmYzZmZDM2ZGViNDAyYTRhODI2YzUyYjg2ZjMiLCJ1c2VySWQiOiIyMzk1MjI1ODEifQ==</vt:lpwstr>
  </property>
</Properties>
</file>