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6509C">
      <w:pPr>
        <w:spacing w:line="360" w:lineRule="auto"/>
        <w:rPr>
          <w:rFonts w:hint="default" w:ascii="Times New Roman" w:hAnsi="Times New Roman" w:cs="Times New Roman"/>
          <w:b/>
          <w:bCs/>
          <w:color w:val="auto"/>
          <w:sz w:val="72"/>
          <w:szCs w:val="72"/>
          <w:highlight w:val="none"/>
        </w:rPr>
      </w:pPr>
      <w:r>
        <w:rPr>
          <w:rFonts w:hint="default" w:ascii="Times New Roman" w:hAnsi="Times New Roman" w:cs="Times New Roman"/>
          <w:b/>
          <w:bCs/>
          <w:color w:val="auto"/>
          <w:sz w:val="72"/>
          <w:szCs w:val="72"/>
          <w:highlight w:val="none"/>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default" w:ascii="Times New Roman" w:hAnsi="Times New Roman" w:cs="Times New Roman"/>
          <w:b/>
          <w:bCs/>
          <w:color w:val="auto"/>
          <w:sz w:val="72"/>
          <w:szCs w:val="72"/>
          <w:highlight w:val="none"/>
        </w:rPr>
        <w:instrText xml:space="preserve">ADDIN CNKISM.UserStyle</w:instrText>
      </w:r>
      <w:r>
        <w:rPr>
          <w:rFonts w:hint="default" w:ascii="Times New Roman" w:hAnsi="Times New Roman" w:cs="Times New Roman"/>
          <w:b/>
          <w:bCs/>
          <w:color w:val="auto"/>
          <w:sz w:val="72"/>
          <w:szCs w:val="72"/>
          <w:highlight w:val="none"/>
        </w:rPr>
        <w:fldChar w:fldCharType="end"/>
      </w:r>
    </w:p>
    <w:p w14:paraId="1B9B87B7">
      <w:pPr>
        <w:spacing w:line="360" w:lineRule="auto"/>
        <w:jc w:val="center"/>
        <w:rPr>
          <w:rFonts w:hint="default" w:ascii="Times New Roman" w:hAnsi="Times New Roman" w:cs="Times New Roman"/>
          <w:b/>
          <w:color w:val="auto"/>
          <w:sz w:val="52"/>
          <w:szCs w:val="52"/>
          <w:highlight w:val="none"/>
        </w:rPr>
      </w:pPr>
      <w:r>
        <w:rPr>
          <w:rFonts w:hint="default" w:ascii="Times New Roman" w:hAnsi="Times New Roman" w:cs="Times New Roman"/>
          <w:b/>
          <w:color w:val="auto"/>
          <w:sz w:val="52"/>
          <w:szCs w:val="52"/>
          <w:highlight w:val="none"/>
        </w:rPr>
        <w:t>中国医学科学院皮肤病医院</w:t>
      </w:r>
    </w:p>
    <w:p w14:paraId="0D63C804">
      <w:pPr>
        <w:spacing w:line="360" w:lineRule="auto"/>
        <w:jc w:val="center"/>
        <w:rPr>
          <w:rFonts w:hint="default" w:ascii="Times New Roman" w:hAnsi="Times New Roman" w:cs="Times New Roman"/>
          <w:b/>
          <w:color w:val="auto"/>
          <w:sz w:val="52"/>
          <w:szCs w:val="52"/>
          <w:highlight w:val="none"/>
        </w:rPr>
      </w:pPr>
      <w:r>
        <w:rPr>
          <w:rFonts w:hint="default" w:ascii="Times New Roman" w:hAnsi="Times New Roman" w:cs="Times New Roman"/>
          <w:b/>
          <w:color w:val="auto"/>
          <w:sz w:val="52"/>
          <w:szCs w:val="52"/>
          <w:highlight w:val="none"/>
        </w:rPr>
        <w:t>（中国医学科学院皮肤病研究所）</w:t>
      </w:r>
    </w:p>
    <w:p w14:paraId="13F27B18">
      <w:pPr>
        <w:spacing w:line="360" w:lineRule="auto"/>
        <w:jc w:val="center"/>
        <w:rPr>
          <w:rFonts w:hint="eastAsia" w:ascii="Times New Roman" w:hAnsi="Times New Roman" w:cs="Times New Roman"/>
          <w:b/>
          <w:color w:val="auto"/>
          <w:sz w:val="52"/>
          <w:szCs w:val="52"/>
          <w:highlight w:val="none"/>
          <w:lang w:eastAsia="zh-CN"/>
        </w:rPr>
      </w:pPr>
      <w:r>
        <w:rPr>
          <w:rFonts w:hint="eastAsia" w:ascii="Times New Roman" w:hAnsi="Times New Roman" w:cs="Times New Roman"/>
          <w:b/>
          <w:color w:val="auto"/>
          <w:sz w:val="52"/>
          <w:szCs w:val="52"/>
          <w:highlight w:val="none"/>
        </w:rPr>
        <w:t xml:space="preserve"> </w:t>
      </w:r>
      <w:r>
        <w:rPr>
          <w:rFonts w:hint="eastAsia" w:cs="Times New Roman"/>
          <w:b/>
          <w:color w:val="auto"/>
          <w:sz w:val="52"/>
          <w:szCs w:val="52"/>
          <w:highlight w:val="none"/>
          <w:lang w:val="en-US" w:eastAsia="zh-CN"/>
        </w:rPr>
        <w:t>空气净化消毒器</w:t>
      </w:r>
    </w:p>
    <w:p w14:paraId="1B21B1AB">
      <w:pPr>
        <w:spacing w:line="360" w:lineRule="auto"/>
        <w:jc w:val="center"/>
        <w:rPr>
          <w:rFonts w:hint="default" w:ascii="Times New Roman" w:hAnsi="Times New Roman" w:cs="Times New Roman"/>
          <w:bCs/>
          <w:color w:val="auto"/>
          <w:sz w:val="72"/>
          <w:highlight w:val="none"/>
        </w:rPr>
      </w:pPr>
    </w:p>
    <w:p w14:paraId="290B9E2C">
      <w:pPr>
        <w:spacing w:line="360" w:lineRule="auto"/>
        <w:jc w:val="center"/>
        <w:rPr>
          <w:rFonts w:hint="default" w:ascii="Times New Roman" w:hAnsi="Times New Roman" w:cs="Times New Roman"/>
          <w:b/>
          <w:color w:val="auto"/>
          <w:sz w:val="72"/>
          <w:szCs w:val="72"/>
          <w:highlight w:val="none"/>
        </w:rPr>
      </w:pPr>
    </w:p>
    <w:p w14:paraId="06236BAE">
      <w:pPr>
        <w:spacing w:line="360" w:lineRule="auto"/>
        <w:jc w:val="center"/>
        <w:rPr>
          <w:rFonts w:hint="default" w:ascii="Times New Roman" w:hAnsi="Times New Roman" w:cs="Times New Roman"/>
          <w:b/>
          <w:color w:val="auto"/>
          <w:sz w:val="84"/>
          <w:szCs w:val="84"/>
          <w:highlight w:val="none"/>
        </w:rPr>
      </w:pPr>
      <w:r>
        <w:rPr>
          <w:rFonts w:hint="default" w:ascii="Times New Roman" w:hAnsi="Times New Roman" w:cs="Times New Roman"/>
          <w:b/>
          <w:color w:val="auto"/>
          <w:sz w:val="84"/>
          <w:szCs w:val="84"/>
          <w:highlight w:val="none"/>
        </w:rPr>
        <w:t>招标文件</w:t>
      </w:r>
    </w:p>
    <w:p w14:paraId="3482FFC6">
      <w:pPr>
        <w:spacing w:line="360" w:lineRule="auto"/>
        <w:jc w:val="center"/>
        <w:rPr>
          <w:rFonts w:hint="default" w:ascii="Times New Roman" w:hAnsi="Times New Roman" w:cs="Times New Roman"/>
          <w:bCs/>
          <w:color w:val="auto"/>
          <w:sz w:val="36"/>
          <w:highlight w:val="none"/>
        </w:rPr>
      </w:pPr>
    </w:p>
    <w:p w14:paraId="441F9A61">
      <w:pPr>
        <w:spacing w:line="440" w:lineRule="exact"/>
        <w:jc w:val="center"/>
        <w:rPr>
          <w:rFonts w:hint="default" w:ascii="Times New Roman" w:hAnsi="Times New Roman" w:cs="Times New Roman"/>
          <w:bCs/>
          <w:color w:val="auto"/>
          <w:sz w:val="36"/>
          <w:highlight w:val="none"/>
        </w:rPr>
      </w:pPr>
    </w:p>
    <w:p w14:paraId="03F3EEDD">
      <w:pPr>
        <w:spacing w:line="440" w:lineRule="exact"/>
        <w:jc w:val="center"/>
        <w:rPr>
          <w:rFonts w:hint="default" w:ascii="Times New Roman" w:hAnsi="Times New Roman" w:cs="Times New Roman"/>
          <w:bCs/>
          <w:color w:val="auto"/>
          <w:sz w:val="52"/>
          <w:highlight w:val="none"/>
        </w:rPr>
      </w:pPr>
    </w:p>
    <w:p w14:paraId="026ABF01">
      <w:pPr>
        <w:pStyle w:val="45"/>
        <w:ind w:firstLine="0" w:firstLineChars="0"/>
        <w:rPr>
          <w:rFonts w:hint="default" w:ascii="Times New Roman" w:hAnsi="Times New Roman" w:cs="Times New Roman"/>
          <w:bCs/>
          <w:color w:val="auto"/>
          <w:sz w:val="32"/>
          <w:highlight w:val="none"/>
        </w:rPr>
      </w:pPr>
    </w:p>
    <w:p w14:paraId="3A22AB22">
      <w:pPr>
        <w:spacing w:line="360" w:lineRule="auto"/>
        <w:jc w:val="center"/>
        <w:rPr>
          <w:rFonts w:hint="default" w:ascii="Times New Roman" w:hAnsi="Times New Roman" w:cs="Times New Roman"/>
          <w:bCs/>
          <w:color w:val="auto"/>
          <w:sz w:val="36"/>
          <w:szCs w:val="36"/>
          <w:highlight w:val="none"/>
        </w:rPr>
      </w:pPr>
    </w:p>
    <w:p w14:paraId="71A10837">
      <w:pPr>
        <w:pStyle w:val="45"/>
        <w:ind w:firstLine="0" w:firstLineChars="0"/>
        <w:rPr>
          <w:rFonts w:hint="default" w:ascii="Times New Roman" w:hAnsi="Times New Roman" w:cs="Times New Roman"/>
          <w:color w:val="auto"/>
          <w:highlight w:val="none"/>
        </w:rPr>
      </w:pPr>
    </w:p>
    <w:p w14:paraId="04D59DE2">
      <w:pPr>
        <w:spacing w:line="360" w:lineRule="auto"/>
        <w:jc w:val="center"/>
        <w:rPr>
          <w:rFonts w:hint="eastAsia" w:ascii="Times New Roman" w:hAnsi="Times New Roman" w:eastAsia="宋体" w:cs="Times New Roman"/>
          <w:b/>
          <w:color w:val="auto"/>
          <w:sz w:val="32"/>
          <w:szCs w:val="32"/>
          <w:highlight w:val="none"/>
          <w:lang w:eastAsia="zh-CN"/>
        </w:rPr>
      </w:pPr>
      <w:r>
        <w:rPr>
          <w:rFonts w:hint="default" w:ascii="Times New Roman" w:hAnsi="Times New Roman" w:cs="Times New Roman"/>
          <w:b/>
          <w:color w:val="auto"/>
          <w:sz w:val="32"/>
          <w:szCs w:val="32"/>
          <w:highlight w:val="none"/>
        </w:rPr>
        <w:t>项目编号：</w:t>
      </w:r>
      <w:r>
        <w:rPr>
          <w:rFonts w:hint="eastAsia" w:cs="Times New Roman"/>
          <w:b/>
          <w:color w:val="auto"/>
          <w:sz w:val="32"/>
          <w:szCs w:val="32"/>
          <w:highlight w:val="none"/>
          <w:lang w:eastAsia="zh-CN"/>
        </w:rPr>
        <w:t>2640SUMEC/XMGG4169</w:t>
      </w:r>
    </w:p>
    <w:p w14:paraId="39F65885">
      <w:pPr>
        <w:spacing w:line="360" w:lineRule="auto"/>
        <w:jc w:val="center"/>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采购人：中国医学科学院皮肤病医院</w:t>
      </w:r>
    </w:p>
    <w:p w14:paraId="754C0DE2">
      <w:pPr>
        <w:spacing w:line="360" w:lineRule="auto"/>
        <w:jc w:val="center"/>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 xml:space="preserve">        （中国医学科学院皮肤病研究所）</w:t>
      </w:r>
    </w:p>
    <w:p w14:paraId="0ECCD8D2">
      <w:pPr>
        <w:spacing w:line="360" w:lineRule="auto"/>
        <w:jc w:val="center"/>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采购代理机构：江苏苏美达仪器设备有限公司</w:t>
      </w:r>
    </w:p>
    <w:p w14:paraId="0DEC5895">
      <w:pPr>
        <w:pStyle w:val="45"/>
        <w:ind w:firstLine="0" w:firstLineChars="0"/>
        <w:rPr>
          <w:rFonts w:hint="default" w:ascii="Times New Roman" w:hAnsi="Times New Roman" w:cs="Times New Roman"/>
          <w:color w:val="auto"/>
          <w:highlight w:val="none"/>
        </w:rPr>
      </w:pPr>
    </w:p>
    <w:p w14:paraId="09C7CEF4">
      <w:pPr>
        <w:spacing w:line="360" w:lineRule="auto"/>
        <w:jc w:val="center"/>
        <w:rPr>
          <w:rFonts w:hint="default" w:ascii="Times New Roman" w:hAnsi="Times New Roman" w:cs="Times New Roman"/>
          <w:b/>
          <w:color w:val="auto"/>
          <w:sz w:val="36"/>
          <w:szCs w:val="36"/>
          <w:highlight w:val="none"/>
        </w:rPr>
      </w:pPr>
      <w:r>
        <w:rPr>
          <w:rFonts w:hint="default" w:ascii="Times New Roman" w:hAnsi="Times New Roman" w:cs="Times New Roman"/>
          <w:b/>
          <w:color w:val="auto"/>
          <w:sz w:val="36"/>
          <w:szCs w:val="36"/>
          <w:highlight w:val="none"/>
        </w:rPr>
        <w:t>202</w:t>
      </w:r>
      <w:r>
        <w:rPr>
          <w:rFonts w:hint="eastAsia" w:cs="Times New Roman"/>
          <w:b/>
          <w:color w:val="auto"/>
          <w:sz w:val="36"/>
          <w:szCs w:val="36"/>
          <w:highlight w:val="none"/>
          <w:lang w:val="en-US" w:eastAsia="zh-CN"/>
        </w:rPr>
        <w:t>6</w:t>
      </w:r>
      <w:r>
        <w:rPr>
          <w:rFonts w:hint="default" w:ascii="Times New Roman" w:hAnsi="Times New Roman" w:cs="Times New Roman"/>
          <w:b/>
          <w:color w:val="auto"/>
          <w:sz w:val="36"/>
          <w:szCs w:val="36"/>
          <w:highlight w:val="none"/>
        </w:rPr>
        <w:t>年</w:t>
      </w:r>
      <w:r>
        <w:rPr>
          <w:rFonts w:hint="eastAsia" w:cs="Times New Roman"/>
          <w:b/>
          <w:color w:val="auto"/>
          <w:sz w:val="36"/>
          <w:szCs w:val="36"/>
          <w:highlight w:val="none"/>
          <w:lang w:val="en-US" w:eastAsia="zh-CN"/>
        </w:rPr>
        <w:t>7</w:t>
      </w:r>
      <w:r>
        <w:rPr>
          <w:rFonts w:hint="default" w:ascii="Times New Roman" w:hAnsi="Times New Roman" w:cs="Times New Roman"/>
          <w:b/>
          <w:color w:val="auto"/>
          <w:sz w:val="36"/>
          <w:szCs w:val="36"/>
          <w:highlight w:val="none"/>
        </w:rPr>
        <w:t>月</w:t>
      </w:r>
    </w:p>
    <w:p w14:paraId="21801316">
      <w:pPr>
        <w:spacing w:line="440" w:lineRule="exact"/>
        <w:jc w:val="center"/>
        <w:rPr>
          <w:rFonts w:hint="default" w:ascii="Times New Roman" w:hAnsi="Times New Roman" w:cs="Times New Roman"/>
          <w:bCs/>
          <w:color w:val="auto"/>
          <w:sz w:val="32"/>
          <w:highlight w:val="none"/>
        </w:rPr>
        <w:sectPr>
          <w:headerReference r:id="rId4" w:type="first"/>
          <w:footerReference r:id="rId6" w:type="first"/>
          <w:headerReference r:id="rId3" w:type="default"/>
          <w:footerReference r:id="rId5" w:type="default"/>
          <w:pgSz w:w="11906" w:h="16838"/>
          <w:pgMar w:top="1134" w:right="892" w:bottom="1134" w:left="934" w:header="851" w:footer="992" w:gutter="0"/>
          <w:pgNumType w:start="1"/>
          <w:cols w:space="720" w:num="1"/>
          <w:docGrid w:type="lines" w:linePitch="312" w:charSpace="0"/>
        </w:sectPr>
      </w:pPr>
    </w:p>
    <w:p w14:paraId="7228E66A">
      <w:pPr>
        <w:spacing w:line="440" w:lineRule="exact"/>
        <w:jc w:val="center"/>
        <w:rPr>
          <w:rFonts w:hint="default" w:ascii="Times New Roman" w:hAnsi="Times New Roman" w:cs="Times New Roman"/>
          <w:b/>
          <w:color w:val="auto"/>
          <w:sz w:val="32"/>
          <w:highlight w:val="none"/>
        </w:rPr>
      </w:pPr>
      <w:r>
        <w:rPr>
          <w:rFonts w:hint="default" w:ascii="Times New Roman" w:hAnsi="Times New Roman" w:cs="Times New Roman"/>
          <w:b/>
          <w:color w:val="auto"/>
          <w:sz w:val="32"/>
          <w:highlight w:val="none"/>
        </w:rPr>
        <w:t>目   录</w:t>
      </w:r>
    </w:p>
    <w:p w14:paraId="1C493E11">
      <w:pPr>
        <w:pStyle w:val="34"/>
        <w:tabs>
          <w:tab w:val="right" w:leader="dot" w:pos="9638"/>
        </w:tabs>
      </w:pPr>
      <w:r>
        <w:rPr>
          <w:rFonts w:hint="default" w:ascii="Times New Roman" w:hAnsi="Times New Roman" w:cs="Times New Roman"/>
          <w:bCs/>
          <w:color w:val="auto"/>
          <w:sz w:val="24"/>
          <w:highlight w:val="none"/>
        </w:rPr>
        <w:fldChar w:fldCharType="begin"/>
      </w:r>
      <w:r>
        <w:rPr>
          <w:rFonts w:hint="default" w:ascii="Times New Roman" w:hAnsi="Times New Roman" w:cs="Times New Roman"/>
          <w:bCs/>
          <w:color w:val="auto"/>
          <w:sz w:val="24"/>
          <w:highlight w:val="none"/>
        </w:rPr>
        <w:instrText xml:space="preserve">TOC \o "1-3" \h \u </w:instrText>
      </w:r>
      <w:r>
        <w:rPr>
          <w:rFonts w:hint="default" w:ascii="Times New Roman" w:hAnsi="Times New Roman" w:cs="Times New Roman"/>
          <w:bCs/>
          <w:color w:val="auto"/>
          <w:sz w:val="24"/>
          <w:highlight w:val="none"/>
        </w:rPr>
        <w:fldChar w:fldCharType="separate"/>
      </w: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_Toc32592 </w:instrText>
      </w:r>
      <w:r>
        <w:rPr>
          <w:rFonts w:hint="default" w:ascii="Times New Roman" w:hAnsi="Times New Roman" w:cs="Times New Roman"/>
          <w:bCs/>
          <w:highlight w:val="none"/>
        </w:rPr>
        <w:fldChar w:fldCharType="separate"/>
      </w:r>
      <w:r>
        <w:rPr>
          <w:rFonts w:hint="default" w:ascii="Times New Roman" w:hAnsi="Times New Roman" w:cs="Times New Roman"/>
          <w:szCs w:val="28"/>
          <w:highlight w:val="none"/>
        </w:rPr>
        <w:t>第一章 投标邀请（招标公告）</w:t>
      </w:r>
      <w:r>
        <w:tab/>
      </w:r>
      <w:r>
        <w:fldChar w:fldCharType="begin"/>
      </w:r>
      <w:r>
        <w:instrText xml:space="preserve"> PAGEREF _Toc32592 \h </w:instrText>
      </w:r>
      <w:r>
        <w:fldChar w:fldCharType="separate"/>
      </w:r>
      <w:r>
        <w:t>1</w:t>
      </w:r>
      <w:r>
        <w:fldChar w:fldCharType="end"/>
      </w:r>
      <w:r>
        <w:rPr>
          <w:rFonts w:hint="default" w:ascii="Times New Roman" w:hAnsi="Times New Roman" w:cs="Times New Roman"/>
          <w:bCs/>
          <w:color w:val="auto"/>
          <w:highlight w:val="none"/>
        </w:rPr>
        <w:fldChar w:fldCharType="end"/>
      </w:r>
    </w:p>
    <w:p w14:paraId="561691E4">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_Toc25013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val="0"/>
          <w:szCs w:val="21"/>
          <w:highlight w:val="none"/>
        </w:rPr>
        <w:t>一、项目基本情况</w:t>
      </w:r>
      <w:r>
        <w:tab/>
      </w:r>
      <w:r>
        <w:fldChar w:fldCharType="begin"/>
      </w:r>
      <w:r>
        <w:instrText xml:space="preserve"> PAGEREF _Toc25013 \h </w:instrText>
      </w:r>
      <w:r>
        <w:fldChar w:fldCharType="separate"/>
      </w:r>
      <w:r>
        <w:t>1</w:t>
      </w:r>
      <w:r>
        <w:fldChar w:fldCharType="end"/>
      </w:r>
      <w:r>
        <w:rPr>
          <w:rFonts w:hint="default" w:ascii="Times New Roman" w:hAnsi="Times New Roman" w:cs="Times New Roman"/>
          <w:bCs/>
          <w:color w:val="auto"/>
          <w:highlight w:val="none"/>
        </w:rPr>
        <w:fldChar w:fldCharType="end"/>
      </w:r>
    </w:p>
    <w:p w14:paraId="3F0D093A">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_Toc9916 </w:instrText>
      </w:r>
      <w:r>
        <w:rPr>
          <w:rFonts w:hint="default" w:ascii="Times New Roman" w:hAnsi="Times New Roman" w:cs="Times New Roman"/>
          <w:bCs/>
          <w:highlight w:val="none"/>
        </w:rPr>
        <w:fldChar w:fldCharType="separate"/>
      </w:r>
      <w:r>
        <w:rPr>
          <w:rFonts w:hint="default" w:ascii="Times New Roman" w:hAnsi="Times New Roman" w:eastAsia="宋体" w:cs="Times New Roman"/>
          <w:szCs w:val="21"/>
          <w:highlight w:val="none"/>
        </w:rPr>
        <w:t>二、申请人的资格要求：</w:t>
      </w:r>
      <w:r>
        <w:tab/>
      </w:r>
      <w:r>
        <w:fldChar w:fldCharType="begin"/>
      </w:r>
      <w:r>
        <w:instrText xml:space="preserve"> PAGEREF _Toc9916 \h </w:instrText>
      </w:r>
      <w:r>
        <w:fldChar w:fldCharType="separate"/>
      </w:r>
      <w:r>
        <w:t>1</w:t>
      </w:r>
      <w:r>
        <w:fldChar w:fldCharType="end"/>
      </w:r>
      <w:r>
        <w:rPr>
          <w:rFonts w:hint="default" w:ascii="Times New Roman" w:hAnsi="Times New Roman" w:cs="Times New Roman"/>
          <w:bCs/>
          <w:color w:val="auto"/>
          <w:highlight w:val="none"/>
        </w:rPr>
        <w:fldChar w:fldCharType="end"/>
      </w:r>
    </w:p>
    <w:p w14:paraId="4DEEE95B">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_Toc20023 </w:instrText>
      </w:r>
      <w:r>
        <w:rPr>
          <w:rFonts w:hint="default" w:ascii="Times New Roman" w:hAnsi="Times New Roman" w:cs="Times New Roman"/>
          <w:bCs/>
          <w:highlight w:val="none"/>
        </w:rPr>
        <w:fldChar w:fldCharType="separate"/>
      </w:r>
      <w:r>
        <w:rPr>
          <w:rFonts w:hint="default" w:ascii="Times New Roman" w:hAnsi="Times New Roman" w:eastAsia="宋体" w:cs="Times New Roman"/>
          <w:szCs w:val="21"/>
          <w:highlight w:val="none"/>
        </w:rPr>
        <w:t>三、获取招标文件</w:t>
      </w:r>
      <w:r>
        <w:tab/>
      </w:r>
      <w:r>
        <w:fldChar w:fldCharType="begin"/>
      </w:r>
      <w:r>
        <w:instrText xml:space="preserve"> PAGEREF _Toc20023 \h </w:instrText>
      </w:r>
      <w:r>
        <w:fldChar w:fldCharType="separate"/>
      </w:r>
      <w:r>
        <w:t>2</w:t>
      </w:r>
      <w:r>
        <w:fldChar w:fldCharType="end"/>
      </w:r>
      <w:r>
        <w:rPr>
          <w:rFonts w:hint="default" w:ascii="Times New Roman" w:hAnsi="Times New Roman" w:cs="Times New Roman"/>
          <w:bCs/>
          <w:color w:val="auto"/>
          <w:highlight w:val="none"/>
        </w:rPr>
        <w:fldChar w:fldCharType="end"/>
      </w:r>
    </w:p>
    <w:p w14:paraId="0FBD3CF7">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_Toc644 </w:instrText>
      </w:r>
      <w:r>
        <w:rPr>
          <w:rFonts w:hint="default" w:ascii="Times New Roman" w:hAnsi="Times New Roman" w:cs="Times New Roman"/>
          <w:bCs/>
          <w:highlight w:val="none"/>
        </w:rPr>
        <w:fldChar w:fldCharType="separate"/>
      </w:r>
      <w:r>
        <w:rPr>
          <w:rFonts w:hint="default" w:ascii="Times New Roman" w:hAnsi="Times New Roman" w:eastAsia="宋体" w:cs="Times New Roman"/>
          <w:szCs w:val="21"/>
          <w:highlight w:val="none"/>
        </w:rPr>
        <w:t>四、提交投标文件截止时间、开标时间和地点</w:t>
      </w:r>
      <w:r>
        <w:tab/>
      </w:r>
      <w:r>
        <w:fldChar w:fldCharType="begin"/>
      </w:r>
      <w:r>
        <w:instrText xml:space="preserve"> PAGEREF _Toc644 \h </w:instrText>
      </w:r>
      <w:r>
        <w:fldChar w:fldCharType="separate"/>
      </w:r>
      <w:r>
        <w:t>2</w:t>
      </w:r>
      <w:r>
        <w:fldChar w:fldCharType="end"/>
      </w:r>
      <w:r>
        <w:rPr>
          <w:rFonts w:hint="default" w:ascii="Times New Roman" w:hAnsi="Times New Roman" w:cs="Times New Roman"/>
          <w:bCs/>
          <w:color w:val="auto"/>
          <w:highlight w:val="none"/>
        </w:rPr>
        <w:fldChar w:fldCharType="end"/>
      </w:r>
    </w:p>
    <w:p w14:paraId="14DD736F">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_Toc31253 </w:instrText>
      </w:r>
      <w:r>
        <w:rPr>
          <w:rFonts w:hint="default" w:ascii="Times New Roman" w:hAnsi="Times New Roman" w:cs="Times New Roman"/>
          <w:bCs/>
          <w:highlight w:val="none"/>
        </w:rPr>
        <w:fldChar w:fldCharType="separate"/>
      </w:r>
      <w:r>
        <w:rPr>
          <w:rFonts w:hint="default" w:ascii="Times New Roman" w:hAnsi="Times New Roman" w:eastAsia="宋体" w:cs="Times New Roman"/>
          <w:szCs w:val="21"/>
          <w:highlight w:val="none"/>
        </w:rPr>
        <w:t>五、公告期限</w:t>
      </w:r>
      <w:r>
        <w:tab/>
      </w:r>
      <w:r>
        <w:fldChar w:fldCharType="begin"/>
      </w:r>
      <w:r>
        <w:instrText xml:space="preserve"> PAGEREF _Toc31253 \h </w:instrText>
      </w:r>
      <w:r>
        <w:fldChar w:fldCharType="separate"/>
      </w:r>
      <w:r>
        <w:t>2</w:t>
      </w:r>
      <w:r>
        <w:fldChar w:fldCharType="end"/>
      </w:r>
      <w:r>
        <w:rPr>
          <w:rFonts w:hint="default" w:ascii="Times New Roman" w:hAnsi="Times New Roman" w:cs="Times New Roman"/>
          <w:bCs/>
          <w:color w:val="auto"/>
          <w:highlight w:val="none"/>
        </w:rPr>
        <w:fldChar w:fldCharType="end"/>
      </w:r>
    </w:p>
    <w:p w14:paraId="3E0BAF24">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_Toc22506 </w:instrText>
      </w:r>
      <w:r>
        <w:rPr>
          <w:rFonts w:hint="default" w:ascii="Times New Roman" w:hAnsi="Times New Roman" w:cs="Times New Roman"/>
          <w:bCs/>
          <w:highlight w:val="none"/>
        </w:rPr>
        <w:fldChar w:fldCharType="separate"/>
      </w:r>
      <w:r>
        <w:rPr>
          <w:rFonts w:hint="default" w:ascii="Times New Roman" w:hAnsi="Times New Roman" w:eastAsia="宋体" w:cs="Times New Roman"/>
          <w:szCs w:val="21"/>
          <w:highlight w:val="none"/>
        </w:rPr>
        <w:t>六、其他补充事宜</w:t>
      </w:r>
      <w:r>
        <w:tab/>
      </w:r>
      <w:r>
        <w:fldChar w:fldCharType="begin"/>
      </w:r>
      <w:r>
        <w:instrText xml:space="preserve"> PAGEREF _Toc22506 \h </w:instrText>
      </w:r>
      <w:r>
        <w:fldChar w:fldCharType="separate"/>
      </w:r>
      <w:r>
        <w:t>2</w:t>
      </w:r>
      <w:r>
        <w:fldChar w:fldCharType="end"/>
      </w:r>
      <w:r>
        <w:rPr>
          <w:rFonts w:hint="default" w:ascii="Times New Roman" w:hAnsi="Times New Roman" w:cs="Times New Roman"/>
          <w:bCs/>
          <w:color w:val="auto"/>
          <w:highlight w:val="none"/>
        </w:rPr>
        <w:fldChar w:fldCharType="end"/>
      </w:r>
    </w:p>
    <w:p w14:paraId="3F0222D0">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_Toc11007 </w:instrText>
      </w:r>
      <w:r>
        <w:rPr>
          <w:rFonts w:hint="default" w:ascii="Times New Roman" w:hAnsi="Times New Roman" w:cs="Times New Roman"/>
          <w:bCs/>
          <w:highlight w:val="none"/>
        </w:rPr>
        <w:fldChar w:fldCharType="separate"/>
      </w:r>
      <w:r>
        <w:rPr>
          <w:rFonts w:hint="default" w:ascii="Times New Roman" w:hAnsi="Times New Roman" w:eastAsia="宋体" w:cs="Times New Roman"/>
          <w:szCs w:val="21"/>
          <w:highlight w:val="none"/>
        </w:rPr>
        <w:t>七、对本次招标提出询问，请按以下方式联系。</w:t>
      </w:r>
      <w:r>
        <w:tab/>
      </w:r>
      <w:r>
        <w:fldChar w:fldCharType="begin"/>
      </w:r>
      <w:r>
        <w:instrText xml:space="preserve"> PAGEREF _Toc11007 \h </w:instrText>
      </w:r>
      <w:r>
        <w:fldChar w:fldCharType="separate"/>
      </w:r>
      <w:r>
        <w:t>3</w:t>
      </w:r>
      <w:r>
        <w:fldChar w:fldCharType="end"/>
      </w:r>
      <w:r>
        <w:rPr>
          <w:rFonts w:hint="default" w:ascii="Times New Roman" w:hAnsi="Times New Roman" w:cs="Times New Roman"/>
          <w:bCs/>
          <w:color w:val="auto"/>
          <w:highlight w:val="none"/>
        </w:rPr>
        <w:fldChar w:fldCharType="end"/>
      </w:r>
    </w:p>
    <w:p w14:paraId="711C4DB9">
      <w:pPr>
        <w:pStyle w:val="34"/>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_Toc32112 </w:instrText>
      </w:r>
      <w:r>
        <w:rPr>
          <w:rFonts w:hint="default" w:ascii="Times New Roman" w:hAnsi="Times New Roman" w:cs="Times New Roman"/>
          <w:bCs/>
          <w:highlight w:val="none"/>
        </w:rPr>
        <w:fldChar w:fldCharType="separate"/>
      </w:r>
      <w:r>
        <w:rPr>
          <w:rFonts w:hint="default" w:ascii="Times New Roman" w:hAnsi="Times New Roman" w:cs="Times New Roman"/>
          <w:szCs w:val="28"/>
          <w:highlight w:val="none"/>
        </w:rPr>
        <w:t>第二章 投标人须知</w:t>
      </w:r>
      <w:r>
        <w:tab/>
      </w:r>
      <w:r>
        <w:fldChar w:fldCharType="begin"/>
      </w:r>
      <w:r>
        <w:instrText xml:space="preserve"> PAGEREF _Toc32112 \h </w:instrText>
      </w:r>
      <w:r>
        <w:fldChar w:fldCharType="separate"/>
      </w:r>
      <w:r>
        <w:t>5</w:t>
      </w:r>
      <w:r>
        <w:fldChar w:fldCharType="end"/>
      </w:r>
      <w:r>
        <w:rPr>
          <w:rFonts w:hint="default" w:ascii="Times New Roman" w:hAnsi="Times New Roman" w:cs="Times New Roman"/>
          <w:bCs/>
          <w:color w:val="auto"/>
          <w:highlight w:val="none"/>
        </w:rPr>
        <w:fldChar w:fldCharType="end"/>
      </w:r>
    </w:p>
    <w:p w14:paraId="345317E6">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_Toc11969 </w:instrText>
      </w:r>
      <w:r>
        <w:rPr>
          <w:rFonts w:hint="default" w:ascii="Times New Roman" w:hAnsi="Times New Roman" w:cs="Times New Roman"/>
          <w:bCs/>
          <w:highlight w:val="none"/>
        </w:rPr>
        <w:fldChar w:fldCharType="separate"/>
      </w:r>
      <w:r>
        <w:rPr>
          <w:rFonts w:hint="default" w:ascii="Times New Roman" w:hAnsi="Times New Roman" w:cs="Times New Roman"/>
          <w:bCs/>
          <w:kern w:val="0"/>
          <w:szCs w:val="21"/>
          <w:highlight w:val="none"/>
        </w:rPr>
        <w:t>一、总 则</w:t>
      </w:r>
      <w:r>
        <w:tab/>
      </w:r>
      <w:r>
        <w:fldChar w:fldCharType="begin"/>
      </w:r>
      <w:r>
        <w:instrText xml:space="preserve"> PAGEREF _Toc11969 \h </w:instrText>
      </w:r>
      <w:r>
        <w:fldChar w:fldCharType="separate"/>
      </w:r>
      <w:r>
        <w:t>8</w:t>
      </w:r>
      <w:r>
        <w:fldChar w:fldCharType="end"/>
      </w:r>
      <w:r>
        <w:rPr>
          <w:rFonts w:hint="default" w:ascii="Times New Roman" w:hAnsi="Times New Roman" w:cs="Times New Roman"/>
          <w:bCs/>
          <w:color w:val="auto"/>
          <w:highlight w:val="none"/>
        </w:rPr>
        <w:fldChar w:fldCharType="end"/>
      </w:r>
    </w:p>
    <w:p w14:paraId="37D1703C">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_Toc15830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lang w:val="zh-CN"/>
        </w:rPr>
        <w:t>1.</w:t>
      </w:r>
      <w:r>
        <w:rPr>
          <w:rFonts w:hint="default" w:ascii="Times New Roman" w:hAnsi="Times New Roman" w:cs="Times New Roman"/>
          <w:szCs w:val="21"/>
          <w:highlight w:val="none"/>
          <w:lang w:val="zh-CN"/>
        </w:rPr>
        <w:t>适用法律</w:t>
      </w:r>
      <w:r>
        <w:tab/>
      </w:r>
      <w:r>
        <w:fldChar w:fldCharType="begin"/>
      </w:r>
      <w:r>
        <w:instrText xml:space="preserve"> PAGEREF _Toc15830 \h </w:instrText>
      </w:r>
      <w:r>
        <w:fldChar w:fldCharType="separate"/>
      </w:r>
      <w:r>
        <w:t>8</w:t>
      </w:r>
      <w:r>
        <w:fldChar w:fldCharType="end"/>
      </w:r>
      <w:r>
        <w:rPr>
          <w:rFonts w:hint="default" w:ascii="Times New Roman" w:hAnsi="Times New Roman" w:cs="Times New Roman"/>
          <w:bCs/>
          <w:color w:val="auto"/>
          <w:highlight w:val="none"/>
        </w:rPr>
        <w:fldChar w:fldCharType="end"/>
      </w:r>
    </w:p>
    <w:p w14:paraId="3A326281">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_Toc4269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lang w:val="zh-CN"/>
        </w:rPr>
        <w:t>2.</w:t>
      </w:r>
      <w:r>
        <w:rPr>
          <w:rFonts w:hint="default" w:ascii="Times New Roman" w:hAnsi="Times New Roman" w:cs="Times New Roman"/>
          <w:szCs w:val="21"/>
          <w:highlight w:val="none"/>
          <w:lang w:val="zh-CN"/>
        </w:rPr>
        <w:t>定义</w:t>
      </w:r>
      <w:r>
        <w:tab/>
      </w:r>
      <w:r>
        <w:fldChar w:fldCharType="begin"/>
      </w:r>
      <w:r>
        <w:instrText xml:space="preserve"> PAGEREF _Toc4269 \h </w:instrText>
      </w:r>
      <w:r>
        <w:fldChar w:fldCharType="separate"/>
      </w:r>
      <w:r>
        <w:t>8</w:t>
      </w:r>
      <w:r>
        <w:fldChar w:fldCharType="end"/>
      </w:r>
      <w:r>
        <w:rPr>
          <w:rFonts w:hint="default" w:ascii="Times New Roman" w:hAnsi="Times New Roman" w:cs="Times New Roman"/>
          <w:bCs/>
          <w:color w:val="auto"/>
          <w:highlight w:val="none"/>
        </w:rPr>
        <w:fldChar w:fldCharType="end"/>
      </w:r>
    </w:p>
    <w:p w14:paraId="44C9A57F">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_Toc7252 </w:instrText>
      </w:r>
      <w:r>
        <w:rPr>
          <w:rFonts w:hint="default" w:ascii="Times New Roman" w:hAnsi="Times New Roman" w:cs="Times New Roman"/>
          <w:bCs/>
          <w:highlight w:val="none"/>
        </w:rPr>
        <w:fldChar w:fldCharType="separate"/>
      </w:r>
      <w:r>
        <w:rPr>
          <w:rFonts w:hint="default" w:ascii="Times New Roman" w:hAnsi="Times New Roman" w:cs="Times New Roman"/>
          <w:szCs w:val="21"/>
          <w:highlight w:val="none"/>
        </w:rPr>
        <w:t>3.政策功能</w:t>
      </w:r>
      <w:r>
        <w:rPr>
          <w:rFonts w:hint="eastAsia" w:cs="Times New Roman"/>
          <w:szCs w:val="21"/>
          <w:highlight w:val="none"/>
          <w:lang w:eastAsia="zh-CN"/>
        </w:rPr>
        <w:t>（</w:t>
      </w:r>
      <w:r>
        <w:rPr>
          <w:rFonts w:hint="eastAsia" w:cs="Times New Roman"/>
          <w:szCs w:val="21"/>
          <w:highlight w:val="none"/>
          <w:lang w:val="en-US" w:eastAsia="zh-CN"/>
        </w:rPr>
        <w:t>不适用</w:t>
      </w:r>
      <w:r>
        <w:rPr>
          <w:rFonts w:hint="eastAsia" w:cs="Times New Roman"/>
          <w:szCs w:val="21"/>
          <w:highlight w:val="none"/>
          <w:lang w:eastAsia="zh-CN"/>
        </w:rPr>
        <w:t>）</w:t>
      </w:r>
      <w:r>
        <w:tab/>
      </w:r>
      <w:r>
        <w:fldChar w:fldCharType="begin"/>
      </w:r>
      <w:r>
        <w:instrText xml:space="preserve"> PAGEREF _Toc7252 \h </w:instrText>
      </w:r>
      <w:r>
        <w:fldChar w:fldCharType="separate"/>
      </w:r>
      <w:r>
        <w:t>8</w:t>
      </w:r>
      <w:r>
        <w:fldChar w:fldCharType="end"/>
      </w:r>
      <w:r>
        <w:rPr>
          <w:rFonts w:hint="default" w:ascii="Times New Roman" w:hAnsi="Times New Roman" w:cs="Times New Roman"/>
          <w:bCs/>
          <w:color w:val="auto"/>
          <w:highlight w:val="none"/>
        </w:rPr>
        <w:fldChar w:fldCharType="end"/>
      </w:r>
    </w:p>
    <w:p w14:paraId="543062A0">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_Toc8073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lang w:val="zh-CN"/>
        </w:rPr>
        <w:t>4.</w:t>
      </w:r>
      <w:r>
        <w:rPr>
          <w:rFonts w:hint="default" w:ascii="Times New Roman" w:hAnsi="Times New Roman" w:cs="Times New Roman"/>
          <w:szCs w:val="21"/>
          <w:highlight w:val="none"/>
          <w:lang w:val="zh-CN"/>
        </w:rPr>
        <w:t>投标费用</w:t>
      </w:r>
      <w:r>
        <w:tab/>
      </w:r>
      <w:r>
        <w:fldChar w:fldCharType="begin"/>
      </w:r>
      <w:r>
        <w:instrText xml:space="preserve"> PAGEREF _Toc8073 \h </w:instrText>
      </w:r>
      <w:r>
        <w:fldChar w:fldCharType="separate"/>
      </w:r>
      <w:r>
        <w:t>10</w:t>
      </w:r>
      <w:r>
        <w:fldChar w:fldCharType="end"/>
      </w:r>
      <w:r>
        <w:rPr>
          <w:rFonts w:hint="default" w:ascii="Times New Roman" w:hAnsi="Times New Roman" w:cs="Times New Roman"/>
          <w:bCs/>
          <w:color w:val="auto"/>
          <w:highlight w:val="none"/>
        </w:rPr>
        <w:fldChar w:fldCharType="end"/>
      </w:r>
    </w:p>
    <w:p w14:paraId="0DF73E17">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_Toc19293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lang w:val="zh-CN"/>
        </w:rPr>
        <w:t>5.</w:t>
      </w:r>
      <w:r>
        <w:rPr>
          <w:rFonts w:hint="default" w:ascii="Times New Roman" w:hAnsi="Times New Roman" w:cs="Times New Roman"/>
          <w:szCs w:val="21"/>
          <w:highlight w:val="none"/>
          <w:lang w:val="zh-CN"/>
        </w:rPr>
        <w:t>招标文件的约束力</w:t>
      </w:r>
      <w:r>
        <w:tab/>
      </w:r>
      <w:r>
        <w:fldChar w:fldCharType="begin"/>
      </w:r>
      <w:r>
        <w:instrText xml:space="preserve"> PAGEREF _Toc19293 \h </w:instrText>
      </w:r>
      <w:r>
        <w:fldChar w:fldCharType="separate"/>
      </w:r>
      <w:r>
        <w:t>10</w:t>
      </w:r>
      <w:r>
        <w:fldChar w:fldCharType="end"/>
      </w:r>
      <w:r>
        <w:rPr>
          <w:rFonts w:hint="default" w:ascii="Times New Roman" w:hAnsi="Times New Roman" w:cs="Times New Roman"/>
          <w:bCs/>
          <w:color w:val="auto"/>
          <w:highlight w:val="none"/>
        </w:rPr>
        <w:fldChar w:fldCharType="end"/>
      </w:r>
    </w:p>
    <w:p w14:paraId="42E4BE89">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_Toc28596 </w:instrText>
      </w:r>
      <w:r>
        <w:rPr>
          <w:rFonts w:hint="default" w:ascii="Times New Roman" w:hAnsi="Times New Roman" w:cs="Times New Roman"/>
          <w:bCs/>
          <w:highlight w:val="none"/>
        </w:rPr>
        <w:fldChar w:fldCharType="separate"/>
      </w:r>
      <w:r>
        <w:rPr>
          <w:rFonts w:hint="default" w:ascii="Times New Roman" w:hAnsi="Times New Roman" w:cs="Times New Roman"/>
          <w:bCs/>
          <w:kern w:val="0"/>
          <w:szCs w:val="21"/>
          <w:highlight w:val="none"/>
        </w:rPr>
        <w:t>二、招标文件</w:t>
      </w:r>
      <w:r>
        <w:tab/>
      </w:r>
      <w:r>
        <w:fldChar w:fldCharType="begin"/>
      </w:r>
      <w:r>
        <w:instrText xml:space="preserve"> PAGEREF _Toc28596 \h </w:instrText>
      </w:r>
      <w:r>
        <w:fldChar w:fldCharType="separate"/>
      </w:r>
      <w:r>
        <w:t>10</w:t>
      </w:r>
      <w:r>
        <w:fldChar w:fldCharType="end"/>
      </w:r>
      <w:r>
        <w:rPr>
          <w:rFonts w:hint="default" w:ascii="Times New Roman" w:hAnsi="Times New Roman" w:cs="Times New Roman"/>
          <w:bCs/>
          <w:color w:val="auto"/>
          <w:highlight w:val="none"/>
        </w:rPr>
        <w:fldChar w:fldCharType="end"/>
      </w:r>
    </w:p>
    <w:p w14:paraId="31A40401">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_Toc29351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lang w:val="zh-CN"/>
        </w:rPr>
        <w:t>6.</w:t>
      </w:r>
      <w:r>
        <w:rPr>
          <w:rFonts w:hint="default" w:ascii="Times New Roman" w:hAnsi="Times New Roman" w:cs="Times New Roman"/>
          <w:szCs w:val="21"/>
          <w:highlight w:val="none"/>
          <w:lang w:val="zh-CN"/>
        </w:rPr>
        <w:t>招标文件构成</w:t>
      </w:r>
      <w:r>
        <w:tab/>
      </w:r>
      <w:r>
        <w:fldChar w:fldCharType="begin"/>
      </w:r>
      <w:r>
        <w:instrText xml:space="preserve"> PAGEREF _Toc29351 \h </w:instrText>
      </w:r>
      <w:r>
        <w:fldChar w:fldCharType="separate"/>
      </w:r>
      <w:r>
        <w:t>10</w:t>
      </w:r>
      <w:r>
        <w:fldChar w:fldCharType="end"/>
      </w:r>
      <w:r>
        <w:rPr>
          <w:rFonts w:hint="default" w:ascii="Times New Roman" w:hAnsi="Times New Roman" w:cs="Times New Roman"/>
          <w:bCs/>
          <w:color w:val="auto"/>
          <w:highlight w:val="none"/>
        </w:rPr>
        <w:fldChar w:fldCharType="end"/>
      </w:r>
    </w:p>
    <w:p w14:paraId="5C601FFD">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_Toc9112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7.招标文件的澄清、补充或修改</w:t>
      </w:r>
      <w:r>
        <w:tab/>
      </w:r>
      <w:r>
        <w:fldChar w:fldCharType="begin"/>
      </w:r>
      <w:r>
        <w:instrText xml:space="preserve"> PAGEREF _Toc9112 \h </w:instrText>
      </w:r>
      <w:r>
        <w:fldChar w:fldCharType="separate"/>
      </w:r>
      <w:r>
        <w:t>11</w:t>
      </w:r>
      <w:r>
        <w:fldChar w:fldCharType="end"/>
      </w:r>
      <w:r>
        <w:rPr>
          <w:rFonts w:hint="default" w:ascii="Times New Roman" w:hAnsi="Times New Roman" w:cs="Times New Roman"/>
          <w:bCs/>
          <w:color w:val="auto"/>
          <w:highlight w:val="none"/>
        </w:rPr>
        <w:fldChar w:fldCharType="end"/>
      </w:r>
    </w:p>
    <w:p w14:paraId="215D9621">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_Toc1618 </w:instrText>
      </w:r>
      <w:r>
        <w:rPr>
          <w:rFonts w:hint="default" w:ascii="Times New Roman" w:hAnsi="Times New Roman" w:cs="Times New Roman"/>
          <w:bCs/>
          <w:highlight w:val="none"/>
        </w:rPr>
        <w:fldChar w:fldCharType="separate"/>
      </w:r>
      <w:r>
        <w:rPr>
          <w:rFonts w:hint="default" w:ascii="Times New Roman" w:hAnsi="Times New Roman" w:cs="Times New Roman"/>
          <w:bCs/>
          <w:kern w:val="0"/>
          <w:szCs w:val="21"/>
          <w:highlight w:val="none"/>
        </w:rPr>
        <w:t>三、投标文件的编制</w:t>
      </w:r>
      <w:r>
        <w:tab/>
      </w:r>
      <w:r>
        <w:fldChar w:fldCharType="begin"/>
      </w:r>
      <w:r>
        <w:instrText xml:space="preserve"> PAGEREF _Toc1618 \h </w:instrText>
      </w:r>
      <w:r>
        <w:fldChar w:fldCharType="separate"/>
      </w:r>
      <w:r>
        <w:t>11</w:t>
      </w:r>
      <w:r>
        <w:fldChar w:fldCharType="end"/>
      </w:r>
      <w:r>
        <w:rPr>
          <w:rFonts w:hint="default" w:ascii="Times New Roman" w:hAnsi="Times New Roman" w:cs="Times New Roman"/>
          <w:bCs/>
          <w:color w:val="auto"/>
          <w:highlight w:val="none"/>
        </w:rPr>
        <w:fldChar w:fldCharType="end"/>
      </w:r>
    </w:p>
    <w:p w14:paraId="7A093055">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_Toc21682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8.投标文件的语言、计量单位、货币</w:t>
      </w:r>
      <w:r>
        <w:tab/>
      </w:r>
      <w:r>
        <w:fldChar w:fldCharType="begin"/>
      </w:r>
      <w:r>
        <w:instrText xml:space="preserve"> PAGEREF _Toc21682 \h </w:instrText>
      </w:r>
      <w:r>
        <w:fldChar w:fldCharType="separate"/>
      </w:r>
      <w:r>
        <w:t>11</w:t>
      </w:r>
      <w:r>
        <w:fldChar w:fldCharType="end"/>
      </w:r>
      <w:r>
        <w:rPr>
          <w:rFonts w:hint="default" w:ascii="Times New Roman" w:hAnsi="Times New Roman" w:cs="Times New Roman"/>
          <w:bCs/>
          <w:color w:val="auto"/>
          <w:highlight w:val="none"/>
        </w:rPr>
        <w:fldChar w:fldCharType="end"/>
      </w:r>
    </w:p>
    <w:p w14:paraId="262B9A38">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_Toc16477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rPr>
        <w:t>9.</w:t>
      </w:r>
      <w:r>
        <w:rPr>
          <w:rFonts w:hint="default" w:ascii="Times New Roman" w:hAnsi="Times New Roman" w:cs="Times New Roman"/>
          <w:szCs w:val="21"/>
          <w:highlight w:val="none"/>
          <w:lang w:val="zh-CN"/>
        </w:rPr>
        <w:t>联合体（根据采购项目是否接受联合体投标而定）</w:t>
      </w:r>
      <w:r>
        <w:tab/>
      </w:r>
      <w:r>
        <w:fldChar w:fldCharType="begin"/>
      </w:r>
      <w:r>
        <w:instrText xml:space="preserve"> PAGEREF _Toc16477 \h </w:instrText>
      </w:r>
      <w:r>
        <w:fldChar w:fldCharType="separate"/>
      </w:r>
      <w:r>
        <w:t>12</w:t>
      </w:r>
      <w:r>
        <w:fldChar w:fldCharType="end"/>
      </w:r>
      <w:r>
        <w:rPr>
          <w:rFonts w:hint="default" w:ascii="Times New Roman" w:hAnsi="Times New Roman" w:cs="Times New Roman"/>
          <w:bCs/>
          <w:color w:val="auto"/>
          <w:highlight w:val="none"/>
        </w:rPr>
        <w:fldChar w:fldCharType="end"/>
      </w:r>
    </w:p>
    <w:p w14:paraId="63FFE05B">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_Toc2471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10.投标文件的组成</w:t>
      </w:r>
      <w:r>
        <w:tab/>
      </w:r>
      <w:r>
        <w:fldChar w:fldCharType="begin"/>
      </w:r>
      <w:r>
        <w:instrText xml:space="preserve"> PAGEREF _Toc2471 \h </w:instrText>
      </w:r>
      <w:r>
        <w:fldChar w:fldCharType="separate"/>
      </w:r>
      <w:r>
        <w:t>12</w:t>
      </w:r>
      <w:r>
        <w:fldChar w:fldCharType="end"/>
      </w:r>
      <w:r>
        <w:rPr>
          <w:rFonts w:hint="default" w:ascii="Times New Roman" w:hAnsi="Times New Roman" w:cs="Times New Roman"/>
          <w:bCs/>
          <w:color w:val="auto"/>
          <w:highlight w:val="none"/>
        </w:rPr>
        <w:fldChar w:fldCharType="end"/>
      </w:r>
    </w:p>
    <w:p w14:paraId="43E9AE9F">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_Toc5848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11.投标保证金</w:t>
      </w:r>
      <w:r>
        <w:tab/>
      </w:r>
      <w:r>
        <w:fldChar w:fldCharType="begin"/>
      </w:r>
      <w:r>
        <w:instrText xml:space="preserve"> PAGEREF _Toc5848 \h </w:instrText>
      </w:r>
      <w:r>
        <w:fldChar w:fldCharType="separate"/>
      </w:r>
      <w:r>
        <w:t>13</w:t>
      </w:r>
      <w:r>
        <w:fldChar w:fldCharType="end"/>
      </w:r>
      <w:r>
        <w:rPr>
          <w:rFonts w:hint="default" w:ascii="Times New Roman" w:hAnsi="Times New Roman" w:cs="Times New Roman"/>
          <w:bCs/>
          <w:color w:val="auto"/>
          <w:highlight w:val="none"/>
        </w:rPr>
        <w:fldChar w:fldCharType="end"/>
      </w:r>
    </w:p>
    <w:p w14:paraId="6D2C012A">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_Toc19016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12.投标文件的有效期</w:t>
      </w:r>
      <w:r>
        <w:tab/>
      </w:r>
      <w:r>
        <w:fldChar w:fldCharType="begin"/>
      </w:r>
      <w:r>
        <w:instrText xml:space="preserve"> PAGEREF _Toc19016 \h </w:instrText>
      </w:r>
      <w:r>
        <w:fldChar w:fldCharType="separate"/>
      </w:r>
      <w:r>
        <w:t>14</w:t>
      </w:r>
      <w:r>
        <w:fldChar w:fldCharType="end"/>
      </w:r>
      <w:r>
        <w:rPr>
          <w:rFonts w:hint="default" w:ascii="Times New Roman" w:hAnsi="Times New Roman" w:cs="Times New Roman"/>
          <w:bCs/>
          <w:color w:val="auto"/>
          <w:highlight w:val="none"/>
        </w:rPr>
        <w:fldChar w:fldCharType="end"/>
      </w:r>
    </w:p>
    <w:p w14:paraId="04299DE1">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_Toc7270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13.投标文件的签署及其形式</w:t>
      </w:r>
      <w:r>
        <w:tab/>
      </w:r>
      <w:r>
        <w:fldChar w:fldCharType="begin"/>
      </w:r>
      <w:r>
        <w:instrText xml:space="preserve"> PAGEREF _Toc7270 \h </w:instrText>
      </w:r>
      <w:r>
        <w:fldChar w:fldCharType="separate"/>
      </w:r>
      <w:r>
        <w:t>14</w:t>
      </w:r>
      <w:r>
        <w:fldChar w:fldCharType="end"/>
      </w:r>
      <w:r>
        <w:rPr>
          <w:rFonts w:hint="default" w:ascii="Times New Roman" w:hAnsi="Times New Roman" w:cs="Times New Roman"/>
          <w:bCs/>
          <w:color w:val="auto"/>
          <w:highlight w:val="none"/>
        </w:rPr>
        <w:fldChar w:fldCharType="end"/>
      </w:r>
    </w:p>
    <w:p w14:paraId="251C6587">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_Toc10353 </w:instrText>
      </w:r>
      <w:r>
        <w:rPr>
          <w:rFonts w:hint="default" w:ascii="Times New Roman" w:hAnsi="Times New Roman" w:cs="Times New Roman"/>
          <w:bCs/>
          <w:highlight w:val="none"/>
        </w:rPr>
        <w:fldChar w:fldCharType="separate"/>
      </w:r>
      <w:r>
        <w:rPr>
          <w:rFonts w:hint="default" w:ascii="Times New Roman" w:hAnsi="Times New Roman" w:cs="Times New Roman"/>
          <w:bCs/>
          <w:kern w:val="0"/>
          <w:szCs w:val="21"/>
          <w:highlight w:val="none"/>
        </w:rPr>
        <w:t>四、投标文件的递交</w:t>
      </w:r>
      <w:r>
        <w:tab/>
      </w:r>
      <w:r>
        <w:fldChar w:fldCharType="begin"/>
      </w:r>
      <w:r>
        <w:instrText xml:space="preserve"> PAGEREF _Toc10353 \h </w:instrText>
      </w:r>
      <w:r>
        <w:fldChar w:fldCharType="separate"/>
      </w:r>
      <w:r>
        <w:t>14</w:t>
      </w:r>
      <w:r>
        <w:fldChar w:fldCharType="end"/>
      </w:r>
      <w:r>
        <w:rPr>
          <w:rFonts w:hint="default" w:ascii="Times New Roman" w:hAnsi="Times New Roman" w:cs="Times New Roman"/>
          <w:bCs/>
          <w:color w:val="auto"/>
          <w:highlight w:val="none"/>
        </w:rPr>
        <w:fldChar w:fldCharType="end"/>
      </w:r>
    </w:p>
    <w:p w14:paraId="40AF3282">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_Toc26126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14.投标文件的密封及标记</w:t>
      </w:r>
      <w:r>
        <w:tab/>
      </w:r>
      <w:r>
        <w:fldChar w:fldCharType="begin"/>
      </w:r>
      <w:r>
        <w:instrText xml:space="preserve"> PAGEREF _Toc26126 \h </w:instrText>
      </w:r>
      <w:r>
        <w:fldChar w:fldCharType="separate"/>
      </w:r>
      <w:r>
        <w:t>14</w:t>
      </w:r>
      <w:r>
        <w:fldChar w:fldCharType="end"/>
      </w:r>
      <w:r>
        <w:rPr>
          <w:rFonts w:hint="default" w:ascii="Times New Roman" w:hAnsi="Times New Roman" w:cs="Times New Roman"/>
          <w:bCs/>
          <w:color w:val="auto"/>
          <w:highlight w:val="none"/>
        </w:rPr>
        <w:fldChar w:fldCharType="end"/>
      </w:r>
    </w:p>
    <w:p w14:paraId="0742AF34">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_Toc3368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15.投标的截止日期</w:t>
      </w:r>
      <w:r>
        <w:tab/>
      </w:r>
      <w:r>
        <w:fldChar w:fldCharType="begin"/>
      </w:r>
      <w:r>
        <w:instrText xml:space="preserve"> PAGEREF _Toc3368 \h </w:instrText>
      </w:r>
      <w:r>
        <w:fldChar w:fldCharType="separate"/>
      </w:r>
      <w:r>
        <w:t>15</w:t>
      </w:r>
      <w:r>
        <w:fldChar w:fldCharType="end"/>
      </w:r>
      <w:r>
        <w:rPr>
          <w:rFonts w:hint="default" w:ascii="Times New Roman" w:hAnsi="Times New Roman" w:cs="Times New Roman"/>
          <w:bCs/>
          <w:color w:val="auto"/>
          <w:highlight w:val="none"/>
        </w:rPr>
        <w:fldChar w:fldCharType="end"/>
      </w:r>
    </w:p>
    <w:p w14:paraId="79F839B9">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_Toc10359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16.迟交的投标文件</w:t>
      </w:r>
      <w:r>
        <w:tab/>
      </w:r>
      <w:r>
        <w:fldChar w:fldCharType="begin"/>
      </w:r>
      <w:r>
        <w:instrText xml:space="preserve"> PAGEREF _Toc10359 \h </w:instrText>
      </w:r>
      <w:r>
        <w:fldChar w:fldCharType="separate"/>
      </w:r>
      <w:r>
        <w:t>15</w:t>
      </w:r>
      <w:r>
        <w:fldChar w:fldCharType="end"/>
      </w:r>
      <w:r>
        <w:rPr>
          <w:rFonts w:hint="default" w:ascii="Times New Roman" w:hAnsi="Times New Roman" w:cs="Times New Roman"/>
          <w:bCs/>
          <w:color w:val="auto"/>
          <w:highlight w:val="none"/>
        </w:rPr>
        <w:fldChar w:fldCharType="end"/>
      </w:r>
    </w:p>
    <w:p w14:paraId="7D00BAE8">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_Toc21351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17.投标文件的修改或撤回</w:t>
      </w:r>
      <w:r>
        <w:tab/>
      </w:r>
      <w:r>
        <w:fldChar w:fldCharType="begin"/>
      </w:r>
      <w:r>
        <w:instrText xml:space="preserve"> PAGEREF _Toc21351 \h </w:instrText>
      </w:r>
      <w:r>
        <w:fldChar w:fldCharType="separate"/>
      </w:r>
      <w:r>
        <w:t>15</w:t>
      </w:r>
      <w:r>
        <w:fldChar w:fldCharType="end"/>
      </w:r>
      <w:r>
        <w:rPr>
          <w:rFonts w:hint="default" w:ascii="Times New Roman" w:hAnsi="Times New Roman" w:cs="Times New Roman"/>
          <w:bCs/>
          <w:color w:val="auto"/>
          <w:highlight w:val="none"/>
        </w:rPr>
        <w:fldChar w:fldCharType="end"/>
      </w:r>
    </w:p>
    <w:p w14:paraId="65476EB4">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_Toc4082 </w:instrText>
      </w:r>
      <w:r>
        <w:rPr>
          <w:rFonts w:hint="default" w:ascii="Times New Roman" w:hAnsi="Times New Roman" w:cs="Times New Roman"/>
          <w:bCs/>
          <w:highlight w:val="none"/>
        </w:rPr>
        <w:fldChar w:fldCharType="separate"/>
      </w:r>
      <w:r>
        <w:rPr>
          <w:rFonts w:hint="default" w:ascii="Times New Roman" w:hAnsi="Times New Roman" w:cs="Times New Roman"/>
          <w:bCs/>
          <w:kern w:val="0"/>
          <w:szCs w:val="21"/>
          <w:highlight w:val="none"/>
        </w:rPr>
        <w:t>五、开标与评标</w:t>
      </w:r>
      <w:r>
        <w:tab/>
      </w:r>
      <w:r>
        <w:fldChar w:fldCharType="begin"/>
      </w:r>
      <w:r>
        <w:instrText xml:space="preserve"> PAGEREF _Toc4082 \h </w:instrText>
      </w:r>
      <w:r>
        <w:fldChar w:fldCharType="separate"/>
      </w:r>
      <w:r>
        <w:t>15</w:t>
      </w:r>
      <w:r>
        <w:fldChar w:fldCharType="end"/>
      </w:r>
      <w:r>
        <w:rPr>
          <w:rFonts w:hint="default" w:ascii="Times New Roman" w:hAnsi="Times New Roman" w:cs="Times New Roman"/>
          <w:bCs/>
          <w:color w:val="auto"/>
          <w:highlight w:val="none"/>
        </w:rPr>
        <w:fldChar w:fldCharType="end"/>
      </w:r>
    </w:p>
    <w:p w14:paraId="4E38213E">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_Toc18031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18.开标</w:t>
      </w:r>
      <w:r>
        <w:tab/>
      </w:r>
      <w:r>
        <w:fldChar w:fldCharType="begin"/>
      </w:r>
      <w:r>
        <w:instrText xml:space="preserve"> PAGEREF _Toc18031 \h </w:instrText>
      </w:r>
      <w:r>
        <w:fldChar w:fldCharType="separate"/>
      </w:r>
      <w:r>
        <w:t>15</w:t>
      </w:r>
      <w:r>
        <w:fldChar w:fldCharType="end"/>
      </w:r>
      <w:r>
        <w:rPr>
          <w:rFonts w:hint="default" w:ascii="Times New Roman" w:hAnsi="Times New Roman" w:cs="Times New Roman"/>
          <w:bCs/>
          <w:color w:val="auto"/>
          <w:highlight w:val="none"/>
        </w:rPr>
        <w:fldChar w:fldCharType="end"/>
      </w:r>
    </w:p>
    <w:p w14:paraId="28417A14">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_Toc12812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19.评标组织</w:t>
      </w:r>
      <w:r>
        <w:tab/>
      </w:r>
      <w:r>
        <w:fldChar w:fldCharType="begin"/>
      </w:r>
      <w:r>
        <w:instrText xml:space="preserve"> PAGEREF _Toc12812 \h </w:instrText>
      </w:r>
      <w:r>
        <w:fldChar w:fldCharType="separate"/>
      </w:r>
      <w:r>
        <w:t>16</w:t>
      </w:r>
      <w:r>
        <w:fldChar w:fldCharType="end"/>
      </w:r>
      <w:r>
        <w:rPr>
          <w:rFonts w:hint="default" w:ascii="Times New Roman" w:hAnsi="Times New Roman" w:cs="Times New Roman"/>
          <w:bCs/>
          <w:color w:val="auto"/>
          <w:highlight w:val="none"/>
        </w:rPr>
        <w:fldChar w:fldCharType="end"/>
      </w:r>
    </w:p>
    <w:p w14:paraId="35590729">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_Toc1956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20.对投标文件的资格性审查和符合性审查</w:t>
      </w:r>
      <w:r>
        <w:tab/>
      </w:r>
      <w:r>
        <w:fldChar w:fldCharType="begin"/>
      </w:r>
      <w:r>
        <w:instrText xml:space="preserve"> PAGEREF _Toc1956 \h </w:instrText>
      </w:r>
      <w:r>
        <w:fldChar w:fldCharType="separate"/>
      </w:r>
      <w:r>
        <w:t>16</w:t>
      </w:r>
      <w:r>
        <w:fldChar w:fldCharType="end"/>
      </w:r>
      <w:r>
        <w:rPr>
          <w:rFonts w:hint="default" w:ascii="Times New Roman" w:hAnsi="Times New Roman" w:cs="Times New Roman"/>
          <w:bCs/>
          <w:color w:val="auto"/>
          <w:highlight w:val="none"/>
        </w:rPr>
        <w:fldChar w:fldCharType="end"/>
      </w:r>
    </w:p>
    <w:p w14:paraId="212B9CAF">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_Toc11391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21.投标文件的澄清</w:t>
      </w:r>
      <w:r>
        <w:tab/>
      </w:r>
      <w:r>
        <w:fldChar w:fldCharType="begin"/>
      </w:r>
      <w:r>
        <w:instrText xml:space="preserve"> PAGEREF _Toc11391 \h </w:instrText>
      </w:r>
      <w:r>
        <w:fldChar w:fldCharType="separate"/>
      </w:r>
      <w:r>
        <w:t>18</w:t>
      </w:r>
      <w:r>
        <w:fldChar w:fldCharType="end"/>
      </w:r>
      <w:r>
        <w:rPr>
          <w:rFonts w:hint="default" w:ascii="Times New Roman" w:hAnsi="Times New Roman" w:cs="Times New Roman"/>
          <w:bCs/>
          <w:color w:val="auto"/>
          <w:highlight w:val="none"/>
        </w:rPr>
        <w:fldChar w:fldCharType="end"/>
      </w:r>
    </w:p>
    <w:p w14:paraId="60521804">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_Toc16438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22.对投标文件的详细评审</w:t>
      </w:r>
      <w:r>
        <w:tab/>
      </w:r>
      <w:r>
        <w:fldChar w:fldCharType="begin"/>
      </w:r>
      <w:r>
        <w:instrText xml:space="preserve"> PAGEREF _Toc16438 \h </w:instrText>
      </w:r>
      <w:r>
        <w:fldChar w:fldCharType="separate"/>
      </w:r>
      <w:r>
        <w:t>18</w:t>
      </w:r>
      <w:r>
        <w:fldChar w:fldCharType="end"/>
      </w:r>
      <w:r>
        <w:rPr>
          <w:rFonts w:hint="default" w:ascii="Times New Roman" w:hAnsi="Times New Roman" w:cs="Times New Roman"/>
          <w:bCs/>
          <w:color w:val="auto"/>
          <w:highlight w:val="none"/>
        </w:rPr>
        <w:fldChar w:fldCharType="end"/>
      </w:r>
    </w:p>
    <w:p w14:paraId="23AF4207">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_Toc25774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23.评标过程的保密与公正</w:t>
      </w:r>
      <w:r>
        <w:tab/>
      </w:r>
      <w:r>
        <w:fldChar w:fldCharType="begin"/>
      </w:r>
      <w:r>
        <w:instrText xml:space="preserve"> PAGEREF _Toc25774 \h </w:instrText>
      </w:r>
      <w:r>
        <w:fldChar w:fldCharType="separate"/>
      </w:r>
      <w:r>
        <w:t>19</w:t>
      </w:r>
      <w:r>
        <w:fldChar w:fldCharType="end"/>
      </w:r>
      <w:r>
        <w:rPr>
          <w:rFonts w:hint="default" w:ascii="Times New Roman" w:hAnsi="Times New Roman" w:cs="Times New Roman"/>
          <w:bCs/>
          <w:color w:val="auto"/>
          <w:highlight w:val="none"/>
        </w:rPr>
        <w:fldChar w:fldCharType="end"/>
      </w:r>
    </w:p>
    <w:p w14:paraId="635F7647">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_Toc25891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24.无效投标条款和废标条款</w:t>
      </w:r>
      <w:r>
        <w:tab/>
      </w:r>
      <w:r>
        <w:fldChar w:fldCharType="begin"/>
      </w:r>
      <w:r>
        <w:instrText xml:space="preserve"> PAGEREF _Toc25891 \h </w:instrText>
      </w:r>
      <w:r>
        <w:fldChar w:fldCharType="separate"/>
      </w:r>
      <w:r>
        <w:t>19</w:t>
      </w:r>
      <w:r>
        <w:fldChar w:fldCharType="end"/>
      </w:r>
      <w:r>
        <w:rPr>
          <w:rFonts w:hint="default" w:ascii="Times New Roman" w:hAnsi="Times New Roman" w:cs="Times New Roman"/>
          <w:bCs/>
          <w:color w:val="auto"/>
          <w:highlight w:val="none"/>
        </w:rPr>
        <w:fldChar w:fldCharType="end"/>
      </w:r>
    </w:p>
    <w:p w14:paraId="0FFDD50B">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_Toc13337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25.投标截止时间结束参加投标的供应商不足三家的处理</w:t>
      </w:r>
      <w:r>
        <w:tab/>
      </w:r>
      <w:r>
        <w:fldChar w:fldCharType="begin"/>
      </w:r>
      <w:r>
        <w:instrText xml:space="preserve"> PAGEREF _Toc13337 \h </w:instrText>
      </w:r>
      <w:r>
        <w:fldChar w:fldCharType="separate"/>
      </w:r>
      <w:r>
        <w:t>19</w:t>
      </w:r>
      <w:r>
        <w:fldChar w:fldCharType="end"/>
      </w:r>
      <w:r>
        <w:rPr>
          <w:rFonts w:hint="default" w:ascii="Times New Roman" w:hAnsi="Times New Roman" w:cs="Times New Roman"/>
          <w:bCs/>
          <w:color w:val="auto"/>
          <w:highlight w:val="none"/>
        </w:rPr>
        <w:fldChar w:fldCharType="end"/>
      </w:r>
    </w:p>
    <w:p w14:paraId="34FB9CC0">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_Toc18531 </w:instrText>
      </w:r>
      <w:r>
        <w:rPr>
          <w:rFonts w:hint="default" w:ascii="Times New Roman" w:hAnsi="Times New Roman" w:cs="Times New Roman"/>
          <w:bCs/>
          <w:highlight w:val="none"/>
        </w:rPr>
        <w:fldChar w:fldCharType="separate"/>
      </w:r>
      <w:r>
        <w:rPr>
          <w:rFonts w:hint="default" w:ascii="Times New Roman" w:hAnsi="Times New Roman" w:cs="Times New Roman"/>
          <w:bCs/>
          <w:kern w:val="0"/>
          <w:szCs w:val="21"/>
          <w:highlight w:val="none"/>
        </w:rPr>
        <w:t>六、授标</w:t>
      </w:r>
      <w:r>
        <w:tab/>
      </w:r>
      <w:r>
        <w:fldChar w:fldCharType="begin"/>
      </w:r>
      <w:r>
        <w:instrText xml:space="preserve"> PAGEREF _Toc18531 \h </w:instrText>
      </w:r>
      <w:r>
        <w:fldChar w:fldCharType="separate"/>
      </w:r>
      <w:r>
        <w:t>20</w:t>
      </w:r>
      <w:r>
        <w:fldChar w:fldCharType="end"/>
      </w:r>
      <w:r>
        <w:rPr>
          <w:rFonts w:hint="default" w:ascii="Times New Roman" w:hAnsi="Times New Roman" w:cs="Times New Roman"/>
          <w:bCs/>
          <w:color w:val="auto"/>
          <w:highlight w:val="none"/>
        </w:rPr>
        <w:fldChar w:fldCharType="end"/>
      </w:r>
    </w:p>
    <w:p w14:paraId="4B649FFC">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_Toc29041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26.确定中标供应商</w:t>
      </w:r>
      <w:r>
        <w:tab/>
      </w:r>
      <w:r>
        <w:fldChar w:fldCharType="begin"/>
      </w:r>
      <w:r>
        <w:instrText xml:space="preserve"> PAGEREF _Toc29041 \h </w:instrText>
      </w:r>
      <w:r>
        <w:fldChar w:fldCharType="separate"/>
      </w:r>
      <w:r>
        <w:t>20</w:t>
      </w:r>
      <w:r>
        <w:fldChar w:fldCharType="end"/>
      </w:r>
      <w:r>
        <w:rPr>
          <w:rFonts w:hint="default" w:ascii="Times New Roman" w:hAnsi="Times New Roman" w:cs="Times New Roman"/>
          <w:bCs/>
          <w:color w:val="auto"/>
          <w:highlight w:val="none"/>
        </w:rPr>
        <w:fldChar w:fldCharType="end"/>
      </w:r>
    </w:p>
    <w:p w14:paraId="335EFA33">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_Toc18480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27.中标的通知</w:t>
      </w:r>
      <w:r>
        <w:tab/>
      </w:r>
      <w:r>
        <w:fldChar w:fldCharType="begin"/>
      </w:r>
      <w:r>
        <w:instrText xml:space="preserve"> PAGEREF _Toc18480 \h </w:instrText>
      </w:r>
      <w:r>
        <w:fldChar w:fldCharType="separate"/>
      </w:r>
      <w:r>
        <w:t>20</w:t>
      </w:r>
      <w:r>
        <w:fldChar w:fldCharType="end"/>
      </w:r>
      <w:r>
        <w:rPr>
          <w:rFonts w:hint="default" w:ascii="Times New Roman" w:hAnsi="Times New Roman" w:cs="Times New Roman"/>
          <w:bCs/>
          <w:color w:val="auto"/>
          <w:highlight w:val="none"/>
        </w:rPr>
        <w:fldChar w:fldCharType="end"/>
      </w:r>
    </w:p>
    <w:p w14:paraId="0A4EBD25">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_Toc811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28.签订合同</w:t>
      </w:r>
      <w:r>
        <w:tab/>
      </w:r>
      <w:r>
        <w:fldChar w:fldCharType="begin"/>
      </w:r>
      <w:r>
        <w:instrText xml:space="preserve"> PAGEREF _Toc811 \h </w:instrText>
      </w:r>
      <w:r>
        <w:fldChar w:fldCharType="separate"/>
      </w:r>
      <w:r>
        <w:t>20</w:t>
      </w:r>
      <w:r>
        <w:fldChar w:fldCharType="end"/>
      </w:r>
      <w:r>
        <w:rPr>
          <w:rFonts w:hint="default" w:ascii="Times New Roman" w:hAnsi="Times New Roman" w:cs="Times New Roman"/>
          <w:bCs/>
          <w:color w:val="auto"/>
          <w:highlight w:val="none"/>
        </w:rPr>
        <w:fldChar w:fldCharType="end"/>
      </w:r>
    </w:p>
    <w:p w14:paraId="5A1BCAC5">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_Toc13765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29.招标代理服务费</w:t>
      </w:r>
      <w:r>
        <w:tab/>
      </w:r>
      <w:r>
        <w:fldChar w:fldCharType="begin"/>
      </w:r>
      <w:r>
        <w:instrText xml:space="preserve"> PAGEREF _Toc13765 \h </w:instrText>
      </w:r>
      <w:r>
        <w:fldChar w:fldCharType="separate"/>
      </w:r>
      <w:r>
        <w:t>21</w:t>
      </w:r>
      <w:r>
        <w:fldChar w:fldCharType="end"/>
      </w:r>
      <w:r>
        <w:rPr>
          <w:rFonts w:hint="default" w:ascii="Times New Roman" w:hAnsi="Times New Roman" w:cs="Times New Roman"/>
          <w:bCs/>
          <w:color w:val="auto"/>
          <w:highlight w:val="none"/>
        </w:rPr>
        <w:fldChar w:fldCharType="end"/>
      </w:r>
    </w:p>
    <w:p w14:paraId="74A1AF5B">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_Toc20418 </w:instrText>
      </w:r>
      <w:r>
        <w:rPr>
          <w:rFonts w:hint="default" w:ascii="Times New Roman" w:hAnsi="Times New Roman" w:cs="Times New Roman"/>
          <w:bCs/>
          <w:highlight w:val="none"/>
        </w:rPr>
        <w:fldChar w:fldCharType="separate"/>
      </w:r>
      <w:r>
        <w:rPr>
          <w:rFonts w:hint="default" w:ascii="Times New Roman" w:hAnsi="Times New Roman" w:cs="Times New Roman"/>
          <w:bCs/>
          <w:kern w:val="0"/>
          <w:szCs w:val="21"/>
          <w:highlight w:val="none"/>
        </w:rPr>
        <w:t>七、质疑</w:t>
      </w:r>
      <w:r>
        <w:tab/>
      </w:r>
      <w:r>
        <w:fldChar w:fldCharType="begin"/>
      </w:r>
      <w:r>
        <w:instrText xml:space="preserve"> PAGEREF _Toc20418 \h </w:instrText>
      </w:r>
      <w:r>
        <w:fldChar w:fldCharType="separate"/>
      </w:r>
      <w:r>
        <w:t>21</w:t>
      </w:r>
      <w:r>
        <w:fldChar w:fldCharType="end"/>
      </w:r>
      <w:r>
        <w:rPr>
          <w:rFonts w:hint="default" w:ascii="Times New Roman" w:hAnsi="Times New Roman" w:cs="Times New Roman"/>
          <w:bCs/>
          <w:color w:val="auto"/>
          <w:highlight w:val="none"/>
        </w:rPr>
        <w:fldChar w:fldCharType="end"/>
      </w:r>
    </w:p>
    <w:p w14:paraId="7F4216C3">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_Toc5916 </w:instrText>
      </w:r>
      <w:r>
        <w:rPr>
          <w:rFonts w:hint="default" w:ascii="Times New Roman" w:hAnsi="Times New Roman" w:cs="Times New Roman"/>
          <w:bCs/>
          <w:highlight w:val="none"/>
        </w:rPr>
        <w:fldChar w:fldCharType="separate"/>
      </w:r>
      <w:r>
        <w:rPr>
          <w:rFonts w:hint="default" w:ascii="Times New Roman" w:hAnsi="Times New Roman" w:eastAsia="宋体" w:cs="Times New Roman"/>
          <w:bCs/>
          <w:szCs w:val="21"/>
          <w:highlight w:val="none"/>
        </w:rPr>
        <w:t>30、质疑</w:t>
      </w:r>
      <w:r>
        <w:tab/>
      </w:r>
      <w:r>
        <w:fldChar w:fldCharType="begin"/>
      </w:r>
      <w:r>
        <w:instrText xml:space="preserve"> PAGEREF _Toc5916 \h </w:instrText>
      </w:r>
      <w:r>
        <w:fldChar w:fldCharType="separate"/>
      </w:r>
      <w:r>
        <w:t>21</w:t>
      </w:r>
      <w:r>
        <w:fldChar w:fldCharType="end"/>
      </w:r>
      <w:r>
        <w:rPr>
          <w:rFonts w:hint="default" w:ascii="Times New Roman" w:hAnsi="Times New Roman" w:cs="Times New Roman"/>
          <w:bCs/>
          <w:color w:val="auto"/>
          <w:highlight w:val="none"/>
        </w:rPr>
        <w:fldChar w:fldCharType="end"/>
      </w:r>
    </w:p>
    <w:p w14:paraId="733FA549">
      <w:pPr>
        <w:pStyle w:val="34"/>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_Toc16655 </w:instrText>
      </w:r>
      <w:r>
        <w:rPr>
          <w:rFonts w:hint="default" w:ascii="Times New Roman" w:hAnsi="Times New Roman" w:cs="Times New Roman"/>
          <w:bCs/>
          <w:highlight w:val="none"/>
        </w:rPr>
        <w:fldChar w:fldCharType="separate"/>
      </w:r>
      <w:r>
        <w:rPr>
          <w:rFonts w:hint="default" w:ascii="Times New Roman" w:hAnsi="Times New Roman" w:cs="Times New Roman"/>
          <w:szCs w:val="28"/>
          <w:highlight w:val="none"/>
        </w:rPr>
        <w:t>第三章 评标标准</w:t>
      </w:r>
      <w:r>
        <w:tab/>
      </w:r>
      <w:r>
        <w:fldChar w:fldCharType="begin"/>
      </w:r>
      <w:r>
        <w:instrText xml:space="preserve"> PAGEREF _Toc16655 \h </w:instrText>
      </w:r>
      <w:r>
        <w:fldChar w:fldCharType="separate"/>
      </w:r>
      <w:r>
        <w:t>23</w:t>
      </w:r>
      <w:r>
        <w:fldChar w:fldCharType="end"/>
      </w:r>
      <w:r>
        <w:rPr>
          <w:rFonts w:hint="default" w:ascii="Times New Roman" w:hAnsi="Times New Roman" w:cs="Times New Roman"/>
          <w:bCs/>
          <w:color w:val="auto"/>
          <w:highlight w:val="none"/>
        </w:rPr>
        <w:fldChar w:fldCharType="end"/>
      </w:r>
    </w:p>
    <w:p w14:paraId="10111BE6">
      <w:pPr>
        <w:pStyle w:val="34"/>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_Toc17249 </w:instrText>
      </w:r>
      <w:r>
        <w:rPr>
          <w:rFonts w:hint="default" w:ascii="Times New Roman" w:hAnsi="Times New Roman" w:cs="Times New Roman"/>
          <w:bCs/>
          <w:highlight w:val="none"/>
        </w:rPr>
        <w:fldChar w:fldCharType="separate"/>
      </w:r>
      <w:r>
        <w:rPr>
          <w:rFonts w:hint="default" w:ascii="Times New Roman" w:hAnsi="Times New Roman" w:cs="Times New Roman"/>
          <w:szCs w:val="28"/>
          <w:highlight w:val="none"/>
        </w:rPr>
        <w:t>第四章 招标技术规格及要求</w:t>
      </w:r>
      <w:r>
        <w:tab/>
      </w:r>
      <w:r>
        <w:fldChar w:fldCharType="begin"/>
      </w:r>
      <w:r>
        <w:instrText xml:space="preserve"> PAGEREF _Toc17249 \h </w:instrText>
      </w:r>
      <w:r>
        <w:fldChar w:fldCharType="separate"/>
      </w:r>
      <w:r>
        <w:t>25</w:t>
      </w:r>
      <w:r>
        <w:fldChar w:fldCharType="end"/>
      </w:r>
      <w:r>
        <w:rPr>
          <w:rFonts w:hint="default" w:ascii="Times New Roman" w:hAnsi="Times New Roman" w:cs="Times New Roman"/>
          <w:bCs/>
          <w:color w:val="auto"/>
          <w:highlight w:val="none"/>
        </w:rPr>
        <w:fldChar w:fldCharType="end"/>
      </w:r>
    </w:p>
    <w:p w14:paraId="1DFF8A77">
      <w:pPr>
        <w:pStyle w:val="34"/>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_Toc31583 </w:instrText>
      </w:r>
      <w:r>
        <w:rPr>
          <w:rFonts w:hint="default" w:ascii="Times New Roman" w:hAnsi="Times New Roman" w:cs="Times New Roman"/>
          <w:bCs/>
          <w:highlight w:val="none"/>
        </w:rPr>
        <w:fldChar w:fldCharType="separate"/>
      </w:r>
      <w:r>
        <w:rPr>
          <w:rFonts w:hint="default" w:ascii="Times New Roman" w:hAnsi="Times New Roman" w:cs="Times New Roman"/>
          <w:szCs w:val="28"/>
          <w:highlight w:val="none"/>
        </w:rPr>
        <w:t>第五章 拟签订的合同文本</w:t>
      </w:r>
      <w:r>
        <w:tab/>
      </w:r>
      <w:r>
        <w:fldChar w:fldCharType="begin"/>
      </w:r>
      <w:r>
        <w:instrText xml:space="preserve"> PAGEREF _Toc31583 \h </w:instrText>
      </w:r>
      <w:r>
        <w:fldChar w:fldCharType="separate"/>
      </w:r>
      <w:r>
        <w:t>29</w:t>
      </w:r>
      <w:r>
        <w:fldChar w:fldCharType="end"/>
      </w:r>
      <w:r>
        <w:rPr>
          <w:rFonts w:hint="default" w:ascii="Times New Roman" w:hAnsi="Times New Roman" w:cs="Times New Roman"/>
          <w:bCs/>
          <w:color w:val="auto"/>
          <w:highlight w:val="none"/>
        </w:rPr>
        <w:fldChar w:fldCharType="end"/>
      </w:r>
    </w:p>
    <w:p w14:paraId="796D6231">
      <w:pPr>
        <w:pStyle w:val="34"/>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_Toc6197 </w:instrText>
      </w:r>
      <w:r>
        <w:rPr>
          <w:rFonts w:hint="default" w:ascii="Times New Roman" w:hAnsi="Times New Roman" w:cs="Times New Roman"/>
          <w:bCs/>
          <w:highlight w:val="none"/>
        </w:rPr>
        <w:fldChar w:fldCharType="separate"/>
      </w:r>
      <w:r>
        <w:rPr>
          <w:rFonts w:hint="default" w:ascii="Times New Roman" w:hAnsi="Times New Roman" w:cs="Times New Roman"/>
          <w:szCs w:val="28"/>
          <w:highlight w:val="none"/>
        </w:rPr>
        <w:t>第六章 投标文件格式及附件</w:t>
      </w:r>
      <w:r>
        <w:tab/>
      </w:r>
      <w:r>
        <w:fldChar w:fldCharType="begin"/>
      </w:r>
      <w:r>
        <w:instrText xml:space="preserve"> PAGEREF _Toc6197 \h </w:instrText>
      </w:r>
      <w:r>
        <w:fldChar w:fldCharType="separate"/>
      </w:r>
      <w:r>
        <w:t>35</w:t>
      </w:r>
      <w:r>
        <w:fldChar w:fldCharType="end"/>
      </w:r>
      <w:r>
        <w:rPr>
          <w:rFonts w:hint="default" w:ascii="Times New Roman" w:hAnsi="Times New Roman" w:cs="Times New Roman"/>
          <w:bCs/>
          <w:color w:val="auto"/>
          <w:highlight w:val="none"/>
        </w:rPr>
        <w:fldChar w:fldCharType="end"/>
      </w:r>
    </w:p>
    <w:p w14:paraId="572F504D">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_Toc11822 </w:instrText>
      </w:r>
      <w:r>
        <w:rPr>
          <w:rFonts w:hint="default" w:ascii="Times New Roman" w:hAnsi="Times New Roman" w:cs="Times New Roman"/>
          <w:bCs/>
          <w:highlight w:val="none"/>
        </w:rPr>
        <w:fldChar w:fldCharType="separate"/>
      </w:r>
      <w:r>
        <w:rPr>
          <w:rFonts w:hint="default" w:ascii="Times New Roman" w:hAnsi="Times New Roman" w:eastAsia="宋体" w:cs="Times New Roman"/>
          <w:szCs w:val="28"/>
          <w:highlight w:val="none"/>
        </w:rPr>
        <w:t>资格审查索引表</w:t>
      </w:r>
      <w:r>
        <w:tab/>
      </w:r>
      <w:r>
        <w:fldChar w:fldCharType="begin"/>
      </w:r>
      <w:r>
        <w:instrText xml:space="preserve"> PAGEREF _Toc11822 \h </w:instrText>
      </w:r>
      <w:r>
        <w:fldChar w:fldCharType="separate"/>
      </w:r>
      <w:r>
        <w:t>37</w:t>
      </w:r>
      <w:r>
        <w:fldChar w:fldCharType="end"/>
      </w:r>
      <w:r>
        <w:rPr>
          <w:rFonts w:hint="default" w:ascii="Times New Roman" w:hAnsi="Times New Roman" w:cs="Times New Roman"/>
          <w:bCs/>
          <w:color w:val="auto"/>
          <w:highlight w:val="none"/>
        </w:rPr>
        <w:fldChar w:fldCharType="end"/>
      </w:r>
    </w:p>
    <w:p w14:paraId="17C15673">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_Toc13830 </w:instrText>
      </w:r>
      <w:r>
        <w:rPr>
          <w:rFonts w:hint="default" w:ascii="Times New Roman" w:hAnsi="Times New Roman" w:cs="Times New Roman"/>
          <w:bCs/>
          <w:highlight w:val="none"/>
        </w:rPr>
        <w:fldChar w:fldCharType="separate"/>
      </w:r>
      <w:r>
        <w:rPr>
          <w:rFonts w:hint="default" w:ascii="Times New Roman" w:hAnsi="Times New Roman" w:eastAsia="宋体" w:cs="Times New Roman"/>
          <w:szCs w:val="28"/>
          <w:highlight w:val="none"/>
        </w:rPr>
        <w:t>评审索引表</w:t>
      </w:r>
      <w:r>
        <w:tab/>
      </w:r>
      <w:r>
        <w:fldChar w:fldCharType="begin"/>
      </w:r>
      <w:r>
        <w:instrText xml:space="preserve"> PAGEREF _Toc13830 \h </w:instrText>
      </w:r>
      <w:r>
        <w:fldChar w:fldCharType="separate"/>
      </w:r>
      <w:r>
        <w:t>38</w:t>
      </w:r>
      <w:r>
        <w:fldChar w:fldCharType="end"/>
      </w:r>
      <w:r>
        <w:rPr>
          <w:rFonts w:hint="default" w:ascii="Times New Roman" w:hAnsi="Times New Roman" w:cs="Times New Roman"/>
          <w:bCs/>
          <w:color w:val="auto"/>
          <w:highlight w:val="none"/>
        </w:rPr>
        <w:fldChar w:fldCharType="end"/>
      </w:r>
    </w:p>
    <w:p w14:paraId="32085A06">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_Toc21415 </w:instrText>
      </w:r>
      <w:r>
        <w:rPr>
          <w:rFonts w:hint="default" w:ascii="Times New Roman" w:hAnsi="Times New Roman" w:cs="Times New Roman"/>
          <w:bCs/>
          <w:highlight w:val="none"/>
        </w:rPr>
        <w:fldChar w:fldCharType="separate"/>
      </w:r>
      <w:r>
        <w:rPr>
          <w:rFonts w:hint="default" w:ascii="Times New Roman" w:hAnsi="Times New Roman" w:cs="Times New Roman"/>
          <w:bCs/>
          <w:highlight w:val="none"/>
        </w:rPr>
        <w:t>附件一 投标函格式</w:t>
      </w:r>
      <w:bookmarkStart w:id="278" w:name="_GoBack"/>
      <w:bookmarkEnd w:id="278"/>
      <w:r>
        <w:tab/>
      </w:r>
      <w:r>
        <w:fldChar w:fldCharType="begin"/>
      </w:r>
      <w:r>
        <w:instrText xml:space="preserve"> PAGEREF _Toc21415 \h </w:instrText>
      </w:r>
      <w:r>
        <w:fldChar w:fldCharType="separate"/>
      </w:r>
      <w:r>
        <w:t>39</w:t>
      </w:r>
      <w:r>
        <w:fldChar w:fldCharType="end"/>
      </w:r>
      <w:r>
        <w:rPr>
          <w:rFonts w:hint="default" w:ascii="Times New Roman" w:hAnsi="Times New Roman" w:cs="Times New Roman"/>
          <w:bCs/>
          <w:color w:val="auto"/>
          <w:highlight w:val="none"/>
        </w:rPr>
        <w:fldChar w:fldCharType="end"/>
      </w:r>
    </w:p>
    <w:p w14:paraId="7B84A36D">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_Toc25589 </w:instrText>
      </w:r>
      <w:r>
        <w:rPr>
          <w:rFonts w:hint="default" w:ascii="Times New Roman" w:hAnsi="Times New Roman" w:cs="Times New Roman"/>
          <w:bCs/>
          <w:highlight w:val="none"/>
        </w:rPr>
        <w:fldChar w:fldCharType="separate"/>
      </w:r>
      <w:r>
        <w:rPr>
          <w:rFonts w:hint="default" w:ascii="Times New Roman" w:hAnsi="Times New Roman" w:cs="Times New Roman"/>
          <w:bCs/>
          <w:szCs w:val="22"/>
          <w:highlight w:val="none"/>
        </w:rPr>
        <w:t>附件二 开标一览表</w:t>
      </w:r>
      <w:r>
        <w:tab/>
      </w:r>
      <w:r>
        <w:fldChar w:fldCharType="begin"/>
      </w:r>
      <w:r>
        <w:instrText xml:space="preserve"> PAGEREF _Toc25589 \h </w:instrText>
      </w:r>
      <w:r>
        <w:fldChar w:fldCharType="separate"/>
      </w:r>
      <w:r>
        <w:t>40</w:t>
      </w:r>
      <w:r>
        <w:fldChar w:fldCharType="end"/>
      </w:r>
      <w:r>
        <w:rPr>
          <w:rFonts w:hint="default" w:ascii="Times New Roman" w:hAnsi="Times New Roman" w:cs="Times New Roman"/>
          <w:bCs/>
          <w:color w:val="auto"/>
          <w:highlight w:val="none"/>
        </w:rPr>
        <w:fldChar w:fldCharType="end"/>
      </w:r>
    </w:p>
    <w:p w14:paraId="6BEBED0D">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_Toc7528 </w:instrText>
      </w:r>
      <w:r>
        <w:rPr>
          <w:rFonts w:hint="default" w:ascii="Times New Roman" w:hAnsi="Times New Roman" w:cs="Times New Roman"/>
          <w:bCs/>
          <w:highlight w:val="none"/>
        </w:rPr>
        <w:fldChar w:fldCharType="separate"/>
      </w:r>
      <w:r>
        <w:rPr>
          <w:rFonts w:hint="default" w:ascii="Times New Roman" w:hAnsi="Times New Roman" w:cs="Times New Roman"/>
          <w:bCs/>
          <w:szCs w:val="22"/>
          <w:highlight w:val="none"/>
        </w:rPr>
        <w:t>附件三 分项报价表</w:t>
      </w:r>
      <w:r>
        <w:tab/>
      </w:r>
      <w:r>
        <w:fldChar w:fldCharType="begin"/>
      </w:r>
      <w:r>
        <w:instrText xml:space="preserve"> PAGEREF _Toc7528 \h </w:instrText>
      </w:r>
      <w:r>
        <w:fldChar w:fldCharType="separate"/>
      </w:r>
      <w:r>
        <w:t>41</w:t>
      </w:r>
      <w:r>
        <w:fldChar w:fldCharType="end"/>
      </w:r>
      <w:r>
        <w:rPr>
          <w:rFonts w:hint="default" w:ascii="Times New Roman" w:hAnsi="Times New Roman" w:cs="Times New Roman"/>
          <w:bCs/>
          <w:color w:val="auto"/>
          <w:highlight w:val="none"/>
        </w:rPr>
        <w:fldChar w:fldCharType="end"/>
      </w:r>
    </w:p>
    <w:p w14:paraId="38DCC0ED">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_Toc40 </w:instrText>
      </w:r>
      <w:r>
        <w:rPr>
          <w:rFonts w:hint="default" w:ascii="Times New Roman" w:hAnsi="Times New Roman" w:cs="Times New Roman"/>
          <w:bCs/>
          <w:highlight w:val="none"/>
        </w:rPr>
        <w:fldChar w:fldCharType="separate"/>
      </w:r>
      <w:r>
        <w:rPr>
          <w:rFonts w:hint="default" w:ascii="Times New Roman" w:hAnsi="Times New Roman" w:cs="Times New Roman"/>
          <w:bCs/>
          <w:szCs w:val="22"/>
          <w:highlight w:val="none"/>
        </w:rPr>
        <w:t>附件四 商务条款偏离表</w:t>
      </w:r>
      <w:r>
        <w:tab/>
      </w:r>
      <w:r>
        <w:fldChar w:fldCharType="begin"/>
      </w:r>
      <w:r>
        <w:instrText xml:space="preserve"> PAGEREF _Toc40 \h </w:instrText>
      </w:r>
      <w:r>
        <w:fldChar w:fldCharType="separate"/>
      </w:r>
      <w:r>
        <w:t>42</w:t>
      </w:r>
      <w:r>
        <w:fldChar w:fldCharType="end"/>
      </w:r>
      <w:r>
        <w:rPr>
          <w:rFonts w:hint="default" w:ascii="Times New Roman" w:hAnsi="Times New Roman" w:cs="Times New Roman"/>
          <w:bCs/>
          <w:color w:val="auto"/>
          <w:highlight w:val="none"/>
        </w:rPr>
        <w:fldChar w:fldCharType="end"/>
      </w:r>
    </w:p>
    <w:p w14:paraId="4507D673">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_Toc20 </w:instrText>
      </w:r>
      <w:r>
        <w:rPr>
          <w:rFonts w:hint="default" w:ascii="Times New Roman" w:hAnsi="Times New Roman" w:cs="Times New Roman"/>
          <w:bCs/>
          <w:highlight w:val="none"/>
        </w:rPr>
        <w:fldChar w:fldCharType="separate"/>
      </w:r>
      <w:r>
        <w:rPr>
          <w:rFonts w:hint="default" w:ascii="Times New Roman" w:hAnsi="Times New Roman" w:cs="Times New Roman"/>
          <w:bCs/>
          <w:szCs w:val="22"/>
          <w:highlight w:val="none"/>
        </w:rPr>
        <w:t>附件五 技术条款偏离表</w:t>
      </w:r>
      <w:r>
        <w:tab/>
      </w:r>
      <w:r>
        <w:fldChar w:fldCharType="begin"/>
      </w:r>
      <w:r>
        <w:instrText xml:space="preserve"> PAGEREF _Toc20 \h </w:instrText>
      </w:r>
      <w:r>
        <w:fldChar w:fldCharType="separate"/>
      </w:r>
      <w:r>
        <w:t>43</w:t>
      </w:r>
      <w:r>
        <w:fldChar w:fldCharType="end"/>
      </w:r>
      <w:r>
        <w:rPr>
          <w:rFonts w:hint="default" w:ascii="Times New Roman" w:hAnsi="Times New Roman" w:cs="Times New Roman"/>
          <w:bCs/>
          <w:color w:val="auto"/>
          <w:highlight w:val="none"/>
        </w:rPr>
        <w:fldChar w:fldCharType="end"/>
      </w:r>
    </w:p>
    <w:p w14:paraId="066A07D2">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_Toc18298 </w:instrText>
      </w:r>
      <w:r>
        <w:rPr>
          <w:rFonts w:hint="default" w:ascii="Times New Roman" w:hAnsi="Times New Roman" w:cs="Times New Roman"/>
          <w:bCs/>
          <w:highlight w:val="none"/>
        </w:rPr>
        <w:fldChar w:fldCharType="separate"/>
      </w:r>
      <w:r>
        <w:rPr>
          <w:rFonts w:hint="default" w:ascii="Times New Roman" w:hAnsi="Times New Roman" w:cs="Times New Roman"/>
          <w:bCs/>
          <w:szCs w:val="22"/>
          <w:highlight w:val="none"/>
          <w:lang w:val="zh-CN"/>
        </w:rPr>
        <w:t>附件</w:t>
      </w:r>
      <w:r>
        <w:rPr>
          <w:rFonts w:hint="eastAsia" w:cs="Times New Roman"/>
          <w:bCs/>
          <w:szCs w:val="22"/>
          <w:highlight w:val="none"/>
          <w:lang w:val="en-US" w:eastAsia="zh-CN"/>
        </w:rPr>
        <w:t>六</w:t>
      </w:r>
      <w:r>
        <w:rPr>
          <w:rFonts w:hint="default" w:ascii="Times New Roman" w:hAnsi="Times New Roman" w:cs="Times New Roman"/>
          <w:bCs/>
          <w:szCs w:val="22"/>
          <w:highlight w:val="none"/>
        </w:rPr>
        <w:t xml:space="preserve"> </w:t>
      </w:r>
      <w:r>
        <w:rPr>
          <w:rFonts w:hint="default" w:ascii="Times New Roman" w:hAnsi="Times New Roman" w:cs="Times New Roman"/>
          <w:bCs/>
          <w:szCs w:val="22"/>
          <w:highlight w:val="none"/>
          <w:lang w:val="zh-CN"/>
        </w:rPr>
        <w:t>供应商基本情况表</w:t>
      </w:r>
      <w:r>
        <w:tab/>
      </w:r>
      <w:r>
        <w:fldChar w:fldCharType="begin"/>
      </w:r>
      <w:r>
        <w:instrText xml:space="preserve"> PAGEREF _Toc18298 \h </w:instrText>
      </w:r>
      <w:r>
        <w:fldChar w:fldCharType="separate"/>
      </w:r>
      <w:r>
        <w:t>44</w:t>
      </w:r>
      <w:r>
        <w:fldChar w:fldCharType="end"/>
      </w:r>
      <w:r>
        <w:rPr>
          <w:rFonts w:hint="default" w:ascii="Times New Roman" w:hAnsi="Times New Roman" w:cs="Times New Roman"/>
          <w:bCs/>
          <w:color w:val="auto"/>
          <w:highlight w:val="none"/>
        </w:rPr>
        <w:fldChar w:fldCharType="end"/>
      </w:r>
    </w:p>
    <w:p w14:paraId="14921C89">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_Toc7350 </w:instrText>
      </w:r>
      <w:r>
        <w:rPr>
          <w:rFonts w:hint="default" w:ascii="Times New Roman" w:hAnsi="Times New Roman" w:cs="Times New Roman"/>
          <w:bCs/>
          <w:highlight w:val="none"/>
        </w:rPr>
        <w:fldChar w:fldCharType="separate"/>
      </w:r>
      <w:r>
        <w:rPr>
          <w:rFonts w:hint="default" w:ascii="Times New Roman" w:hAnsi="Times New Roman" w:cs="Times New Roman"/>
          <w:bCs/>
          <w:szCs w:val="22"/>
          <w:highlight w:val="none"/>
          <w:lang w:val="zh-CN"/>
        </w:rPr>
        <w:t>附件</w:t>
      </w:r>
      <w:r>
        <w:rPr>
          <w:rFonts w:hint="eastAsia" w:cs="Times New Roman"/>
          <w:bCs/>
          <w:szCs w:val="22"/>
          <w:highlight w:val="none"/>
          <w:lang w:val="en-US" w:eastAsia="zh-CN"/>
        </w:rPr>
        <w:t>七</w:t>
      </w:r>
      <w:r>
        <w:rPr>
          <w:rFonts w:hint="default" w:ascii="Times New Roman" w:hAnsi="Times New Roman" w:cs="Times New Roman"/>
          <w:bCs/>
          <w:szCs w:val="22"/>
          <w:highlight w:val="none"/>
        </w:rPr>
        <w:t xml:space="preserve"> </w:t>
      </w:r>
      <w:r>
        <w:rPr>
          <w:rFonts w:hint="default" w:ascii="Times New Roman" w:hAnsi="Times New Roman" w:cs="Times New Roman"/>
          <w:bCs/>
          <w:szCs w:val="22"/>
          <w:highlight w:val="none"/>
          <w:lang w:val="zh-CN"/>
        </w:rPr>
        <w:t>投标保证金交纳相关证明材料（如有）</w:t>
      </w:r>
      <w:r>
        <w:tab/>
      </w:r>
      <w:r>
        <w:fldChar w:fldCharType="begin"/>
      </w:r>
      <w:r>
        <w:instrText xml:space="preserve"> PAGEREF _Toc7350 \h </w:instrText>
      </w:r>
      <w:r>
        <w:fldChar w:fldCharType="separate"/>
      </w:r>
      <w:r>
        <w:t>45</w:t>
      </w:r>
      <w:r>
        <w:fldChar w:fldCharType="end"/>
      </w:r>
      <w:r>
        <w:rPr>
          <w:rFonts w:hint="default" w:ascii="Times New Roman" w:hAnsi="Times New Roman" w:cs="Times New Roman"/>
          <w:bCs/>
          <w:color w:val="auto"/>
          <w:highlight w:val="none"/>
        </w:rPr>
        <w:fldChar w:fldCharType="end"/>
      </w:r>
    </w:p>
    <w:p w14:paraId="15C36028">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_Toc22507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lang w:val="zh-CN"/>
        </w:rPr>
        <w:t>（一）投标保证金付款凭证复印件</w:t>
      </w:r>
      <w:r>
        <w:tab/>
      </w:r>
      <w:r>
        <w:fldChar w:fldCharType="begin"/>
      </w:r>
      <w:r>
        <w:instrText xml:space="preserve"> PAGEREF _Toc22507 \h </w:instrText>
      </w:r>
      <w:r>
        <w:fldChar w:fldCharType="separate"/>
      </w:r>
      <w:r>
        <w:t>45</w:t>
      </w:r>
      <w:r>
        <w:fldChar w:fldCharType="end"/>
      </w:r>
      <w:r>
        <w:rPr>
          <w:rFonts w:hint="default" w:ascii="Times New Roman" w:hAnsi="Times New Roman" w:cs="Times New Roman"/>
          <w:bCs/>
          <w:color w:val="auto"/>
          <w:highlight w:val="none"/>
        </w:rPr>
        <w:fldChar w:fldCharType="end"/>
      </w:r>
    </w:p>
    <w:p w14:paraId="466FE2D9">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_Toc32262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lang w:val="zh-CN"/>
        </w:rPr>
        <w:t>（二）投标保证金转账退还信息函</w:t>
      </w:r>
      <w:r>
        <w:tab/>
      </w:r>
      <w:r>
        <w:fldChar w:fldCharType="begin"/>
      </w:r>
      <w:r>
        <w:instrText xml:space="preserve"> PAGEREF _Toc32262 \h </w:instrText>
      </w:r>
      <w:r>
        <w:fldChar w:fldCharType="separate"/>
      </w:r>
      <w:r>
        <w:t>45</w:t>
      </w:r>
      <w:r>
        <w:fldChar w:fldCharType="end"/>
      </w:r>
      <w:r>
        <w:rPr>
          <w:rFonts w:hint="default" w:ascii="Times New Roman" w:hAnsi="Times New Roman" w:cs="Times New Roman"/>
          <w:bCs/>
          <w:color w:val="auto"/>
          <w:highlight w:val="none"/>
        </w:rPr>
        <w:fldChar w:fldCharType="end"/>
      </w:r>
    </w:p>
    <w:p w14:paraId="5C256192">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_Toc11062 </w:instrText>
      </w:r>
      <w:r>
        <w:rPr>
          <w:rFonts w:hint="default" w:ascii="Times New Roman" w:hAnsi="Times New Roman" w:cs="Times New Roman"/>
          <w:bCs/>
          <w:highlight w:val="none"/>
        </w:rPr>
        <w:fldChar w:fldCharType="separate"/>
      </w:r>
      <w:r>
        <w:rPr>
          <w:rFonts w:hint="default" w:ascii="Times New Roman" w:hAnsi="Times New Roman" w:cs="Times New Roman"/>
          <w:bCs/>
          <w:szCs w:val="22"/>
          <w:highlight w:val="none"/>
          <w:lang w:val="zh-CN"/>
        </w:rPr>
        <w:t>附件</w:t>
      </w:r>
      <w:r>
        <w:rPr>
          <w:rFonts w:hint="eastAsia" w:cs="Times New Roman"/>
          <w:bCs/>
          <w:szCs w:val="22"/>
          <w:highlight w:val="none"/>
          <w:lang w:val="en-US" w:eastAsia="zh-CN"/>
        </w:rPr>
        <w:t>八</w:t>
      </w:r>
      <w:r>
        <w:rPr>
          <w:rFonts w:hint="default" w:ascii="Times New Roman" w:hAnsi="Times New Roman" w:cs="Times New Roman"/>
          <w:bCs/>
          <w:szCs w:val="22"/>
          <w:highlight w:val="none"/>
          <w:lang w:val="zh-CN"/>
        </w:rPr>
        <w:t xml:space="preserve"> 资格证明文件</w:t>
      </w:r>
      <w:r>
        <w:tab/>
      </w:r>
      <w:r>
        <w:fldChar w:fldCharType="begin"/>
      </w:r>
      <w:r>
        <w:instrText xml:space="preserve"> PAGEREF _Toc11062 \h </w:instrText>
      </w:r>
      <w:r>
        <w:fldChar w:fldCharType="separate"/>
      </w:r>
      <w:r>
        <w:t>46</w:t>
      </w:r>
      <w:r>
        <w:fldChar w:fldCharType="end"/>
      </w:r>
      <w:r>
        <w:rPr>
          <w:rFonts w:hint="default" w:ascii="Times New Roman" w:hAnsi="Times New Roman" w:cs="Times New Roman"/>
          <w:bCs/>
          <w:color w:val="auto"/>
          <w:highlight w:val="none"/>
        </w:rPr>
        <w:fldChar w:fldCharType="end"/>
      </w:r>
    </w:p>
    <w:p w14:paraId="48F85574">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_Toc4365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lang w:val="zh-CN"/>
        </w:rPr>
        <w:t>1、法人或其他组织的营业执照等证明文件（复印件加盖公章）</w:t>
      </w:r>
      <w:r>
        <w:tab/>
      </w:r>
      <w:r>
        <w:fldChar w:fldCharType="begin"/>
      </w:r>
      <w:r>
        <w:instrText xml:space="preserve"> PAGEREF _Toc4365 \h </w:instrText>
      </w:r>
      <w:r>
        <w:fldChar w:fldCharType="separate"/>
      </w:r>
      <w:r>
        <w:t>46</w:t>
      </w:r>
      <w:r>
        <w:fldChar w:fldCharType="end"/>
      </w:r>
      <w:r>
        <w:rPr>
          <w:rFonts w:hint="default" w:ascii="Times New Roman" w:hAnsi="Times New Roman" w:cs="Times New Roman"/>
          <w:bCs/>
          <w:color w:val="auto"/>
          <w:highlight w:val="none"/>
        </w:rPr>
        <w:fldChar w:fldCharType="end"/>
      </w:r>
    </w:p>
    <w:p w14:paraId="7E1D991A">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_Toc29565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lang w:val="zh-CN"/>
        </w:rPr>
        <w:t>2、法人代表授权书</w:t>
      </w:r>
      <w:r>
        <w:tab/>
      </w:r>
      <w:r>
        <w:fldChar w:fldCharType="begin"/>
      </w:r>
      <w:r>
        <w:instrText xml:space="preserve"> PAGEREF _Toc29565 \h </w:instrText>
      </w:r>
      <w:r>
        <w:fldChar w:fldCharType="separate"/>
      </w:r>
      <w:r>
        <w:t>47</w:t>
      </w:r>
      <w:r>
        <w:fldChar w:fldCharType="end"/>
      </w:r>
      <w:r>
        <w:rPr>
          <w:rFonts w:hint="default" w:ascii="Times New Roman" w:hAnsi="Times New Roman" w:cs="Times New Roman"/>
          <w:bCs/>
          <w:color w:val="auto"/>
          <w:highlight w:val="none"/>
        </w:rPr>
        <w:fldChar w:fldCharType="end"/>
      </w:r>
    </w:p>
    <w:p w14:paraId="608706FF">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_Toc15298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rPr>
        <w:t>3</w:t>
      </w:r>
      <w:r>
        <w:rPr>
          <w:rFonts w:hint="default" w:ascii="Times New Roman" w:hAnsi="Times New Roman" w:cs="Times New Roman"/>
          <w:bCs/>
          <w:szCs w:val="21"/>
          <w:highlight w:val="none"/>
          <w:lang w:val="zh-CN"/>
        </w:rPr>
        <w:t>、制造商授权书（如需）</w:t>
      </w:r>
      <w:r>
        <w:tab/>
      </w:r>
      <w:r>
        <w:fldChar w:fldCharType="begin"/>
      </w:r>
      <w:r>
        <w:instrText xml:space="preserve"> PAGEREF _Toc15298 \h </w:instrText>
      </w:r>
      <w:r>
        <w:fldChar w:fldCharType="separate"/>
      </w:r>
      <w:r>
        <w:t>48</w:t>
      </w:r>
      <w:r>
        <w:fldChar w:fldCharType="end"/>
      </w:r>
      <w:r>
        <w:rPr>
          <w:rFonts w:hint="default" w:ascii="Times New Roman" w:hAnsi="Times New Roman" w:cs="Times New Roman"/>
          <w:bCs/>
          <w:color w:val="auto"/>
          <w:highlight w:val="none"/>
        </w:rPr>
        <w:fldChar w:fldCharType="end"/>
      </w:r>
    </w:p>
    <w:p w14:paraId="1DA0C127">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_Toc20968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rPr>
        <w:t>4</w:t>
      </w:r>
      <w:r>
        <w:rPr>
          <w:rFonts w:hint="default" w:ascii="Times New Roman" w:hAnsi="Times New Roman" w:cs="Times New Roman"/>
          <w:bCs/>
          <w:szCs w:val="21"/>
          <w:highlight w:val="none"/>
          <w:lang w:val="zh-CN"/>
        </w:rPr>
        <w:t>、具有良好的商业信誉和健全的财务会计制度</w:t>
      </w:r>
      <w:r>
        <w:tab/>
      </w:r>
      <w:r>
        <w:fldChar w:fldCharType="begin"/>
      </w:r>
      <w:r>
        <w:instrText xml:space="preserve"> PAGEREF _Toc20968 \h </w:instrText>
      </w:r>
      <w:r>
        <w:fldChar w:fldCharType="separate"/>
      </w:r>
      <w:r>
        <w:t>49</w:t>
      </w:r>
      <w:r>
        <w:fldChar w:fldCharType="end"/>
      </w:r>
      <w:r>
        <w:rPr>
          <w:rFonts w:hint="default" w:ascii="Times New Roman" w:hAnsi="Times New Roman" w:cs="Times New Roman"/>
          <w:bCs/>
          <w:color w:val="auto"/>
          <w:highlight w:val="none"/>
        </w:rPr>
        <w:fldChar w:fldCharType="end"/>
      </w:r>
    </w:p>
    <w:p w14:paraId="5618A64E">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_Toc18822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rPr>
        <w:t>5、</w:t>
      </w:r>
      <w:r>
        <w:rPr>
          <w:rFonts w:hint="default" w:ascii="Times New Roman" w:hAnsi="Times New Roman" w:cs="Times New Roman"/>
          <w:bCs/>
          <w:szCs w:val="21"/>
          <w:highlight w:val="none"/>
          <w:lang w:val="zh-CN"/>
        </w:rPr>
        <w:t>具有履行合同所必需的设备和专业技术能力</w:t>
      </w:r>
      <w:r>
        <w:tab/>
      </w:r>
      <w:r>
        <w:fldChar w:fldCharType="begin"/>
      </w:r>
      <w:r>
        <w:instrText xml:space="preserve"> PAGEREF _Toc18822 \h </w:instrText>
      </w:r>
      <w:r>
        <w:fldChar w:fldCharType="separate"/>
      </w:r>
      <w:r>
        <w:t>50</w:t>
      </w:r>
      <w:r>
        <w:fldChar w:fldCharType="end"/>
      </w:r>
      <w:r>
        <w:rPr>
          <w:rFonts w:hint="default" w:ascii="Times New Roman" w:hAnsi="Times New Roman" w:cs="Times New Roman"/>
          <w:bCs/>
          <w:color w:val="auto"/>
          <w:highlight w:val="none"/>
        </w:rPr>
        <w:fldChar w:fldCharType="end"/>
      </w:r>
    </w:p>
    <w:p w14:paraId="41798250">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_Toc24489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rPr>
        <w:t>6、参加政府采购活动近三年内（成立时间不足三年的、自成立时间起），在经营活动中没有重大违法记录</w:t>
      </w:r>
      <w:r>
        <w:tab/>
      </w:r>
      <w:r>
        <w:fldChar w:fldCharType="begin"/>
      </w:r>
      <w:r>
        <w:instrText xml:space="preserve"> PAGEREF _Toc24489 \h </w:instrText>
      </w:r>
      <w:r>
        <w:fldChar w:fldCharType="separate"/>
      </w:r>
      <w:r>
        <w:t>51</w:t>
      </w:r>
      <w:r>
        <w:fldChar w:fldCharType="end"/>
      </w:r>
      <w:r>
        <w:rPr>
          <w:rFonts w:hint="default" w:ascii="Times New Roman" w:hAnsi="Times New Roman" w:cs="Times New Roman"/>
          <w:bCs/>
          <w:color w:val="auto"/>
          <w:highlight w:val="none"/>
        </w:rPr>
        <w:fldChar w:fldCharType="end"/>
      </w:r>
    </w:p>
    <w:p w14:paraId="5EB455FC">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_Toc25786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rPr>
        <w:t>7、依法缴纳税收的记录</w:t>
      </w:r>
      <w:r>
        <w:tab/>
      </w:r>
      <w:r>
        <w:fldChar w:fldCharType="begin"/>
      </w:r>
      <w:r>
        <w:instrText xml:space="preserve"> PAGEREF _Toc25786 \h </w:instrText>
      </w:r>
      <w:r>
        <w:fldChar w:fldCharType="separate"/>
      </w:r>
      <w:r>
        <w:t>52</w:t>
      </w:r>
      <w:r>
        <w:fldChar w:fldCharType="end"/>
      </w:r>
      <w:r>
        <w:rPr>
          <w:rFonts w:hint="default" w:ascii="Times New Roman" w:hAnsi="Times New Roman" w:cs="Times New Roman"/>
          <w:bCs/>
          <w:color w:val="auto"/>
          <w:highlight w:val="none"/>
        </w:rPr>
        <w:fldChar w:fldCharType="end"/>
      </w:r>
    </w:p>
    <w:p w14:paraId="5C9E96CB">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_Toc971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rPr>
        <w:t>8、依法缴纳社会保障资金的记录</w:t>
      </w:r>
      <w:r>
        <w:tab/>
      </w:r>
      <w:r>
        <w:fldChar w:fldCharType="begin"/>
      </w:r>
      <w:r>
        <w:instrText xml:space="preserve"> PAGEREF _Toc971 \h </w:instrText>
      </w:r>
      <w:r>
        <w:fldChar w:fldCharType="separate"/>
      </w:r>
      <w:r>
        <w:t>53</w:t>
      </w:r>
      <w:r>
        <w:fldChar w:fldCharType="end"/>
      </w:r>
      <w:r>
        <w:rPr>
          <w:rFonts w:hint="default" w:ascii="Times New Roman" w:hAnsi="Times New Roman" w:cs="Times New Roman"/>
          <w:bCs/>
          <w:color w:val="auto"/>
          <w:highlight w:val="none"/>
        </w:rPr>
        <w:fldChar w:fldCharType="end"/>
      </w:r>
    </w:p>
    <w:p w14:paraId="7B4F8E44">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_Toc19901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rPr>
        <w:t>9、针对本项目的特定资格要求</w:t>
      </w:r>
      <w:r>
        <w:tab/>
      </w:r>
      <w:r>
        <w:fldChar w:fldCharType="begin"/>
      </w:r>
      <w:r>
        <w:instrText xml:space="preserve"> PAGEREF _Toc19901 \h </w:instrText>
      </w:r>
      <w:r>
        <w:fldChar w:fldCharType="separate"/>
      </w:r>
      <w:r>
        <w:t>54</w:t>
      </w:r>
      <w:r>
        <w:fldChar w:fldCharType="end"/>
      </w:r>
      <w:r>
        <w:rPr>
          <w:rFonts w:hint="default" w:ascii="Times New Roman" w:hAnsi="Times New Roman" w:cs="Times New Roman"/>
          <w:bCs/>
          <w:color w:val="auto"/>
          <w:highlight w:val="none"/>
        </w:rPr>
        <w:fldChar w:fldCharType="end"/>
      </w:r>
    </w:p>
    <w:p w14:paraId="5FC57474">
      <w:pPr>
        <w:pStyle w:val="25"/>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_Toc9385 </w:instrText>
      </w:r>
      <w:r>
        <w:rPr>
          <w:rFonts w:hint="default" w:ascii="Times New Roman" w:hAnsi="Times New Roman" w:cs="Times New Roman"/>
          <w:bCs/>
          <w:highlight w:val="none"/>
        </w:rPr>
        <w:fldChar w:fldCharType="separate"/>
      </w:r>
      <w:r>
        <w:rPr>
          <w:rFonts w:hint="default" w:ascii="Times New Roman" w:hAnsi="Times New Roman" w:cs="Times New Roman"/>
          <w:bCs/>
          <w:szCs w:val="21"/>
          <w:highlight w:val="none"/>
        </w:rPr>
        <w:t>10、供应商认为其需要提供的其他资格证明文件。</w:t>
      </w:r>
      <w:r>
        <w:tab/>
      </w:r>
      <w:r>
        <w:fldChar w:fldCharType="begin"/>
      </w:r>
      <w:r>
        <w:instrText xml:space="preserve"> PAGEREF _Toc9385 \h </w:instrText>
      </w:r>
      <w:r>
        <w:fldChar w:fldCharType="separate"/>
      </w:r>
      <w:r>
        <w:t>56</w:t>
      </w:r>
      <w:r>
        <w:fldChar w:fldCharType="end"/>
      </w:r>
      <w:r>
        <w:rPr>
          <w:rFonts w:hint="default" w:ascii="Times New Roman" w:hAnsi="Times New Roman" w:cs="Times New Roman"/>
          <w:bCs/>
          <w:color w:val="auto"/>
          <w:highlight w:val="none"/>
        </w:rPr>
        <w:fldChar w:fldCharType="end"/>
      </w:r>
    </w:p>
    <w:p w14:paraId="7C51DB36">
      <w:pPr>
        <w:pStyle w:val="40"/>
        <w:tabs>
          <w:tab w:val="right" w:leader="dot" w:pos="9638"/>
        </w:tabs>
      </w:pPr>
      <w:r>
        <w:rPr>
          <w:rFonts w:hint="default" w:ascii="Times New Roman" w:hAnsi="Times New Roman" w:cs="Times New Roman"/>
          <w:bCs/>
          <w:color w:val="auto"/>
          <w:highlight w:val="none"/>
        </w:rPr>
        <w:fldChar w:fldCharType="begin"/>
      </w:r>
      <w:r>
        <w:rPr>
          <w:rFonts w:hint="default" w:ascii="Times New Roman" w:hAnsi="Times New Roman" w:cs="Times New Roman"/>
          <w:bCs/>
          <w:highlight w:val="none"/>
        </w:rPr>
        <w:instrText xml:space="preserve"> HYPERLINK \l _Toc17167 </w:instrText>
      </w:r>
      <w:r>
        <w:rPr>
          <w:rFonts w:hint="default" w:ascii="Times New Roman" w:hAnsi="Times New Roman" w:cs="Times New Roman"/>
          <w:bCs/>
          <w:highlight w:val="none"/>
        </w:rPr>
        <w:fldChar w:fldCharType="separate"/>
      </w:r>
      <w:r>
        <w:rPr>
          <w:rFonts w:hint="default" w:ascii="Times New Roman" w:hAnsi="Times New Roman" w:cs="Times New Roman"/>
          <w:bCs/>
          <w:szCs w:val="22"/>
          <w:highlight w:val="none"/>
          <w:lang w:val="zh-CN"/>
        </w:rPr>
        <w:t>附件</w:t>
      </w:r>
      <w:r>
        <w:rPr>
          <w:rFonts w:hint="eastAsia" w:cs="Times New Roman"/>
          <w:bCs/>
          <w:szCs w:val="22"/>
          <w:highlight w:val="none"/>
          <w:lang w:val="en-US" w:eastAsia="zh-CN"/>
        </w:rPr>
        <w:t>九</w:t>
      </w:r>
      <w:r>
        <w:rPr>
          <w:rFonts w:hint="default" w:ascii="Times New Roman" w:hAnsi="Times New Roman" w:cs="Times New Roman"/>
          <w:bCs/>
          <w:szCs w:val="22"/>
          <w:highlight w:val="none"/>
          <w:lang w:val="zh-CN"/>
        </w:rPr>
        <w:t xml:space="preserve"> 供应商认为需要提供的其他资料</w:t>
      </w:r>
      <w:r>
        <w:tab/>
      </w:r>
      <w:r>
        <w:fldChar w:fldCharType="begin"/>
      </w:r>
      <w:r>
        <w:instrText xml:space="preserve"> PAGEREF _Toc17167 \h </w:instrText>
      </w:r>
      <w:r>
        <w:fldChar w:fldCharType="separate"/>
      </w:r>
      <w:r>
        <w:t>57</w:t>
      </w:r>
      <w:r>
        <w:fldChar w:fldCharType="end"/>
      </w:r>
      <w:r>
        <w:rPr>
          <w:rFonts w:hint="default" w:ascii="Times New Roman" w:hAnsi="Times New Roman" w:cs="Times New Roman"/>
          <w:bCs/>
          <w:color w:val="auto"/>
          <w:highlight w:val="none"/>
        </w:rPr>
        <w:fldChar w:fldCharType="end"/>
      </w:r>
    </w:p>
    <w:p w14:paraId="4269EE7C">
      <w:pPr>
        <w:spacing w:line="440" w:lineRule="exact"/>
        <w:rPr>
          <w:rFonts w:hint="default" w:ascii="Times New Roman" w:hAnsi="Times New Roman" w:cs="Times New Roman"/>
          <w:b/>
          <w:color w:val="auto"/>
          <w:sz w:val="28"/>
          <w:szCs w:val="28"/>
          <w:highlight w:val="none"/>
        </w:rPr>
        <w:sectPr>
          <w:footerReference r:id="rId7" w:type="default"/>
          <w:pgSz w:w="11906" w:h="16838"/>
          <w:pgMar w:top="1134" w:right="1134" w:bottom="1134" w:left="1134" w:header="851" w:footer="992" w:gutter="0"/>
          <w:pgNumType w:start="1"/>
          <w:cols w:space="720" w:num="1"/>
          <w:docGrid w:type="lines" w:linePitch="312" w:charSpace="0"/>
        </w:sectPr>
      </w:pPr>
      <w:r>
        <w:rPr>
          <w:rFonts w:hint="default" w:ascii="Times New Roman" w:hAnsi="Times New Roman" w:cs="Times New Roman"/>
          <w:bCs/>
          <w:color w:val="auto"/>
          <w:highlight w:val="none"/>
        </w:rPr>
        <w:fldChar w:fldCharType="end"/>
      </w:r>
      <w:bookmarkStart w:id="0" w:name="_Toc1"/>
      <w:bookmarkStart w:id="1" w:name="_Toc9986"/>
    </w:p>
    <w:p w14:paraId="0DAE9523">
      <w:pPr>
        <w:spacing w:line="360" w:lineRule="auto"/>
        <w:jc w:val="center"/>
        <w:outlineLvl w:val="0"/>
        <w:rPr>
          <w:rFonts w:hint="default" w:ascii="Times New Roman" w:hAnsi="Times New Roman" w:cs="Times New Roman"/>
          <w:b/>
          <w:color w:val="auto"/>
          <w:sz w:val="44"/>
          <w:highlight w:val="none"/>
        </w:rPr>
      </w:pPr>
      <w:bookmarkStart w:id="2" w:name="_Toc32592"/>
      <w:r>
        <w:rPr>
          <w:rFonts w:hint="default" w:ascii="Times New Roman" w:hAnsi="Times New Roman" w:cs="Times New Roman"/>
          <w:b/>
          <w:color w:val="auto"/>
          <w:sz w:val="28"/>
          <w:szCs w:val="28"/>
          <w:highlight w:val="none"/>
        </w:rPr>
        <w:t>第一章 投标邀请（招标公告）</w:t>
      </w:r>
      <w:bookmarkEnd w:id="0"/>
      <w:bookmarkEnd w:id="1"/>
      <w:bookmarkEnd w:id="2"/>
    </w:p>
    <w:p w14:paraId="66B7A291">
      <w:pPr>
        <w:pBdr>
          <w:top w:val="single" w:color="auto" w:sz="4" w:space="1"/>
          <w:left w:val="single" w:color="auto" w:sz="4" w:space="4"/>
          <w:bottom w:val="single" w:color="auto" w:sz="4" w:space="1"/>
          <w:right w:val="single" w:color="auto" w:sz="4" w:space="4"/>
        </w:pBd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项目概况</w:t>
      </w:r>
    </w:p>
    <w:p w14:paraId="5962B1FF">
      <w:pPr>
        <w:pBdr>
          <w:top w:val="single" w:color="auto" w:sz="4" w:space="1"/>
          <w:left w:val="single" w:color="auto" w:sz="4" w:space="4"/>
          <w:bottom w:val="single" w:color="auto" w:sz="4" w:space="1"/>
          <w:right w:val="single" w:color="auto" w:sz="4" w:space="4"/>
        </w:pBd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中国医学科学院皮肤病医院（中国医学科学院皮肤病研究所）</w:t>
      </w:r>
      <w:r>
        <w:rPr>
          <w:rFonts w:hint="eastAsia" w:cs="Times New Roman"/>
          <w:color w:val="auto"/>
          <w:szCs w:val="21"/>
          <w:highlight w:val="none"/>
          <w:u w:val="single"/>
          <w:lang w:eastAsia="zh-CN"/>
        </w:rPr>
        <w:t>空气净化消毒器</w:t>
      </w:r>
      <w:r>
        <w:rPr>
          <w:rFonts w:hint="default" w:ascii="Times New Roman" w:hAnsi="Times New Roman" w:cs="Times New Roman"/>
          <w:color w:val="auto"/>
          <w:szCs w:val="21"/>
          <w:highlight w:val="none"/>
          <w:u w:val="none"/>
        </w:rPr>
        <w:t>招</w:t>
      </w:r>
      <w:r>
        <w:rPr>
          <w:rFonts w:hint="default" w:ascii="Times New Roman" w:hAnsi="Times New Roman" w:cs="Times New Roman"/>
          <w:color w:val="auto"/>
          <w:szCs w:val="21"/>
          <w:highlight w:val="none"/>
        </w:rPr>
        <w:t>标项目的潜在投标人应在</w:t>
      </w:r>
      <w:r>
        <w:rPr>
          <w:rFonts w:hint="default" w:ascii="Times New Roman" w:hAnsi="Times New Roman" w:cs="Times New Roman"/>
          <w:color w:val="auto"/>
          <w:szCs w:val="21"/>
          <w:highlight w:val="none"/>
          <w:u w:val="single"/>
        </w:rPr>
        <w:t>江苏苏美达仪器设备有限公司，南京市长江路198号14楼</w:t>
      </w:r>
      <w:r>
        <w:rPr>
          <w:rFonts w:hint="default" w:ascii="Times New Roman" w:hAnsi="Times New Roman" w:cs="Times New Roman"/>
          <w:color w:val="auto"/>
          <w:szCs w:val="21"/>
          <w:highlight w:val="none"/>
        </w:rPr>
        <w:t>获取招标文件，并于</w:t>
      </w:r>
      <w:r>
        <w:rPr>
          <w:rFonts w:hint="default" w:ascii="Times New Roman" w:hAnsi="Times New Roman" w:cs="Times New Roman"/>
          <w:color w:val="auto"/>
          <w:szCs w:val="21"/>
          <w:highlight w:val="none"/>
          <w:u w:val="single"/>
        </w:rPr>
        <w:t>202</w:t>
      </w:r>
      <w:r>
        <w:rPr>
          <w:rFonts w:hint="eastAsia" w:cs="Times New Roman"/>
          <w:color w:val="auto"/>
          <w:szCs w:val="21"/>
          <w:highlight w:val="none"/>
          <w:u w:val="single"/>
          <w:lang w:val="en-US" w:eastAsia="zh-CN"/>
        </w:rPr>
        <w:t>6</w:t>
      </w:r>
      <w:r>
        <w:rPr>
          <w:rFonts w:hint="default" w:ascii="Times New Roman" w:hAnsi="Times New Roman" w:cs="Times New Roman"/>
          <w:color w:val="auto"/>
          <w:szCs w:val="21"/>
          <w:highlight w:val="none"/>
          <w:u w:val="single"/>
        </w:rPr>
        <w:t>年</w:t>
      </w:r>
      <w:r>
        <w:rPr>
          <w:rFonts w:hint="eastAsia" w:cs="Times New Roman"/>
          <w:color w:val="auto"/>
          <w:szCs w:val="21"/>
          <w:highlight w:val="none"/>
          <w:u w:val="single"/>
          <w:lang w:val="en-US" w:eastAsia="zh-CN"/>
        </w:rPr>
        <w:t>8</w:t>
      </w:r>
      <w:r>
        <w:rPr>
          <w:rFonts w:hint="default" w:ascii="Times New Roman" w:hAnsi="Times New Roman" w:cs="Times New Roman"/>
          <w:color w:val="auto"/>
          <w:szCs w:val="21"/>
          <w:highlight w:val="none"/>
          <w:u w:val="single"/>
        </w:rPr>
        <w:t>月</w:t>
      </w:r>
      <w:r>
        <w:rPr>
          <w:rFonts w:hint="eastAsia" w:cs="Times New Roman"/>
          <w:color w:val="auto"/>
          <w:szCs w:val="21"/>
          <w:highlight w:val="none"/>
          <w:u w:val="single"/>
          <w:lang w:val="en-US" w:eastAsia="zh-CN"/>
        </w:rPr>
        <w:t>21</w:t>
      </w:r>
      <w:r>
        <w:rPr>
          <w:rFonts w:hint="default" w:ascii="Times New Roman" w:hAnsi="Times New Roman" w:cs="Times New Roman"/>
          <w:color w:val="auto"/>
          <w:szCs w:val="21"/>
          <w:highlight w:val="none"/>
          <w:u w:val="single"/>
        </w:rPr>
        <w:t>日</w:t>
      </w:r>
      <w:r>
        <w:rPr>
          <w:rFonts w:hint="eastAsia" w:cs="Times New Roman"/>
          <w:color w:val="auto"/>
          <w:szCs w:val="21"/>
          <w:highlight w:val="none"/>
          <w:u w:val="single"/>
          <w:lang w:val="en-US" w:eastAsia="zh-CN"/>
        </w:rPr>
        <w:t>9</w:t>
      </w:r>
      <w:r>
        <w:rPr>
          <w:rFonts w:hint="default" w:ascii="Times New Roman" w:hAnsi="Times New Roman" w:cs="Times New Roman"/>
          <w:color w:val="auto"/>
          <w:szCs w:val="21"/>
          <w:highlight w:val="none"/>
          <w:u w:val="single"/>
        </w:rPr>
        <w:t>点</w:t>
      </w:r>
      <w:r>
        <w:rPr>
          <w:rFonts w:hint="eastAsia" w:cs="Times New Roman"/>
          <w:color w:val="auto"/>
          <w:szCs w:val="21"/>
          <w:highlight w:val="none"/>
          <w:u w:val="single"/>
          <w:lang w:val="en-US" w:eastAsia="zh-CN"/>
        </w:rPr>
        <w:t>3</w:t>
      </w:r>
      <w:r>
        <w:rPr>
          <w:rFonts w:hint="default" w:ascii="Times New Roman" w:hAnsi="Times New Roman" w:cs="Times New Roman"/>
          <w:color w:val="auto"/>
          <w:szCs w:val="21"/>
          <w:highlight w:val="none"/>
          <w:u w:val="single"/>
        </w:rPr>
        <w:t>0分</w:t>
      </w:r>
      <w:r>
        <w:rPr>
          <w:rFonts w:hint="default" w:ascii="Times New Roman" w:hAnsi="Times New Roman" w:cs="Times New Roman"/>
          <w:bCs/>
          <w:color w:val="auto"/>
          <w:szCs w:val="21"/>
          <w:highlight w:val="none"/>
        </w:rPr>
        <w:t>（北京时间）前递交投标文件</w:t>
      </w:r>
      <w:r>
        <w:rPr>
          <w:rFonts w:hint="default" w:ascii="Times New Roman" w:hAnsi="Times New Roman" w:cs="Times New Roman"/>
          <w:color w:val="auto"/>
          <w:szCs w:val="21"/>
          <w:highlight w:val="none"/>
        </w:rPr>
        <w:t>。</w:t>
      </w:r>
    </w:p>
    <w:p w14:paraId="52F19026">
      <w:pPr>
        <w:pStyle w:val="4"/>
        <w:spacing w:before="0" w:after="0" w:line="360" w:lineRule="auto"/>
        <w:rPr>
          <w:rFonts w:hint="default" w:ascii="Times New Roman" w:hAnsi="Times New Roman" w:eastAsia="宋体" w:cs="Times New Roman"/>
          <w:bCs w:val="0"/>
          <w:color w:val="auto"/>
          <w:sz w:val="21"/>
          <w:szCs w:val="21"/>
          <w:highlight w:val="none"/>
        </w:rPr>
      </w:pPr>
      <w:bookmarkStart w:id="3" w:name="_Toc28359079"/>
      <w:bookmarkStart w:id="4" w:name="_Toc35393621"/>
      <w:bookmarkStart w:id="5" w:name="_Toc35393790"/>
      <w:bookmarkStart w:id="6" w:name="_Toc28359002"/>
      <w:bookmarkStart w:id="7" w:name="_Toc25013"/>
      <w:bookmarkStart w:id="8" w:name="_Hlk24379207"/>
      <w:r>
        <w:rPr>
          <w:rFonts w:hint="default" w:ascii="Times New Roman" w:hAnsi="Times New Roman" w:eastAsia="宋体" w:cs="Times New Roman"/>
          <w:bCs w:val="0"/>
          <w:color w:val="auto"/>
          <w:sz w:val="21"/>
          <w:szCs w:val="21"/>
          <w:highlight w:val="none"/>
        </w:rPr>
        <w:t>一、项目基本情况</w:t>
      </w:r>
      <w:bookmarkEnd w:id="3"/>
      <w:bookmarkEnd w:id="4"/>
      <w:bookmarkEnd w:id="5"/>
      <w:bookmarkEnd w:id="6"/>
      <w:bookmarkEnd w:id="7"/>
    </w:p>
    <w:p w14:paraId="746EE7E8">
      <w:pPr>
        <w:spacing w:line="360" w:lineRule="auto"/>
        <w:ind w:firstLine="420" w:firstLineChars="200"/>
        <w:rPr>
          <w:rFonts w:hint="eastAsia"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1、项目编号：</w:t>
      </w:r>
      <w:r>
        <w:rPr>
          <w:rFonts w:hint="eastAsia" w:cs="Times New Roman"/>
          <w:color w:val="auto"/>
          <w:szCs w:val="21"/>
          <w:highlight w:val="none"/>
          <w:lang w:eastAsia="zh-CN"/>
        </w:rPr>
        <w:t>2640SUMEC/XMGG4169</w:t>
      </w:r>
    </w:p>
    <w:p w14:paraId="61FF3518">
      <w:pPr>
        <w:spacing w:line="360" w:lineRule="auto"/>
        <w:ind w:firstLine="420" w:firstLineChars="200"/>
        <w:rPr>
          <w:rFonts w:hint="eastAsia"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2、项目名称：</w:t>
      </w:r>
      <w:r>
        <w:rPr>
          <w:rFonts w:hint="eastAsia" w:cs="Times New Roman"/>
          <w:color w:val="auto"/>
          <w:sz w:val="21"/>
          <w:szCs w:val="21"/>
          <w:highlight w:val="none"/>
          <w:lang w:val="en-US" w:eastAsia="zh-CN"/>
        </w:rPr>
        <w:t>空气净化消毒器</w:t>
      </w:r>
    </w:p>
    <w:bookmarkEnd w:id="8"/>
    <w:p w14:paraId="7C0351C4">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3、预算金额：</w:t>
      </w:r>
      <w:r>
        <w:rPr>
          <w:rFonts w:hint="eastAsia" w:cs="Times New Roman"/>
          <w:color w:val="auto"/>
          <w:szCs w:val="21"/>
          <w:highlight w:val="none"/>
          <w:lang w:val="en-US" w:eastAsia="zh-CN"/>
        </w:rPr>
        <w:t>24</w:t>
      </w:r>
      <w:r>
        <w:rPr>
          <w:rFonts w:hint="default" w:ascii="Times New Roman" w:hAnsi="Times New Roman" w:cs="Times New Roman"/>
          <w:color w:val="auto"/>
          <w:szCs w:val="21"/>
          <w:highlight w:val="none"/>
        </w:rPr>
        <w:t>万元，超过对应的预算金额作无效投标处理。</w:t>
      </w:r>
    </w:p>
    <w:p w14:paraId="0C1C1854">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4、最高限价：/</w:t>
      </w:r>
    </w:p>
    <w:p w14:paraId="6B72C7F3">
      <w:pPr>
        <w:pStyle w:val="55"/>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5、采购需求：</w:t>
      </w:r>
    </w:p>
    <w:tbl>
      <w:tblPr>
        <w:tblStyle w:val="47"/>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2825"/>
        <w:gridCol w:w="1308"/>
        <w:gridCol w:w="2701"/>
        <w:gridCol w:w="2201"/>
      </w:tblGrid>
      <w:tr w14:paraId="642E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vAlign w:val="center"/>
          </w:tcPr>
          <w:p w14:paraId="7215C881">
            <w:pPr>
              <w:jc w:val="center"/>
              <w:rPr>
                <w:b/>
                <w:bCs/>
                <w:color w:val="auto"/>
                <w:szCs w:val="21"/>
                <w:highlight w:val="none"/>
              </w:rPr>
            </w:pPr>
            <w:r>
              <w:rPr>
                <w:b/>
                <w:bCs/>
                <w:color w:val="auto"/>
                <w:szCs w:val="21"/>
                <w:highlight w:val="none"/>
              </w:rPr>
              <w:t>包号</w:t>
            </w:r>
          </w:p>
        </w:tc>
        <w:tc>
          <w:tcPr>
            <w:tcW w:w="1438" w:type="pct"/>
            <w:vAlign w:val="center"/>
          </w:tcPr>
          <w:p w14:paraId="29F9E1E2">
            <w:pPr>
              <w:jc w:val="center"/>
              <w:rPr>
                <w:b/>
                <w:bCs/>
                <w:color w:val="auto"/>
                <w:szCs w:val="21"/>
                <w:highlight w:val="none"/>
              </w:rPr>
            </w:pPr>
            <w:r>
              <w:rPr>
                <w:b/>
                <w:bCs/>
                <w:color w:val="auto"/>
                <w:szCs w:val="21"/>
                <w:highlight w:val="none"/>
              </w:rPr>
              <w:t>产品名称</w:t>
            </w:r>
          </w:p>
        </w:tc>
        <w:tc>
          <w:tcPr>
            <w:tcW w:w="666" w:type="pct"/>
            <w:vAlign w:val="center"/>
          </w:tcPr>
          <w:p w14:paraId="43286AC3">
            <w:pPr>
              <w:jc w:val="center"/>
              <w:rPr>
                <w:b/>
                <w:bCs/>
                <w:color w:val="auto"/>
                <w:szCs w:val="21"/>
                <w:highlight w:val="none"/>
              </w:rPr>
            </w:pPr>
            <w:r>
              <w:rPr>
                <w:b/>
                <w:bCs/>
                <w:color w:val="auto"/>
                <w:szCs w:val="21"/>
                <w:highlight w:val="none"/>
              </w:rPr>
              <w:t>数量</w:t>
            </w:r>
          </w:p>
        </w:tc>
        <w:tc>
          <w:tcPr>
            <w:tcW w:w="1375" w:type="pct"/>
            <w:vAlign w:val="center"/>
          </w:tcPr>
          <w:p w14:paraId="364F0C14">
            <w:pPr>
              <w:jc w:val="center"/>
              <w:rPr>
                <w:b/>
                <w:bCs/>
                <w:color w:val="auto"/>
                <w:szCs w:val="21"/>
                <w:highlight w:val="none"/>
              </w:rPr>
            </w:pPr>
            <w:r>
              <w:rPr>
                <w:b/>
                <w:bCs/>
                <w:color w:val="auto"/>
                <w:szCs w:val="21"/>
                <w:highlight w:val="none"/>
              </w:rPr>
              <w:t>是否接受进口</w:t>
            </w:r>
            <w:r>
              <w:rPr>
                <w:rFonts w:hint="eastAsia"/>
                <w:b/>
                <w:bCs/>
                <w:color w:val="auto"/>
                <w:szCs w:val="21"/>
                <w:highlight w:val="none"/>
              </w:rPr>
              <w:t>（</w:t>
            </w:r>
            <w:r>
              <w:rPr>
                <w:b/>
                <w:bCs/>
                <w:color w:val="auto"/>
                <w:szCs w:val="21"/>
                <w:highlight w:val="none"/>
              </w:rPr>
              <w:t>是/</w:t>
            </w:r>
            <w:bookmarkStart w:id="9" w:name="OLE_LINK10"/>
            <w:bookmarkStart w:id="10" w:name="OLE_LINK11"/>
            <w:r>
              <w:rPr>
                <w:b/>
                <w:bCs/>
                <w:color w:val="auto"/>
                <w:szCs w:val="21"/>
                <w:highlight w:val="none"/>
              </w:rPr>
              <w:t>否</w:t>
            </w:r>
            <w:bookmarkEnd w:id="9"/>
            <w:bookmarkEnd w:id="10"/>
            <w:r>
              <w:rPr>
                <w:rFonts w:hint="eastAsia"/>
                <w:b/>
                <w:bCs/>
                <w:color w:val="auto"/>
                <w:szCs w:val="21"/>
                <w:highlight w:val="none"/>
              </w:rPr>
              <w:t>）</w:t>
            </w:r>
          </w:p>
        </w:tc>
        <w:tc>
          <w:tcPr>
            <w:tcW w:w="1120" w:type="pct"/>
            <w:vAlign w:val="center"/>
          </w:tcPr>
          <w:p w14:paraId="1C927958">
            <w:pPr>
              <w:jc w:val="center"/>
              <w:rPr>
                <w:b/>
                <w:bCs/>
                <w:color w:val="auto"/>
                <w:szCs w:val="21"/>
                <w:highlight w:val="none"/>
              </w:rPr>
            </w:pPr>
            <w:r>
              <w:rPr>
                <w:b/>
                <w:bCs/>
                <w:color w:val="auto"/>
                <w:szCs w:val="21"/>
                <w:highlight w:val="none"/>
              </w:rPr>
              <w:t>预算金额</w:t>
            </w:r>
          </w:p>
          <w:p w14:paraId="2A0DA902">
            <w:pPr>
              <w:jc w:val="center"/>
              <w:rPr>
                <w:b/>
                <w:bCs/>
                <w:color w:val="auto"/>
                <w:szCs w:val="21"/>
                <w:highlight w:val="none"/>
              </w:rPr>
            </w:pPr>
            <w:r>
              <w:rPr>
                <w:b/>
                <w:bCs/>
                <w:color w:val="auto"/>
                <w:szCs w:val="21"/>
                <w:highlight w:val="none"/>
              </w:rPr>
              <w:t>（万元/人民币）</w:t>
            </w:r>
          </w:p>
        </w:tc>
      </w:tr>
      <w:tr w14:paraId="70AF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399" w:type="pct"/>
            <w:vAlign w:val="center"/>
          </w:tcPr>
          <w:p w14:paraId="14CB1A1F">
            <w:pPr>
              <w:spacing w:line="360" w:lineRule="auto"/>
              <w:jc w:val="center"/>
              <w:rPr>
                <w:color w:val="auto"/>
                <w:szCs w:val="21"/>
                <w:highlight w:val="none"/>
              </w:rPr>
            </w:pPr>
            <w:bookmarkStart w:id="11" w:name="_Hlk211693325"/>
            <w:r>
              <w:rPr>
                <w:rFonts w:hint="eastAsia"/>
                <w:color w:val="auto"/>
                <w:szCs w:val="21"/>
                <w:highlight w:val="none"/>
              </w:rPr>
              <w:t>1</w:t>
            </w:r>
          </w:p>
        </w:tc>
        <w:tc>
          <w:tcPr>
            <w:tcW w:w="1438" w:type="pct"/>
            <w:vAlign w:val="center"/>
          </w:tcPr>
          <w:p w14:paraId="6100AE2B">
            <w:pPr>
              <w:spacing w:line="360" w:lineRule="auto"/>
              <w:jc w:val="center"/>
              <w:rPr>
                <w:rFonts w:hint="eastAsia"/>
                <w:color w:val="auto"/>
                <w:szCs w:val="21"/>
                <w:highlight w:val="none"/>
              </w:rPr>
            </w:pPr>
            <w:r>
              <w:rPr>
                <w:rFonts w:hint="eastAsia"/>
                <w:color w:val="auto"/>
                <w:szCs w:val="21"/>
                <w:highlight w:val="none"/>
                <w:lang w:val="en-US" w:eastAsia="zh-CN"/>
              </w:rPr>
              <w:t>空气净化消毒器</w:t>
            </w:r>
          </w:p>
        </w:tc>
        <w:tc>
          <w:tcPr>
            <w:tcW w:w="666" w:type="pct"/>
            <w:vAlign w:val="center"/>
          </w:tcPr>
          <w:p w14:paraId="1AB4F305">
            <w:pPr>
              <w:spacing w:line="360" w:lineRule="auto"/>
              <w:jc w:val="center"/>
              <w:rPr>
                <w:rFonts w:hint="eastAsia" w:eastAsia="宋体"/>
                <w:color w:val="auto"/>
                <w:szCs w:val="21"/>
                <w:highlight w:val="none"/>
                <w:lang w:val="en-US" w:eastAsia="zh-CN"/>
              </w:rPr>
            </w:pPr>
            <w:r>
              <w:rPr>
                <w:rFonts w:hint="eastAsia"/>
                <w:color w:val="auto"/>
                <w:szCs w:val="21"/>
                <w:highlight w:val="none"/>
                <w:lang w:val="en-US" w:eastAsia="zh-CN"/>
              </w:rPr>
              <w:t>15套</w:t>
            </w:r>
          </w:p>
        </w:tc>
        <w:tc>
          <w:tcPr>
            <w:tcW w:w="1375" w:type="pct"/>
            <w:vAlign w:val="center"/>
          </w:tcPr>
          <w:p w14:paraId="468B811D">
            <w:pPr>
              <w:spacing w:line="360" w:lineRule="auto"/>
              <w:jc w:val="center"/>
              <w:rPr>
                <w:rFonts w:hint="eastAsia" w:eastAsia="宋体"/>
                <w:color w:val="auto"/>
                <w:szCs w:val="21"/>
                <w:highlight w:val="none"/>
                <w:lang w:eastAsia="zh-CN"/>
              </w:rPr>
            </w:pPr>
            <w:r>
              <w:rPr>
                <w:rFonts w:hint="eastAsia"/>
                <w:color w:val="auto"/>
                <w:szCs w:val="21"/>
                <w:highlight w:val="none"/>
                <w:lang w:val="en-US" w:eastAsia="zh-CN"/>
              </w:rPr>
              <w:t>否</w:t>
            </w:r>
          </w:p>
        </w:tc>
        <w:tc>
          <w:tcPr>
            <w:tcW w:w="1120" w:type="pct"/>
            <w:vAlign w:val="center"/>
          </w:tcPr>
          <w:p w14:paraId="4BADBA22">
            <w:pPr>
              <w:spacing w:line="360" w:lineRule="auto"/>
              <w:jc w:val="center"/>
              <w:rPr>
                <w:rFonts w:hint="default" w:eastAsia="宋体"/>
                <w:color w:val="auto"/>
                <w:szCs w:val="21"/>
                <w:highlight w:val="none"/>
                <w:lang w:val="en-US" w:eastAsia="zh-CN"/>
              </w:rPr>
            </w:pPr>
            <w:r>
              <w:rPr>
                <w:rFonts w:hint="eastAsia"/>
                <w:color w:val="auto"/>
                <w:szCs w:val="21"/>
                <w:highlight w:val="none"/>
                <w:lang w:val="en-US" w:eastAsia="zh-CN"/>
              </w:rPr>
              <w:t>24.00</w:t>
            </w:r>
          </w:p>
        </w:tc>
      </w:tr>
      <w:bookmarkEnd w:id="11"/>
    </w:tbl>
    <w:p w14:paraId="31AE55EE">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注：详见招标文件第四章招标技术规格及要求</w:t>
      </w:r>
    </w:p>
    <w:p w14:paraId="14DBD7F5">
      <w:pPr>
        <w:numPr>
          <w:ilvl w:val="0"/>
          <w:numId w:val="0"/>
        </w:numPr>
        <w:spacing w:line="360" w:lineRule="auto"/>
        <w:ind w:firstLine="420" w:firstLineChars="200"/>
        <w:rPr>
          <w:rFonts w:hint="eastAsia"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kern w:val="2"/>
          <w:sz w:val="21"/>
          <w:szCs w:val="21"/>
          <w:highlight w:val="none"/>
          <w:lang w:val="en-US" w:eastAsia="zh-CN" w:bidi="ar-SA"/>
        </w:rPr>
        <w:t>6、</w:t>
      </w:r>
      <w:r>
        <w:rPr>
          <w:rFonts w:hint="default" w:ascii="Times New Roman" w:hAnsi="Times New Roman" w:cs="Times New Roman"/>
          <w:color w:val="auto"/>
          <w:szCs w:val="21"/>
          <w:highlight w:val="none"/>
        </w:rPr>
        <w:t>合同履行期限：</w:t>
      </w:r>
      <w:r>
        <w:rPr>
          <w:rFonts w:hint="eastAsia" w:ascii="Times New Roman" w:hAnsi="Times New Roman" w:cs="Times New Roman"/>
          <w:color w:val="auto"/>
          <w:szCs w:val="21"/>
          <w:highlight w:val="none"/>
        </w:rPr>
        <w:t>合同签订后30日内完成供货及安装调试，并具备验收条件</w:t>
      </w:r>
      <w:r>
        <w:rPr>
          <w:rFonts w:hint="eastAsia" w:cs="Times New Roman"/>
          <w:color w:val="auto"/>
          <w:szCs w:val="21"/>
          <w:highlight w:val="none"/>
          <w:lang w:eastAsia="zh-CN"/>
        </w:rPr>
        <w:t>。</w:t>
      </w:r>
    </w:p>
    <w:p w14:paraId="025570B4">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7、本项目（是/否）接受联合体投标：</w:t>
      </w:r>
      <w:r>
        <w:rPr>
          <w:rFonts w:hint="default" w:ascii="Times New Roman" w:hAnsi="Times New Roman" w:cs="Times New Roman"/>
          <w:b/>
          <w:color w:val="auto"/>
          <w:szCs w:val="21"/>
          <w:highlight w:val="none"/>
        </w:rPr>
        <w:t>否</w:t>
      </w:r>
      <w:r>
        <w:rPr>
          <w:rFonts w:hint="default" w:ascii="Times New Roman" w:hAnsi="Times New Roman" w:cs="Times New Roman"/>
          <w:color w:val="auto"/>
          <w:szCs w:val="21"/>
          <w:highlight w:val="none"/>
        </w:rPr>
        <w:t>。</w:t>
      </w:r>
    </w:p>
    <w:p w14:paraId="4AA71BC7">
      <w:pPr>
        <w:pStyle w:val="4"/>
        <w:spacing w:before="0" w:after="0" w:line="360" w:lineRule="auto"/>
        <w:rPr>
          <w:rFonts w:hint="default" w:ascii="Times New Roman" w:hAnsi="Times New Roman" w:eastAsia="宋体" w:cs="Times New Roman"/>
          <w:color w:val="auto"/>
          <w:sz w:val="21"/>
          <w:szCs w:val="21"/>
          <w:highlight w:val="none"/>
        </w:rPr>
      </w:pPr>
      <w:bookmarkStart w:id="12" w:name="_Toc35393791"/>
      <w:bookmarkStart w:id="13" w:name="_Toc28359080"/>
      <w:bookmarkStart w:id="14" w:name="_Toc35393622"/>
      <w:bookmarkStart w:id="15" w:name="_Toc28359003"/>
      <w:bookmarkStart w:id="16" w:name="_Toc9916"/>
      <w:r>
        <w:rPr>
          <w:rFonts w:hint="default" w:ascii="Times New Roman" w:hAnsi="Times New Roman" w:eastAsia="宋体" w:cs="Times New Roman"/>
          <w:color w:val="auto"/>
          <w:sz w:val="21"/>
          <w:szCs w:val="21"/>
          <w:highlight w:val="none"/>
        </w:rPr>
        <w:t>二、申请人的资格要求：</w:t>
      </w:r>
      <w:bookmarkEnd w:id="12"/>
      <w:bookmarkEnd w:id="13"/>
      <w:bookmarkEnd w:id="14"/>
      <w:bookmarkEnd w:id="15"/>
      <w:bookmarkEnd w:id="16"/>
    </w:p>
    <w:p w14:paraId="7B4D79D5">
      <w:pPr>
        <w:spacing w:line="360" w:lineRule="auto"/>
        <w:ind w:firstLine="420" w:firstLineChars="200"/>
        <w:rPr>
          <w:rFonts w:hint="default" w:ascii="Times New Roman" w:hAnsi="Times New Roman" w:cs="Times New Roman"/>
          <w:color w:val="auto"/>
          <w:szCs w:val="21"/>
          <w:highlight w:val="none"/>
        </w:rPr>
      </w:pPr>
      <w:bookmarkStart w:id="17" w:name="_Toc28359004"/>
      <w:bookmarkStart w:id="18" w:name="_Toc28359081"/>
      <w:r>
        <w:rPr>
          <w:rFonts w:hint="default" w:ascii="Times New Roman" w:hAnsi="Times New Roman" w:cs="Times New Roman"/>
          <w:color w:val="auto"/>
          <w:szCs w:val="21"/>
          <w:highlight w:val="none"/>
        </w:rPr>
        <w:t>1、满足《中华人民共和国政府采购法》第二十二条规定；</w:t>
      </w:r>
    </w:p>
    <w:p w14:paraId="634665DF">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2、落实政府采购政策需满足的资格要求：无（本项目不属于专门面向中小企业采购的项目）。</w:t>
      </w:r>
    </w:p>
    <w:p w14:paraId="5301B6C1">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3、本项目的特定资格要求：</w:t>
      </w:r>
    </w:p>
    <w:p w14:paraId="6F257749">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b w:val="0"/>
          <w:bCs w:val="0"/>
          <w:color w:val="auto"/>
          <w:szCs w:val="21"/>
          <w:highlight w:val="none"/>
        </w:rPr>
        <w:t>（1）本项目</w:t>
      </w:r>
      <w:r>
        <w:rPr>
          <w:rFonts w:hint="eastAsia" w:cs="Times New Roman"/>
          <w:b/>
          <w:bCs/>
          <w:color w:val="auto"/>
          <w:szCs w:val="21"/>
          <w:highlight w:val="none"/>
          <w:lang w:val="en-US" w:eastAsia="zh-CN"/>
        </w:rPr>
        <w:t>不</w:t>
      </w:r>
      <w:r>
        <w:rPr>
          <w:rFonts w:hint="default" w:ascii="Times New Roman" w:hAnsi="Times New Roman" w:cs="Times New Roman"/>
          <w:b/>
          <w:bCs/>
          <w:color w:val="auto"/>
          <w:szCs w:val="21"/>
          <w:highlight w:val="none"/>
        </w:rPr>
        <w:t>接受</w:t>
      </w:r>
      <w:r>
        <w:rPr>
          <w:rFonts w:hint="default" w:ascii="Times New Roman" w:hAnsi="Times New Roman" w:cs="Times New Roman"/>
          <w:b w:val="0"/>
          <w:bCs w:val="0"/>
          <w:color w:val="auto"/>
          <w:szCs w:val="21"/>
          <w:highlight w:val="none"/>
        </w:rPr>
        <w:t>进口产品投标；（注：本文件所称进口产品是指通过中</w:t>
      </w:r>
      <w:r>
        <w:rPr>
          <w:rFonts w:hint="default" w:ascii="Times New Roman" w:hAnsi="Times New Roman" w:cs="Times New Roman"/>
          <w:color w:val="auto"/>
          <w:szCs w:val="21"/>
          <w:highlight w:val="none"/>
        </w:rPr>
        <w:t>国海关报关验放进入中国境内且产自关境外的产品）</w:t>
      </w:r>
    </w:p>
    <w:p w14:paraId="7936048E">
      <w:pPr>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（2）根据国家相关政策规定，</w:t>
      </w:r>
      <w:r>
        <w:rPr>
          <w:rFonts w:hint="eastAsia" w:cs="Times New Roman"/>
          <w:b/>
          <w:bCs/>
          <w:color w:val="auto"/>
          <w:szCs w:val="21"/>
          <w:highlight w:val="none"/>
          <w:lang w:val="en-US" w:eastAsia="zh-CN"/>
        </w:rPr>
        <w:t>如</w:t>
      </w:r>
      <w:r>
        <w:rPr>
          <w:rFonts w:hint="default" w:ascii="Times New Roman" w:hAnsi="Times New Roman" w:cs="Times New Roman"/>
          <w:b/>
          <w:bCs/>
          <w:color w:val="auto"/>
          <w:szCs w:val="21"/>
          <w:highlight w:val="none"/>
        </w:rPr>
        <w:t>属于医疗器械监督管理的设备，需具备：</w:t>
      </w:r>
    </w:p>
    <w:p w14:paraId="2A0DE08F">
      <w:pPr>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①投标人须提供有效的医疗器械产品注册证或产品备案凭证，投标时需提供复印件加盖公章；</w:t>
      </w:r>
    </w:p>
    <w:p w14:paraId="24FBC2C3">
      <w:pPr>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②若投标供应商为代理商，须具有有效的《医疗器械经营许可证》或医疗器械经营备案凭证，投标时需提供复印件加盖公章；</w:t>
      </w:r>
    </w:p>
    <w:p w14:paraId="38926937">
      <w:pPr>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③若投标供应商为生产商，须具有有效的《医疗器械生产许可证》或生产备案凭证（医疗器械生产许可证如有医疗器械生产产品登记表的须一并提供），投标时需提供复印件加盖公章；</w:t>
      </w:r>
    </w:p>
    <w:p w14:paraId="6A51AB0E">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3</w:t>
      </w:r>
      <w:r>
        <w:rPr>
          <w:rFonts w:hint="default" w:ascii="Times New Roman" w:hAnsi="Times New Roman" w:cs="Times New Roman"/>
          <w:color w:val="auto"/>
          <w:szCs w:val="21"/>
          <w:highlight w:val="none"/>
        </w:rPr>
        <w:t>）中标后不允许转包、分包；</w:t>
      </w:r>
    </w:p>
    <w:p w14:paraId="30E65DBD">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4</w:t>
      </w:r>
      <w:r>
        <w:rPr>
          <w:rFonts w:hint="default" w:ascii="Times New Roman" w:hAnsi="Times New Roman" w:cs="Times New Roman"/>
          <w:color w:val="auto"/>
          <w:szCs w:val="21"/>
          <w:highlight w:val="none"/>
        </w:rPr>
        <w:t>）拒绝下述投标人参加本次采购活动的情形：</w:t>
      </w:r>
    </w:p>
    <w:p w14:paraId="1CDBE8FC">
      <w:pPr>
        <w:widowControl/>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①投标人单位负责人为同一人或者存在直接控股、管理关系的不同投标人，不得参加同一合同项下的政府采购活动。</w:t>
      </w:r>
    </w:p>
    <w:p w14:paraId="2B335269">
      <w:pPr>
        <w:widowControl/>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②凡为采购项目提供整体设计、规范编制或者项目管理、监理、检测等服务的投标人，不得再参加本项目的采购活动。</w:t>
      </w:r>
    </w:p>
    <w:p w14:paraId="7C2E8352">
      <w:pPr>
        <w:widowControl/>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③拒绝列入失信被执行人、重大税收违法失信主体、政府采购严重违法失信行为记录名单的投标人参与政府采购活动。</w:t>
      </w:r>
      <w:r>
        <w:rPr>
          <w:rFonts w:hint="default" w:ascii="Times New Roman" w:hAnsi="Times New Roman" w:cs="Times New Roman"/>
          <w:bCs/>
          <w:color w:val="auto"/>
          <w:szCs w:val="21"/>
          <w:highlight w:val="none"/>
        </w:rPr>
        <w:t>采购代理机构在评标时</w:t>
      </w:r>
      <w:r>
        <w:rPr>
          <w:rFonts w:hint="default" w:ascii="Times New Roman" w:hAnsi="Times New Roman" w:cs="Times New Roman"/>
          <w:color w:val="auto"/>
          <w:szCs w:val="21"/>
          <w:highlight w:val="none"/>
        </w:rPr>
        <w:t>通过“信用中国”网站(www.creditchina.gov.cn)、中国政府采购网(www.ccgp.gov.cn)等渠道查询投标人在</w:t>
      </w:r>
      <w:r>
        <w:rPr>
          <w:rFonts w:hint="default" w:ascii="Times New Roman" w:hAnsi="Times New Roman" w:cs="Times New Roman"/>
          <w:b/>
          <w:bCs/>
          <w:color w:val="auto"/>
          <w:szCs w:val="21"/>
          <w:highlight w:val="none"/>
        </w:rPr>
        <w:t>提交投标文件截止时间前</w:t>
      </w:r>
      <w:r>
        <w:rPr>
          <w:rFonts w:hint="default" w:ascii="Times New Roman" w:hAnsi="Times New Roman" w:cs="Times New Roman"/>
          <w:color w:val="auto"/>
          <w:szCs w:val="21"/>
          <w:highlight w:val="none"/>
        </w:rPr>
        <w:t>的信用记录并保存。</w:t>
      </w:r>
      <w:bookmarkStart w:id="19" w:name="_Toc35393623"/>
      <w:bookmarkStart w:id="20" w:name="_Toc35393792"/>
    </w:p>
    <w:p w14:paraId="48B0D8E3">
      <w:pPr>
        <w:pStyle w:val="4"/>
        <w:spacing w:before="0" w:after="0" w:line="360" w:lineRule="auto"/>
        <w:rPr>
          <w:rFonts w:hint="default" w:ascii="Times New Roman" w:hAnsi="Times New Roman" w:eastAsia="宋体" w:cs="Times New Roman"/>
          <w:color w:val="auto"/>
          <w:sz w:val="21"/>
          <w:szCs w:val="21"/>
          <w:highlight w:val="none"/>
        </w:rPr>
      </w:pPr>
      <w:bookmarkStart w:id="21" w:name="_Toc20023"/>
      <w:r>
        <w:rPr>
          <w:rFonts w:hint="default" w:ascii="Times New Roman" w:hAnsi="Times New Roman" w:eastAsia="宋体" w:cs="Times New Roman"/>
          <w:color w:val="auto"/>
          <w:sz w:val="21"/>
          <w:szCs w:val="21"/>
          <w:highlight w:val="none"/>
        </w:rPr>
        <w:t>三、获取招标文件</w:t>
      </w:r>
      <w:bookmarkEnd w:id="17"/>
      <w:bookmarkEnd w:id="18"/>
      <w:bookmarkEnd w:id="19"/>
      <w:bookmarkEnd w:id="20"/>
      <w:bookmarkEnd w:id="21"/>
    </w:p>
    <w:p w14:paraId="6506C894">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时间：202</w:t>
      </w:r>
      <w:r>
        <w:rPr>
          <w:rFonts w:hint="eastAsia" w:cs="Times New Roman"/>
          <w:color w:val="auto"/>
          <w:szCs w:val="21"/>
          <w:highlight w:val="none"/>
          <w:lang w:val="en-US" w:eastAsia="zh-CN"/>
        </w:rPr>
        <w:t>6</w:t>
      </w:r>
      <w:r>
        <w:rPr>
          <w:rFonts w:hint="default" w:ascii="Times New Roman" w:hAnsi="Times New Roman" w:cs="Times New Roman"/>
          <w:color w:val="auto"/>
          <w:szCs w:val="21"/>
          <w:highlight w:val="none"/>
        </w:rPr>
        <w:t>年</w:t>
      </w:r>
      <w:r>
        <w:rPr>
          <w:rFonts w:hint="eastAsia" w:cs="Times New Roman"/>
          <w:color w:val="auto"/>
          <w:szCs w:val="21"/>
          <w:highlight w:val="none"/>
          <w:lang w:val="en-US" w:eastAsia="zh-CN"/>
        </w:rPr>
        <w:t>7</w:t>
      </w:r>
      <w:r>
        <w:rPr>
          <w:rFonts w:hint="default" w:ascii="Times New Roman" w:hAnsi="Times New Roman" w:cs="Times New Roman"/>
          <w:color w:val="auto"/>
          <w:szCs w:val="21"/>
          <w:highlight w:val="none"/>
        </w:rPr>
        <w:t>月</w:t>
      </w:r>
      <w:r>
        <w:rPr>
          <w:rFonts w:hint="eastAsia" w:cs="Times New Roman"/>
          <w:color w:val="auto"/>
          <w:szCs w:val="21"/>
          <w:highlight w:val="none"/>
          <w:lang w:val="en-US" w:eastAsia="zh-CN"/>
        </w:rPr>
        <w:t>30</w:t>
      </w:r>
      <w:r>
        <w:rPr>
          <w:rFonts w:hint="default" w:ascii="Times New Roman" w:hAnsi="Times New Roman" w:cs="Times New Roman"/>
          <w:color w:val="auto"/>
          <w:szCs w:val="21"/>
          <w:highlight w:val="none"/>
        </w:rPr>
        <w:t>日至202</w:t>
      </w:r>
      <w:r>
        <w:rPr>
          <w:rFonts w:hint="eastAsia" w:cs="Times New Roman"/>
          <w:color w:val="auto"/>
          <w:szCs w:val="21"/>
          <w:highlight w:val="none"/>
          <w:lang w:val="en-US" w:eastAsia="zh-CN"/>
        </w:rPr>
        <w:t>6</w:t>
      </w:r>
      <w:r>
        <w:rPr>
          <w:rFonts w:hint="default" w:ascii="Times New Roman" w:hAnsi="Times New Roman" w:cs="Times New Roman"/>
          <w:color w:val="auto"/>
          <w:szCs w:val="21"/>
          <w:highlight w:val="none"/>
        </w:rPr>
        <w:t>年</w:t>
      </w:r>
      <w:r>
        <w:rPr>
          <w:rFonts w:hint="eastAsia" w:cs="Times New Roman"/>
          <w:color w:val="auto"/>
          <w:szCs w:val="21"/>
          <w:highlight w:val="none"/>
          <w:lang w:val="en-US" w:eastAsia="zh-CN"/>
        </w:rPr>
        <w:t>8</w:t>
      </w:r>
      <w:r>
        <w:rPr>
          <w:rFonts w:hint="default" w:ascii="Times New Roman" w:hAnsi="Times New Roman" w:cs="Times New Roman"/>
          <w:color w:val="auto"/>
          <w:szCs w:val="21"/>
          <w:highlight w:val="none"/>
        </w:rPr>
        <w:t>月</w:t>
      </w:r>
      <w:r>
        <w:rPr>
          <w:rFonts w:hint="eastAsia" w:cs="Times New Roman"/>
          <w:color w:val="auto"/>
          <w:szCs w:val="21"/>
          <w:highlight w:val="none"/>
          <w:lang w:val="en-US" w:eastAsia="zh-CN"/>
        </w:rPr>
        <w:t>6</w:t>
      </w:r>
      <w:r>
        <w:rPr>
          <w:rFonts w:hint="default" w:ascii="Times New Roman" w:hAnsi="Times New Roman" w:cs="Times New Roman"/>
          <w:color w:val="auto"/>
          <w:szCs w:val="21"/>
          <w:highlight w:val="none"/>
        </w:rPr>
        <w:t>日，每天上午09:00至11:30，下午14:00至17:30（北京时间，法定节假日除外）；若潜在投标人未能在购买招标文件的截止时间之前向采购代理机构购买，则其投标将被拒绝。</w:t>
      </w:r>
    </w:p>
    <w:p w14:paraId="6B0B18EA">
      <w:pPr>
        <w:spacing w:line="360" w:lineRule="auto"/>
        <w:ind w:firstLine="540"/>
        <w:rPr>
          <w:rFonts w:hint="eastAsia"/>
          <w:color w:val="auto"/>
          <w:szCs w:val="21"/>
          <w:highlight w:val="none"/>
        </w:rPr>
      </w:pPr>
      <w:r>
        <w:rPr>
          <w:rFonts w:hint="eastAsia"/>
          <w:color w:val="auto"/>
          <w:szCs w:val="21"/>
          <w:highlight w:val="none"/>
        </w:rPr>
        <w:t>平台服务费</w:t>
      </w:r>
      <w:r>
        <w:rPr>
          <w:rFonts w:hint="eastAsia"/>
          <w:color w:val="auto"/>
          <w:szCs w:val="21"/>
          <w:highlight w:val="none"/>
          <w:lang w:val="en-US" w:eastAsia="zh-CN"/>
        </w:rPr>
        <w:t>1</w:t>
      </w:r>
      <w:r>
        <w:rPr>
          <w:rFonts w:hint="eastAsia"/>
          <w:color w:val="auto"/>
          <w:szCs w:val="21"/>
          <w:highlight w:val="none"/>
        </w:rPr>
        <w:t>00元，售后不退。</w:t>
      </w:r>
    </w:p>
    <w:p w14:paraId="57A2BACE">
      <w:pPr>
        <w:spacing w:line="360" w:lineRule="auto"/>
        <w:ind w:firstLine="540"/>
        <w:rPr>
          <w:rFonts w:hint="eastAsia"/>
          <w:color w:val="auto"/>
          <w:szCs w:val="21"/>
          <w:highlight w:val="none"/>
        </w:rPr>
      </w:pPr>
      <w:r>
        <w:rPr>
          <w:rFonts w:hint="eastAsia"/>
          <w:color w:val="auto"/>
          <w:szCs w:val="21"/>
          <w:highlight w:val="none"/>
        </w:rPr>
        <w:t>平台服务费缴费流程如下：</w:t>
      </w:r>
    </w:p>
    <w:p w14:paraId="1442B4D5">
      <w:pPr>
        <w:autoSpaceDN w:val="0"/>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（1）打开“苏美达仪器招标电子采购平台”网页（网址：https://zb.sumecie.com/index.chtml），无需注册。</w:t>
      </w:r>
    </w:p>
    <w:p w14:paraId="067A37A3">
      <w:pPr>
        <w:autoSpaceDN w:val="0"/>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（2）操作流程：【采购公告】→查找对应项目→采购文件领购申请→填写相关信息（购买单位、领购人信息及发票信息）→缴纳文件费用（扫微信二维码支付）→确认提交成功→邮寄纸质采购文件。</w:t>
      </w:r>
    </w:p>
    <w:p w14:paraId="1F226438">
      <w:pPr>
        <w:autoSpaceDN w:val="0"/>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注意事项：</w:t>
      </w:r>
    </w:p>
    <w:p w14:paraId="7D919E61">
      <w:pPr>
        <w:spacing w:line="360" w:lineRule="auto"/>
        <w:ind w:firstLine="420" w:firstLineChars="200"/>
        <w:rPr>
          <w:rFonts w:hint="default" w:ascii="Times New Roman" w:hAnsi="Times New Roman" w:cs="Times New Roman"/>
          <w:color w:val="auto"/>
          <w:szCs w:val="21"/>
          <w:highlight w:val="none"/>
        </w:rPr>
      </w:pPr>
      <w:r>
        <w:rPr>
          <w:rFonts w:hint="eastAsia" w:ascii="Times New Roman" w:hAnsi="Times New Roman" w:eastAsia="宋体" w:cs="Times New Roman"/>
          <w:color w:val="auto"/>
          <w:szCs w:val="21"/>
          <w:highlight w:val="none"/>
        </w:rPr>
        <w:t>①请确保领购人开票信息及邮箱真实准确无误，采购文件发票为电子发票（普通发票），付款成功后约5个工作日内发送至领购人填写的邮箱地址，采购文件发票一经开具不予退换，请谨慎填写</w:t>
      </w:r>
      <w:r>
        <w:rPr>
          <w:rFonts w:hint="eastAsia"/>
          <w:color w:val="auto"/>
          <w:szCs w:val="21"/>
          <w:highlight w:val="none"/>
        </w:rPr>
        <w:t>。</w:t>
      </w:r>
    </w:p>
    <w:p w14:paraId="2A52223A">
      <w:pPr>
        <w:pStyle w:val="4"/>
        <w:spacing w:before="0" w:after="0" w:line="360" w:lineRule="auto"/>
        <w:rPr>
          <w:rFonts w:hint="default" w:ascii="Times New Roman" w:hAnsi="Times New Roman" w:eastAsia="宋体" w:cs="Times New Roman"/>
          <w:color w:val="auto"/>
          <w:sz w:val="21"/>
          <w:szCs w:val="21"/>
          <w:highlight w:val="none"/>
        </w:rPr>
      </w:pPr>
      <w:bookmarkStart w:id="22" w:name="_Toc28359082"/>
      <w:bookmarkStart w:id="23" w:name="_Toc28359005"/>
      <w:bookmarkStart w:id="24" w:name="_Toc35393624"/>
      <w:bookmarkStart w:id="25" w:name="_Toc35393793"/>
      <w:bookmarkStart w:id="26" w:name="_Toc644"/>
      <w:r>
        <w:rPr>
          <w:rFonts w:hint="default" w:ascii="Times New Roman" w:hAnsi="Times New Roman" w:eastAsia="宋体" w:cs="Times New Roman"/>
          <w:color w:val="auto"/>
          <w:sz w:val="21"/>
          <w:szCs w:val="21"/>
          <w:highlight w:val="none"/>
        </w:rPr>
        <w:t>四、提交投标文件</w:t>
      </w:r>
      <w:bookmarkEnd w:id="22"/>
      <w:bookmarkEnd w:id="23"/>
      <w:r>
        <w:rPr>
          <w:rFonts w:hint="default" w:ascii="Times New Roman" w:hAnsi="Times New Roman" w:eastAsia="宋体" w:cs="Times New Roman"/>
          <w:color w:val="auto"/>
          <w:sz w:val="21"/>
          <w:szCs w:val="21"/>
          <w:highlight w:val="none"/>
        </w:rPr>
        <w:t>截止时间、开标时间和地点</w:t>
      </w:r>
      <w:bookmarkEnd w:id="24"/>
      <w:bookmarkEnd w:id="25"/>
      <w:bookmarkEnd w:id="26"/>
    </w:p>
    <w:p w14:paraId="41277516">
      <w:pPr>
        <w:spacing w:line="360" w:lineRule="auto"/>
        <w:ind w:firstLine="420" w:firstLineChars="200"/>
        <w:rPr>
          <w:rFonts w:hint="default" w:ascii="Times New Roman" w:hAnsi="Times New Roman" w:cs="Times New Roman"/>
          <w:color w:val="auto"/>
          <w:szCs w:val="21"/>
          <w:highlight w:val="none"/>
        </w:rPr>
      </w:pPr>
      <w:bookmarkStart w:id="27" w:name="_Toc28359007"/>
      <w:bookmarkStart w:id="28" w:name="_Toc35393625"/>
      <w:bookmarkStart w:id="29" w:name="_Toc35393794"/>
      <w:bookmarkStart w:id="30" w:name="_Toc28359084"/>
      <w:r>
        <w:rPr>
          <w:rFonts w:hint="default" w:ascii="Times New Roman" w:hAnsi="Times New Roman" w:cs="Times New Roman"/>
          <w:color w:val="auto"/>
          <w:szCs w:val="21"/>
          <w:highlight w:val="none"/>
        </w:rPr>
        <w:t>提交投标文件开始时间：202</w:t>
      </w:r>
      <w:r>
        <w:rPr>
          <w:rFonts w:hint="eastAsia" w:cs="Times New Roman"/>
          <w:color w:val="auto"/>
          <w:szCs w:val="21"/>
          <w:highlight w:val="none"/>
          <w:lang w:val="en-US" w:eastAsia="zh-CN"/>
        </w:rPr>
        <w:t>6</w:t>
      </w:r>
      <w:r>
        <w:rPr>
          <w:rFonts w:hint="default" w:ascii="Times New Roman" w:hAnsi="Times New Roman" w:cs="Times New Roman"/>
          <w:color w:val="auto"/>
          <w:szCs w:val="21"/>
          <w:highlight w:val="none"/>
        </w:rPr>
        <w:t>年</w:t>
      </w:r>
      <w:r>
        <w:rPr>
          <w:rFonts w:hint="eastAsia" w:cs="Times New Roman"/>
          <w:color w:val="auto"/>
          <w:szCs w:val="21"/>
          <w:highlight w:val="none"/>
          <w:lang w:val="en-US" w:eastAsia="zh-CN"/>
        </w:rPr>
        <w:t>8</w:t>
      </w:r>
      <w:r>
        <w:rPr>
          <w:rFonts w:hint="default" w:ascii="Times New Roman" w:hAnsi="Times New Roman" w:cs="Times New Roman"/>
          <w:color w:val="auto"/>
          <w:szCs w:val="21"/>
          <w:highlight w:val="none"/>
        </w:rPr>
        <w:t>月</w:t>
      </w:r>
      <w:r>
        <w:rPr>
          <w:rFonts w:hint="eastAsia" w:cs="Times New Roman"/>
          <w:color w:val="auto"/>
          <w:szCs w:val="21"/>
          <w:highlight w:val="none"/>
          <w:lang w:val="en-US" w:eastAsia="zh-CN"/>
        </w:rPr>
        <w:t>21</w:t>
      </w:r>
      <w:r>
        <w:rPr>
          <w:rFonts w:hint="default" w:ascii="Times New Roman" w:hAnsi="Times New Roman" w:cs="Times New Roman"/>
          <w:color w:val="auto"/>
          <w:szCs w:val="21"/>
          <w:highlight w:val="none"/>
        </w:rPr>
        <w:t>日</w:t>
      </w:r>
      <w:r>
        <w:rPr>
          <w:rFonts w:hint="eastAsia" w:cs="Times New Roman"/>
          <w:color w:val="auto"/>
          <w:szCs w:val="21"/>
          <w:highlight w:val="none"/>
          <w:lang w:val="en-US" w:eastAsia="zh-CN"/>
        </w:rPr>
        <w:t>9</w:t>
      </w:r>
      <w:r>
        <w:rPr>
          <w:rFonts w:hint="default" w:ascii="Times New Roman" w:hAnsi="Times New Roman" w:cs="Times New Roman"/>
          <w:color w:val="auto"/>
          <w:szCs w:val="21"/>
          <w:highlight w:val="none"/>
        </w:rPr>
        <w:t>点</w:t>
      </w:r>
      <w:r>
        <w:rPr>
          <w:rFonts w:hint="eastAsia" w:cs="Times New Roman"/>
          <w:color w:val="auto"/>
          <w:szCs w:val="21"/>
          <w:highlight w:val="none"/>
          <w:lang w:val="en-US" w:eastAsia="zh-CN"/>
        </w:rPr>
        <w:t>0</w:t>
      </w:r>
      <w:r>
        <w:rPr>
          <w:rFonts w:hint="default" w:ascii="Times New Roman" w:hAnsi="Times New Roman" w:cs="Times New Roman"/>
          <w:color w:val="auto"/>
          <w:szCs w:val="21"/>
          <w:highlight w:val="none"/>
        </w:rPr>
        <w:t>0分（北京时间）</w:t>
      </w:r>
    </w:p>
    <w:p w14:paraId="49F73F22">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提交投标文件截止时间、开标时间：202</w:t>
      </w:r>
      <w:r>
        <w:rPr>
          <w:rFonts w:hint="eastAsia" w:cs="Times New Roman"/>
          <w:color w:val="auto"/>
          <w:szCs w:val="21"/>
          <w:highlight w:val="none"/>
          <w:lang w:val="en-US" w:eastAsia="zh-CN"/>
        </w:rPr>
        <w:t>6</w:t>
      </w:r>
      <w:r>
        <w:rPr>
          <w:rFonts w:hint="default" w:ascii="Times New Roman" w:hAnsi="Times New Roman" w:cs="Times New Roman"/>
          <w:color w:val="auto"/>
          <w:szCs w:val="21"/>
          <w:highlight w:val="none"/>
        </w:rPr>
        <w:t>年</w:t>
      </w:r>
      <w:r>
        <w:rPr>
          <w:rFonts w:hint="eastAsia" w:cs="Times New Roman"/>
          <w:color w:val="auto"/>
          <w:szCs w:val="21"/>
          <w:highlight w:val="none"/>
          <w:lang w:val="en-US" w:eastAsia="zh-CN"/>
        </w:rPr>
        <w:t>8</w:t>
      </w:r>
      <w:r>
        <w:rPr>
          <w:rFonts w:hint="default" w:ascii="Times New Roman" w:hAnsi="Times New Roman" w:cs="Times New Roman"/>
          <w:color w:val="auto"/>
          <w:szCs w:val="21"/>
          <w:highlight w:val="none"/>
        </w:rPr>
        <w:t>月</w:t>
      </w:r>
      <w:r>
        <w:rPr>
          <w:rFonts w:hint="eastAsia" w:cs="Times New Roman"/>
          <w:color w:val="auto"/>
          <w:szCs w:val="21"/>
          <w:highlight w:val="none"/>
          <w:lang w:val="en-US" w:eastAsia="zh-CN"/>
        </w:rPr>
        <w:t>21</w:t>
      </w:r>
      <w:r>
        <w:rPr>
          <w:rFonts w:hint="default" w:ascii="Times New Roman" w:hAnsi="Times New Roman" w:cs="Times New Roman"/>
          <w:color w:val="auto"/>
          <w:szCs w:val="21"/>
          <w:highlight w:val="none"/>
        </w:rPr>
        <w:t>日9点</w:t>
      </w:r>
      <w:r>
        <w:rPr>
          <w:rFonts w:hint="eastAsia" w:cs="Times New Roman"/>
          <w:color w:val="auto"/>
          <w:szCs w:val="21"/>
          <w:highlight w:val="none"/>
          <w:lang w:val="en-US" w:eastAsia="zh-CN"/>
        </w:rPr>
        <w:t>3</w:t>
      </w:r>
      <w:r>
        <w:rPr>
          <w:rFonts w:hint="default" w:ascii="Times New Roman" w:hAnsi="Times New Roman" w:cs="Times New Roman"/>
          <w:color w:val="auto"/>
          <w:szCs w:val="21"/>
          <w:highlight w:val="none"/>
        </w:rPr>
        <w:t>0分（北京时间）</w:t>
      </w:r>
    </w:p>
    <w:p w14:paraId="5C429F25">
      <w:pPr>
        <w:spacing w:line="360" w:lineRule="auto"/>
        <w:ind w:firstLine="420" w:firstLineChars="200"/>
        <w:rPr>
          <w:rFonts w:hint="default" w:ascii="Times New Roman" w:hAnsi="Times New Roman" w:cs="Times New Roman"/>
          <w:b/>
          <w:color w:val="auto"/>
          <w:szCs w:val="21"/>
          <w:highlight w:val="none"/>
        </w:rPr>
      </w:pPr>
      <w:r>
        <w:rPr>
          <w:rFonts w:hint="default" w:ascii="Times New Roman" w:hAnsi="Times New Roman" w:cs="Times New Roman"/>
          <w:bCs/>
          <w:color w:val="auto"/>
          <w:szCs w:val="21"/>
          <w:highlight w:val="none"/>
        </w:rPr>
        <w:t>地点：</w:t>
      </w:r>
      <w:r>
        <w:rPr>
          <w:rFonts w:hint="default" w:ascii="Times New Roman" w:hAnsi="Times New Roman" w:cs="Times New Roman"/>
          <w:color w:val="auto"/>
          <w:szCs w:val="21"/>
          <w:highlight w:val="none"/>
        </w:rPr>
        <w:t>江苏省南京市长江路198号苏</w:t>
      </w:r>
      <w:r>
        <w:rPr>
          <w:rFonts w:hint="default" w:ascii="Times New Roman" w:hAnsi="Times New Roman" w:cs="Times New Roman"/>
          <w:bCs/>
          <w:color w:val="auto"/>
          <w:highlight w:val="none"/>
        </w:rPr>
        <w:t>美达大厦</w:t>
      </w:r>
      <w:r>
        <w:rPr>
          <w:rFonts w:hint="eastAsia" w:cs="Times New Roman"/>
          <w:bCs/>
          <w:color w:val="auto"/>
          <w:highlight w:val="none"/>
          <w:lang w:val="en-US" w:eastAsia="zh-CN"/>
        </w:rPr>
        <w:t>14楼会议室（1）</w:t>
      </w:r>
    </w:p>
    <w:p w14:paraId="428C870C">
      <w:pPr>
        <w:pStyle w:val="4"/>
        <w:spacing w:before="0" w:after="0" w:line="360" w:lineRule="auto"/>
        <w:rPr>
          <w:rFonts w:hint="default" w:ascii="Times New Roman" w:hAnsi="Times New Roman" w:eastAsia="宋体" w:cs="Times New Roman"/>
          <w:color w:val="auto"/>
          <w:sz w:val="21"/>
          <w:szCs w:val="21"/>
          <w:highlight w:val="none"/>
        </w:rPr>
      </w:pPr>
      <w:bookmarkStart w:id="31" w:name="_Toc31253"/>
      <w:r>
        <w:rPr>
          <w:rFonts w:hint="default" w:ascii="Times New Roman" w:hAnsi="Times New Roman" w:eastAsia="宋体" w:cs="Times New Roman"/>
          <w:color w:val="auto"/>
          <w:sz w:val="21"/>
          <w:szCs w:val="21"/>
          <w:highlight w:val="none"/>
        </w:rPr>
        <w:t>五、公告期限</w:t>
      </w:r>
      <w:bookmarkEnd w:id="27"/>
      <w:bookmarkEnd w:id="28"/>
      <w:bookmarkEnd w:id="29"/>
      <w:bookmarkEnd w:id="30"/>
      <w:bookmarkEnd w:id="31"/>
    </w:p>
    <w:p w14:paraId="1D526070">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自本公告发布之日起5个工作日。</w:t>
      </w:r>
    </w:p>
    <w:p w14:paraId="40694D36">
      <w:pPr>
        <w:pStyle w:val="4"/>
        <w:spacing w:before="0" w:after="0" w:line="360" w:lineRule="auto"/>
        <w:rPr>
          <w:rFonts w:hint="default" w:ascii="Times New Roman" w:hAnsi="Times New Roman" w:eastAsia="宋体" w:cs="Times New Roman"/>
          <w:color w:val="auto"/>
          <w:sz w:val="21"/>
          <w:szCs w:val="21"/>
          <w:highlight w:val="none"/>
        </w:rPr>
      </w:pPr>
      <w:bookmarkStart w:id="32" w:name="_Toc35393795"/>
      <w:bookmarkStart w:id="33" w:name="_Toc35393626"/>
      <w:bookmarkStart w:id="34" w:name="_Toc22506"/>
      <w:r>
        <w:rPr>
          <w:rFonts w:hint="default" w:ascii="Times New Roman" w:hAnsi="Times New Roman" w:eastAsia="宋体" w:cs="Times New Roman"/>
          <w:color w:val="auto"/>
          <w:sz w:val="21"/>
          <w:szCs w:val="21"/>
          <w:highlight w:val="none"/>
        </w:rPr>
        <w:t>六、其他补充事宜</w:t>
      </w:r>
      <w:bookmarkEnd w:id="32"/>
      <w:bookmarkEnd w:id="33"/>
      <w:bookmarkEnd w:id="34"/>
    </w:p>
    <w:p w14:paraId="63A78697">
      <w:pPr>
        <w:widowControl/>
        <w:spacing w:line="360" w:lineRule="auto"/>
        <w:ind w:firstLine="420" w:firstLineChars="200"/>
        <w:rPr>
          <w:rFonts w:hint="default" w:ascii="Times New Roman" w:hAnsi="Times New Roman" w:cs="Times New Roman"/>
          <w:color w:val="auto"/>
          <w:kern w:val="0"/>
          <w:szCs w:val="21"/>
          <w:highlight w:val="none"/>
        </w:rPr>
      </w:pPr>
      <w:bookmarkStart w:id="35" w:name="_Toc28359008"/>
      <w:bookmarkStart w:id="36" w:name="_Toc35393796"/>
      <w:bookmarkStart w:id="37" w:name="_Toc28359085"/>
      <w:bookmarkStart w:id="38" w:name="_Toc35393627"/>
      <w:r>
        <w:rPr>
          <w:rFonts w:hint="default" w:ascii="Times New Roman" w:hAnsi="Times New Roman" w:cs="Times New Roman"/>
          <w:color w:val="auto"/>
          <w:kern w:val="0"/>
          <w:szCs w:val="21"/>
          <w:highlight w:val="none"/>
        </w:rPr>
        <w:t>1、“申请人的资格要求”中“1.满足《中华人民共和国政府采购法》第二十二条规定；”包括但不限于：</w:t>
      </w:r>
    </w:p>
    <w:p w14:paraId="56BBE278">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（1）具有独立承担民事责任的能力，提供法人或其他组织的营业执照等证明文件，复印件加盖公章；</w:t>
      </w:r>
    </w:p>
    <w:p w14:paraId="3CBCA640">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（2）法人代表授权书（原件）及法定代表人、授权代表身份证复印件（如果是法定代表人直接参与投标的可以不提供授权书）；</w:t>
      </w:r>
    </w:p>
    <w:p w14:paraId="1E4247F5">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（3）具有良好的商业信誉和健全的财务会计制度，提供距开标时间六个月内任意一月份的财务状况报告（</w:t>
      </w:r>
      <w:r>
        <w:rPr>
          <w:rFonts w:hint="default" w:ascii="Times New Roman" w:hAnsi="Times New Roman" w:cs="Times New Roman"/>
          <w:b/>
          <w:bCs/>
          <w:color w:val="auto"/>
          <w:kern w:val="0"/>
          <w:szCs w:val="21"/>
          <w:highlight w:val="none"/>
        </w:rPr>
        <w:t>至少包括资产负债表和利润表</w:t>
      </w:r>
      <w:r>
        <w:rPr>
          <w:rFonts w:hint="default" w:ascii="Times New Roman" w:hAnsi="Times New Roman" w:cs="Times New Roman"/>
          <w:color w:val="auto"/>
          <w:kern w:val="0"/>
          <w:szCs w:val="21"/>
          <w:highlight w:val="none"/>
        </w:rPr>
        <w:t>）（法人或者其他组织成立未满三个月的可以不提供），或其银行出具的资信证书（复印件）（开标前六个月内），或其上一年度</w:t>
      </w:r>
      <w:r>
        <w:rPr>
          <w:rFonts w:hint="eastAsia" w:cs="Times New Roman"/>
          <w:color w:val="auto"/>
          <w:kern w:val="0"/>
          <w:szCs w:val="21"/>
          <w:highlight w:val="none"/>
          <w:lang w:eastAsia="zh-CN"/>
        </w:rPr>
        <w:t>（</w:t>
      </w:r>
      <w:r>
        <w:rPr>
          <w:rFonts w:hint="eastAsia" w:cs="Times New Roman"/>
          <w:color w:val="auto"/>
          <w:kern w:val="0"/>
          <w:szCs w:val="21"/>
          <w:highlight w:val="none"/>
          <w:lang w:val="en-US" w:eastAsia="zh-CN"/>
        </w:rPr>
        <w:t>2024年或2025年</w:t>
      </w:r>
      <w:r>
        <w:rPr>
          <w:rFonts w:hint="eastAsia" w:cs="Times New Roman"/>
          <w:color w:val="auto"/>
          <w:kern w:val="0"/>
          <w:szCs w:val="21"/>
          <w:highlight w:val="none"/>
          <w:lang w:eastAsia="zh-CN"/>
        </w:rPr>
        <w:t>）</w:t>
      </w:r>
      <w:r>
        <w:rPr>
          <w:rFonts w:hint="default" w:ascii="Times New Roman" w:hAnsi="Times New Roman" w:cs="Times New Roman"/>
          <w:color w:val="auto"/>
          <w:kern w:val="0"/>
          <w:szCs w:val="21"/>
          <w:highlight w:val="none"/>
        </w:rPr>
        <w:t>经审计的财务报告复印件加盖公章；</w:t>
      </w:r>
    </w:p>
    <w:p w14:paraId="0C539964">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（4）具有履行合同所必需的设备和专业技术能力（根据项目需求提供履行合同所必需的设备和专业技术能力的证明材料或相关加盖公章的承诺函，承诺函自行编写）；</w:t>
      </w:r>
    </w:p>
    <w:p w14:paraId="1CEA083C">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参加政府采购活动近三年内（成立时间不足三年的、自成立时间起），在经营活动中没有重大违法记录（提供承诺书，格式自拟，重大违法记录是指供应商因违法经营受到刑事处罚或责令停产停业、吊销许可证或者执照、较大数额罚款等行政处罚）；</w:t>
      </w:r>
    </w:p>
    <w:p w14:paraId="7A0CB20D">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（6）有依法缴纳税收的良好记录，提供距开标时间六个月内任意一月份的纳税凭据复印件加盖公章（依法免税的应提供相应文件说明）；</w:t>
      </w:r>
    </w:p>
    <w:p w14:paraId="6F41B4F2">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（7）有依法缴纳社会保障资金的良好记录，提供距开标时间六个月内任意一月份的依法缴纳社会保障资金的凭据复印件加盖公章；</w:t>
      </w:r>
    </w:p>
    <w:p w14:paraId="1E60B423">
      <w:pPr>
        <w:autoSpaceDN w:val="0"/>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2、采购项目需要落实的政府采购情况：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625EE149">
      <w:pPr>
        <w:pStyle w:val="4"/>
        <w:spacing w:before="0" w:after="0" w:line="360" w:lineRule="auto"/>
        <w:rPr>
          <w:rFonts w:hint="default" w:ascii="Times New Roman" w:hAnsi="Times New Roman" w:eastAsia="宋体" w:cs="Times New Roman"/>
          <w:color w:val="auto"/>
          <w:sz w:val="21"/>
          <w:szCs w:val="21"/>
          <w:highlight w:val="none"/>
        </w:rPr>
      </w:pPr>
      <w:bookmarkStart w:id="39" w:name="_Toc11007"/>
      <w:r>
        <w:rPr>
          <w:rFonts w:hint="default" w:ascii="Times New Roman" w:hAnsi="Times New Roman" w:eastAsia="宋体" w:cs="Times New Roman"/>
          <w:color w:val="auto"/>
          <w:sz w:val="21"/>
          <w:szCs w:val="21"/>
          <w:highlight w:val="none"/>
        </w:rPr>
        <w:t>七、对本次招标提出询问，请按以下方式联系。</w:t>
      </w:r>
      <w:bookmarkEnd w:id="35"/>
      <w:bookmarkEnd w:id="36"/>
      <w:bookmarkEnd w:id="37"/>
      <w:bookmarkEnd w:id="38"/>
      <w:bookmarkEnd w:id="39"/>
    </w:p>
    <w:p w14:paraId="71CF0A3C">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1、采购人信息</w:t>
      </w:r>
    </w:p>
    <w:p w14:paraId="61B53399">
      <w:pPr>
        <w:spacing w:line="360" w:lineRule="auto"/>
        <w:ind w:firstLine="735" w:firstLine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名  称：中国医学科学院皮肤病医院（中国医学科学院皮肤病研究所）</w:t>
      </w:r>
    </w:p>
    <w:p w14:paraId="1FC2FA0F">
      <w:pPr>
        <w:spacing w:line="360" w:lineRule="auto"/>
        <w:ind w:firstLine="735" w:firstLine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  址：南京市蒋王庙街12号</w:t>
      </w:r>
    </w:p>
    <w:p w14:paraId="4508414B">
      <w:pPr>
        <w:spacing w:line="360" w:lineRule="auto"/>
        <w:ind w:firstLine="735" w:firstLineChars="35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联系方式：</w:t>
      </w:r>
      <w:bookmarkStart w:id="40" w:name="_Toc28359086"/>
      <w:bookmarkStart w:id="41" w:name="_Toc28359009"/>
      <w:r>
        <w:rPr>
          <w:color w:val="auto"/>
          <w:szCs w:val="21"/>
          <w:highlight w:val="none"/>
        </w:rPr>
        <w:t>王老师</w:t>
      </w:r>
      <w:r>
        <w:rPr>
          <w:rFonts w:hint="eastAsia"/>
          <w:color w:val="auto"/>
          <w:szCs w:val="21"/>
          <w:highlight w:val="none"/>
          <w:lang w:val="en-US" w:eastAsia="zh-CN"/>
        </w:rPr>
        <w:t>025-</w:t>
      </w:r>
      <w:r>
        <w:rPr>
          <w:color w:val="auto"/>
          <w:szCs w:val="21"/>
          <w:highlight w:val="none"/>
        </w:rPr>
        <w:t>85478284</w:t>
      </w:r>
    </w:p>
    <w:p w14:paraId="71C37C0F">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2、采购代理机构信息</w:t>
      </w:r>
      <w:bookmarkEnd w:id="40"/>
      <w:bookmarkEnd w:id="41"/>
    </w:p>
    <w:p w14:paraId="6A3FACD5">
      <w:pPr>
        <w:spacing w:line="360" w:lineRule="auto"/>
        <w:ind w:firstLine="735" w:firstLine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名 称：江苏苏美达仪器设备有限公司</w:t>
      </w:r>
    </w:p>
    <w:p w14:paraId="0E8E9070">
      <w:pPr>
        <w:spacing w:line="360" w:lineRule="auto"/>
        <w:ind w:firstLine="735" w:firstLine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　址：南京市长江路198号</w:t>
      </w:r>
    </w:p>
    <w:p w14:paraId="7866D6CA">
      <w:pPr>
        <w:spacing w:line="360" w:lineRule="auto"/>
        <w:ind w:firstLine="735" w:firstLine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联系方式：</w:t>
      </w:r>
      <w:bookmarkStart w:id="42" w:name="_Toc28359010"/>
      <w:bookmarkStart w:id="43" w:name="_Toc28359087"/>
      <w:r>
        <w:rPr>
          <w:rFonts w:hint="default" w:ascii="Times New Roman" w:hAnsi="Times New Roman" w:cs="Times New Roman"/>
          <w:b/>
          <w:bCs/>
          <w:color w:val="auto"/>
          <w:szCs w:val="21"/>
          <w:highlight w:val="none"/>
        </w:rPr>
        <w:t>文件发售：</w:t>
      </w:r>
      <w:r>
        <w:rPr>
          <w:rFonts w:hint="default" w:ascii="Times New Roman" w:hAnsi="Times New Roman" w:cs="Times New Roman"/>
          <w:color w:val="auto"/>
          <w:szCs w:val="21"/>
          <w:highlight w:val="none"/>
        </w:rPr>
        <w:t>李婧怡025-84532580，</w:t>
      </w:r>
      <w:r>
        <w:rPr>
          <w:rFonts w:hint="default" w:ascii="Times New Roman" w:hAnsi="Times New Roman" w:cs="Times New Roman"/>
          <w:b/>
          <w:bCs/>
          <w:color w:val="auto"/>
          <w:szCs w:val="21"/>
          <w:highlight w:val="none"/>
        </w:rPr>
        <w:t>技术咨询：</w:t>
      </w:r>
      <w:r>
        <w:rPr>
          <w:rFonts w:hint="default" w:ascii="Times New Roman" w:hAnsi="Times New Roman" w:cs="Times New Roman"/>
          <w:color w:val="auto"/>
          <w:szCs w:val="21"/>
          <w:highlight w:val="none"/>
        </w:rPr>
        <w:t>朱琳025-84532546、李自牧025-84532531</w:t>
      </w:r>
    </w:p>
    <w:p w14:paraId="21964E0F">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3、项目联系方式</w:t>
      </w:r>
      <w:bookmarkEnd w:id="42"/>
      <w:bookmarkEnd w:id="43"/>
    </w:p>
    <w:p w14:paraId="10C8E350">
      <w:pPr>
        <w:pStyle w:val="26"/>
        <w:spacing w:line="360" w:lineRule="auto"/>
        <w:ind w:firstLine="735" w:firstLine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项目联系人：朱琳</w:t>
      </w:r>
    </w:p>
    <w:p w14:paraId="4606D871">
      <w:pPr>
        <w:pStyle w:val="26"/>
        <w:spacing w:line="360" w:lineRule="auto"/>
        <w:ind w:firstLine="735" w:firstLine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　话：025-84532546</w:t>
      </w:r>
    </w:p>
    <w:p w14:paraId="2E9947EA">
      <w:pPr>
        <w:spacing w:line="360" w:lineRule="auto"/>
        <w:jc w:val="right"/>
        <w:rPr>
          <w:rFonts w:hint="default" w:ascii="Times New Roman" w:hAnsi="Times New Roman" w:cs="Times New Roman"/>
          <w:b/>
          <w:color w:val="auto"/>
          <w:szCs w:val="21"/>
          <w:highlight w:val="none"/>
        </w:rPr>
        <w:sectPr>
          <w:footerReference r:id="rId8" w:type="default"/>
          <w:pgSz w:w="11906" w:h="16838"/>
          <w:pgMar w:top="1134" w:right="1134" w:bottom="1134" w:left="1134" w:header="851" w:footer="992" w:gutter="0"/>
          <w:pgNumType w:start="1"/>
          <w:cols w:space="720" w:num="1"/>
          <w:docGrid w:type="lines" w:linePitch="312" w:charSpace="0"/>
        </w:sectPr>
      </w:pPr>
    </w:p>
    <w:p w14:paraId="2FB9D27C">
      <w:pPr>
        <w:spacing w:line="360" w:lineRule="auto"/>
        <w:jc w:val="center"/>
        <w:outlineLvl w:val="0"/>
        <w:rPr>
          <w:rFonts w:hint="default" w:ascii="Times New Roman" w:hAnsi="Times New Roman" w:cs="Times New Roman"/>
          <w:b/>
          <w:color w:val="auto"/>
          <w:sz w:val="28"/>
          <w:szCs w:val="28"/>
          <w:highlight w:val="none"/>
        </w:rPr>
      </w:pPr>
      <w:bookmarkStart w:id="44" w:name="_Toc519"/>
      <w:bookmarkStart w:id="45" w:name="_Toc28996"/>
      <w:bookmarkStart w:id="46" w:name="_Toc32112"/>
      <w:r>
        <w:rPr>
          <w:rFonts w:hint="default" w:ascii="Times New Roman" w:hAnsi="Times New Roman" w:cs="Times New Roman"/>
          <w:b/>
          <w:color w:val="auto"/>
          <w:sz w:val="28"/>
          <w:szCs w:val="28"/>
          <w:highlight w:val="none"/>
        </w:rPr>
        <w:t>第二章 投标人须知</w:t>
      </w:r>
      <w:bookmarkEnd w:id="44"/>
      <w:bookmarkEnd w:id="45"/>
      <w:bookmarkEnd w:id="46"/>
    </w:p>
    <w:p w14:paraId="16A5934C">
      <w:pPr>
        <w:widowControl/>
        <w:shd w:val="clear" w:color="auto" w:fill="FFFFFF"/>
        <w:spacing w:line="360" w:lineRule="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rPr>
        <w:t>投标人须知前附表（本表是对投标人须知的具体补充和修改，如有矛盾，应以本表为准）</w:t>
      </w:r>
    </w:p>
    <w:tbl>
      <w:tblPr>
        <w:tblStyle w:val="4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7"/>
        <w:gridCol w:w="8735"/>
      </w:tblGrid>
      <w:tr w14:paraId="3BB8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7" w:type="pct"/>
            <w:vAlign w:val="center"/>
          </w:tcPr>
          <w:p w14:paraId="6536F13C">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序号</w:t>
            </w:r>
          </w:p>
        </w:tc>
        <w:tc>
          <w:tcPr>
            <w:tcW w:w="4432" w:type="pct"/>
            <w:vAlign w:val="center"/>
          </w:tcPr>
          <w:p w14:paraId="0936E906">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主要内容</w:t>
            </w:r>
          </w:p>
        </w:tc>
      </w:tr>
      <w:tr w14:paraId="203E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7" w:type="pct"/>
            <w:vAlign w:val="center"/>
          </w:tcPr>
          <w:p w14:paraId="34820EBE">
            <w:pPr>
              <w:spacing w:line="360" w:lineRule="auto"/>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w:t>
            </w:r>
          </w:p>
        </w:tc>
        <w:tc>
          <w:tcPr>
            <w:tcW w:w="4432" w:type="pct"/>
            <w:vAlign w:val="center"/>
          </w:tcPr>
          <w:p w14:paraId="49945295">
            <w:pPr>
              <w:widowControl/>
              <w:shd w:val="clear" w:color="auto" w:fill="FFFFFF"/>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采购人：中国医学科学院皮肤病医院（中国医学科学院皮肤病研究所）</w:t>
            </w:r>
          </w:p>
          <w:p w14:paraId="5ADAABEE">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联系方式：</w:t>
            </w:r>
            <w:r>
              <w:rPr>
                <w:color w:val="auto"/>
                <w:szCs w:val="21"/>
                <w:highlight w:val="none"/>
              </w:rPr>
              <w:t>王老师</w:t>
            </w:r>
            <w:r>
              <w:rPr>
                <w:rFonts w:hint="eastAsia"/>
                <w:color w:val="auto"/>
                <w:szCs w:val="21"/>
                <w:highlight w:val="none"/>
                <w:lang w:val="en-US" w:eastAsia="zh-CN"/>
              </w:rPr>
              <w:t>025-</w:t>
            </w:r>
            <w:r>
              <w:rPr>
                <w:color w:val="auto"/>
                <w:szCs w:val="21"/>
                <w:highlight w:val="none"/>
              </w:rPr>
              <w:t>85478284</w:t>
            </w:r>
          </w:p>
          <w:p w14:paraId="037B9C77">
            <w:pPr>
              <w:widowControl/>
              <w:shd w:val="clear" w:color="auto" w:fill="FFFFFF"/>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地址：南京市蒋王庙街12号</w:t>
            </w:r>
          </w:p>
        </w:tc>
      </w:tr>
      <w:tr w14:paraId="4C20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7" w:type="pct"/>
            <w:vAlign w:val="center"/>
          </w:tcPr>
          <w:p w14:paraId="21731D08">
            <w:pPr>
              <w:spacing w:line="360" w:lineRule="auto"/>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w:t>
            </w:r>
          </w:p>
        </w:tc>
        <w:tc>
          <w:tcPr>
            <w:tcW w:w="4432" w:type="pct"/>
            <w:vAlign w:val="center"/>
          </w:tcPr>
          <w:p w14:paraId="6F3055DC">
            <w:pPr>
              <w:widowControl/>
              <w:shd w:val="clear" w:color="auto" w:fill="FFFFFF"/>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采购代理机构：江苏苏美达仪器设备有限公司</w:t>
            </w:r>
          </w:p>
          <w:p w14:paraId="1F91915E">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文件发售联系人：李婧怡025-84532580 lijingyi@sumec.com.cn</w:t>
            </w:r>
          </w:p>
          <w:p w14:paraId="5E45FA5A">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技术咨询联系人：朱琳025-84532546、李自牧025-84532531</w:t>
            </w:r>
          </w:p>
          <w:p w14:paraId="31BB6A9A">
            <w:pPr>
              <w:widowControl/>
              <w:shd w:val="clear" w:color="auto" w:fill="FFFFFF"/>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联系地址：南京市长江路198号</w:t>
            </w:r>
          </w:p>
        </w:tc>
      </w:tr>
      <w:tr w14:paraId="6F19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7" w:type="pct"/>
            <w:vAlign w:val="center"/>
          </w:tcPr>
          <w:p w14:paraId="773C2296">
            <w:pPr>
              <w:spacing w:line="360" w:lineRule="auto"/>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w:t>
            </w:r>
          </w:p>
        </w:tc>
        <w:tc>
          <w:tcPr>
            <w:tcW w:w="4432" w:type="pct"/>
            <w:vAlign w:val="center"/>
          </w:tcPr>
          <w:p w14:paraId="15600DB2">
            <w:pPr>
              <w:widowControl/>
              <w:shd w:val="clear" w:color="auto" w:fill="FFFFFF"/>
              <w:spacing w:line="360" w:lineRule="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项目名称：</w:t>
            </w:r>
            <w:r>
              <w:rPr>
                <w:rFonts w:hint="eastAsia" w:cs="Times New Roman"/>
                <w:color w:val="auto"/>
                <w:sz w:val="21"/>
                <w:szCs w:val="21"/>
                <w:highlight w:val="none"/>
                <w:lang w:val="en-US" w:eastAsia="zh-CN"/>
              </w:rPr>
              <w:t>空气净化消毒器</w:t>
            </w:r>
            <w:r>
              <w:rPr>
                <w:rFonts w:hint="default" w:ascii="Times New Roman" w:hAnsi="Times New Roman" w:cs="Times New Roman"/>
                <w:color w:val="auto"/>
                <w:highlight w:val="none"/>
              </w:rPr>
              <w:t xml:space="preserve"> </w:t>
            </w:r>
          </w:p>
          <w:p w14:paraId="4D22E8AC">
            <w:pPr>
              <w:widowControl/>
              <w:shd w:val="clear" w:color="auto" w:fill="FFFFFF"/>
              <w:spacing w:line="360" w:lineRule="auto"/>
              <w:rPr>
                <w:rFonts w:hint="eastAsia" w:ascii="Times New Roman" w:hAnsi="Times New Roman" w:eastAsia="宋体" w:cs="Times New Roman"/>
                <w:color w:val="auto"/>
                <w:szCs w:val="21"/>
                <w:highlight w:val="none"/>
                <w:lang w:eastAsia="zh-CN"/>
              </w:rPr>
            </w:pPr>
            <w:r>
              <w:rPr>
                <w:rFonts w:hint="default" w:ascii="Times New Roman" w:hAnsi="Times New Roman" w:cs="Times New Roman"/>
                <w:color w:val="auto"/>
                <w:kern w:val="0"/>
                <w:szCs w:val="21"/>
                <w:highlight w:val="none"/>
              </w:rPr>
              <w:t>项目编号：</w:t>
            </w:r>
            <w:r>
              <w:rPr>
                <w:rFonts w:hint="eastAsia" w:cs="Times New Roman"/>
                <w:color w:val="auto"/>
                <w:szCs w:val="21"/>
                <w:highlight w:val="none"/>
                <w:lang w:eastAsia="zh-CN"/>
              </w:rPr>
              <w:t>2640SUMEC/XMGG4169</w:t>
            </w:r>
          </w:p>
        </w:tc>
      </w:tr>
      <w:tr w14:paraId="41CF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7" w:type="pct"/>
            <w:vAlign w:val="center"/>
          </w:tcPr>
          <w:p w14:paraId="4C25982C">
            <w:pPr>
              <w:spacing w:line="360" w:lineRule="auto"/>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w:t>
            </w:r>
          </w:p>
        </w:tc>
        <w:tc>
          <w:tcPr>
            <w:tcW w:w="4432" w:type="pct"/>
            <w:vAlign w:val="center"/>
          </w:tcPr>
          <w:p w14:paraId="0414BB82">
            <w:pPr>
              <w:widowControl/>
              <w:shd w:val="clear" w:color="auto" w:fill="FFFFFF"/>
              <w:spacing w:line="360" w:lineRule="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采购方式：</w:t>
            </w:r>
            <w:r>
              <w:rPr>
                <w:rFonts w:hint="default" w:ascii="Times New Roman" w:hAnsi="Times New Roman" w:cs="Times New Roman"/>
                <w:b/>
                <w:bCs/>
                <w:color w:val="auto"/>
                <w:kern w:val="0"/>
                <w:szCs w:val="21"/>
                <w:highlight w:val="none"/>
              </w:rPr>
              <w:t>公开招标</w:t>
            </w:r>
          </w:p>
        </w:tc>
      </w:tr>
      <w:tr w14:paraId="02B4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67" w:type="pct"/>
            <w:vAlign w:val="center"/>
          </w:tcPr>
          <w:p w14:paraId="49800561">
            <w:pPr>
              <w:spacing w:line="360" w:lineRule="auto"/>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w:t>
            </w:r>
          </w:p>
        </w:tc>
        <w:tc>
          <w:tcPr>
            <w:tcW w:w="4432" w:type="pct"/>
            <w:vAlign w:val="center"/>
          </w:tcPr>
          <w:p w14:paraId="702E55ED">
            <w:pPr>
              <w:widowControl/>
              <w:shd w:val="clear" w:color="auto" w:fill="FFFFFF"/>
              <w:spacing w:line="360" w:lineRule="auto"/>
              <w:rPr>
                <w:rFonts w:hint="default" w:ascii="Times New Roman" w:hAnsi="Times New Roman" w:cs="Times New Roman"/>
                <w:color w:val="auto"/>
                <w:kern w:val="0"/>
                <w:szCs w:val="21"/>
                <w:highlight w:val="none"/>
              </w:rPr>
            </w:pPr>
            <w:r>
              <w:rPr>
                <w:rFonts w:hint="default" w:ascii="Times New Roman" w:hAnsi="Times New Roman" w:cs="Times New Roman"/>
                <w:b/>
                <w:bCs/>
                <w:color w:val="auto"/>
                <w:szCs w:val="21"/>
                <w:highlight w:val="none"/>
              </w:rPr>
              <w:t>投标有效期</w:t>
            </w:r>
            <w:r>
              <w:rPr>
                <w:rFonts w:hint="default" w:ascii="Times New Roman" w:hAnsi="Times New Roman" w:cs="Times New Roman"/>
                <w:color w:val="auto"/>
                <w:szCs w:val="21"/>
                <w:highlight w:val="none"/>
              </w:rPr>
              <w:t>：开标之日起90天</w:t>
            </w:r>
          </w:p>
        </w:tc>
      </w:tr>
      <w:tr w14:paraId="3274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 w:type="pct"/>
            <w:vAlign w:val="center"/>
          </w:tcPr>
          <w:p w14:paraId="277ECF42">
            <w:pPr>
              <w:spacing w:line="360" w:lineRule="auto"/>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6</w:t>
            </w:r>
          </w:p>
        </w:tc>
        <w:tc>
          <w:tcPr>
            <w:tcW w:w="4432" w:type="pct"/>
            <w:vAlign w:val="center"/>
          </w:tcPr>
          <w:p w14:paraId="6875A020">
            <w:pPr>
              <w:widowControl/>
              <w:shd w:val="clear" w:color="auto" w:fill="FFFFFF"/>
              <w:spacing w:line="360" w:lineRule="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投标保证金：</w:t>
            </w:r>
          </w:p>
          <w:p w14:paraId="1B9E04F4">
            <w:pPr>
              <w:widowControl/>
              <w:shd w:val="clear" w:color="auto" w:fill="FFFFFF"/>
              <w:spacing w:line="360" w:lineRule="auto"/>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作为投标文件的一部分，投标人应提供投标保证金；投标保证金有效期应当与投标有效期一致。</w:t>
            </w:r>
          </w:p>
          <w:p w14:paraId="5B466625">
            <w:pPr>
              <w:widowControl/>
              <w:shd w:val="clear" w:color="auto" w:fill="FFFFFF"/>
              <w:spacing w:line="360" w:lineRule="auto"/>
              <w:jc w:val="left"/>
              <w:rPr>
                <w:rFonts w:hint="default" w:ascii="Times New Roman" w:hAnsi="Times New Roman" w:cs="Times New Roman"/>
                <w:color w:val="auto"/>
                <w:kern w:val="0"/>
                <w:szCs w:val="21"/>
                <w:highlight w:val="none"/>
              </w:rPr>
            </w:pPr>
            <w:r>
              <w:rPr>
                <w:rFonts w:hint="default" w:ascii="Times New Roman" w:hAnsi="Times New Roman" w:cs="Times New Roman"/>
                <w:b/>
                <w:bCs/>
                <w:color w:val="auto"/>
                <w:kern w:val="0"/>
                <w:szCs w:val="21"/>
                <w:highlight w:val="none"/>
              </w:rPr>
              <w:t>投标保证金金额</w:t>
            </w:r>
            <w:r>
              <w:rPr>
                <w:rFonts w:hint="default" w:ascii="Times New Roman" w:hAnsi="Times New Roman" w:cs="Times New Roman"/>
                <w:color w:val="auto"/>
                <w:kern w:val="0"/>
                <w:szCs w:val="21"/>
                <w:highlight w:val="none"/>
              </w:rPr>
              <w:t>具体如下：</w:t>
            </w:r>
          </w:p>
          <w:p w14:paraId="7F117ED4">
            <w:pPr>
              <w:widowControl/>
              <w:shd w:val="clear" w:color="auto" w:fill="FFFFFF"/>
              <w:spacing w:line="360" w:lineRule="auto"/>
              <w:jc w:val="left"/>
              <w:rPr>
                <w:rFonts w:hint="eastAsia" w:ascii="Times New Roman" w:hAnsi="Times New Roman" w:eastAsia="宋体" w:cs="Times New Roman"/>
                <w:b/>
                <w:bCs/>
                <w:color w:val="auto"/>
                <w:kern w:val="0"/>
                <w:szCs w:val="21"/>
                <w:highlight w:val="none"/>
                <w:lang w:eastAsia="zh-CN"/>
              </w:rPr>
            </w:pPr>
            <w:r>
              <w:rPr>
                <w:b/>
                <w:bCs/>
                <w:color w:val="auto"/>
                <w:kern w:val="0"/>
                <w:szCs w:val="21"/>
                <w:highlight w:val="none"/>
              </w:rPr>
              <w:t>人民币</w:t>
            </w:r>
            <w:r>
              <w:rPr>
                <w:rFonts w:hint="eastAsia"/>
                <w:b/>
                <w:bCs/>
                <w:color w:val="auto"/>
                <w:kern w:val="0"/>
                <w:szCs w:val="21"/>
                <w:highlight w:val="none"/>
                <w:lang w:val="en-US" w:eastAsia="zh-CN"/>
              </w:rPr>
              <w:t>肆仟</w:t>
            </w:r>
            <w:r>
              <w:rPr>
                <w:b/>
                <w:bCs/>
                <w:color w:val="auto"/>
                <w:kern w:val="0"/>
                <w:szCs w:val="21"/>
                <w:highlight w:val="none"/>
              </w:rPr>
              <w:t>元整（¥</w:t>
            </w:r>
            <w:r>
              <w:rPr>
                <w:rFonts w:hint="eastAsia"/>
                <w:b/>
                <w:bCs/>
                <w:color w:val="auto"/>
                <w:kern w:val="0"/>
                <w:szCs w:val="21"/>
                <w:highlight w:val="none"/>
                <w:lang w:val="en-US" w:eastAsia="zh-CN"/>
              </w:rPr>
              <w:t>4</w:t>
            </w:r>
            <w:r>
              <w:rPr>
                <w:b/>
                <w:bCs/>
                <w:color w:val="auto"/>
                <w:kern w:val="0"/>
                <w:szCs w:val="21"/>
                <w:highlight w:val="none"/>
              </w:rPr>
              <w:t>000.00）</w:t>
            </w:r>
            <w:r>
              <w:rPr>
                <w:rFonts w:hint="eastAsia"/>
                <w:b/>
                <w:bCs/>
                <w:color w:val="auto"/>
                <w:kern w:val="0"/>
                <w:szCs w:val="21"/>
                <w:highlight w:val="none"/>
                <w:lang w:eastAsia="zh-CN"/>
              </w:rPr>
              <w:t>。</w:t>
            </w:r>
          </w:p>
          <w:p w14:paraId="47507B90">
            <w:pPr>
              <w:spacing w:line="360" w:lineRule="auto"/>
              <w:jc w:val="left"/>
              <w:rPr>
                <w:rFonts w:hint="default" w:ascii="Times New Roman" w:hAnsi="Times New Roman" w:cs="Times New Roman"/>
                <w:b/>
                <w:color w:val="auto"/>
                <w:szCs w:val="21"/>
                <w:highlight w:val="none"/>
              </w:rPr>
            </w:pPr>
            <w:r>
              <w:rPr>
                <w:rFonts w:hint="default" w:ascii="Times New Roman" w:hAnsi="Times New Roman" w:cs="Times New Roman"/>
                <w:b/>
                <w:bCs/>
                <w:color w:val="auto"/>
                <w:szCs w:val="21"/>
                <w:highlight w:val="none"/>
              </w:rPr>
              <w:t>形式：电汇、汇票、本票、转账支票等非现金形式</w:t>
            </w:r>
            <w:r>
              <w:rPr>
                <w:rFonts w:hint="default" w:ascii="Times New Roman" w:hAnsi="Times New Roman" w:cs="Times New Roman"/>
                <w:b/>
                <w:color w:val="auto"/>
                <w:szCs w:val="21"/>
                <w:highlight w:val="none"/>
              </w:rPr>
              <w:t>（开户行在南京地区以外的投标人不接受转账支票或本票作为投标保证金）</w:t>
            </w:r>
          </w:p>
          <w:p w14:paraId="0DB746C5">
            <w:pPr>
              <w:spacing w:line="360" w:lineRule="auto"/>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投标保证金收款单位信息：</w:t>
            </w:r>
          </w:p>
          <w:p w14:paraId="35FACEF6">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户名：江苏苏美达仪器设备有限公司</w:t>
            </w:r>
          </w:p>
          <w:p w14:paraId="6DC81A76">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开户银行：农行南京广州路支行</w:t>
            </w:r>
          </w:p>
          <w:p w14:paraId="004D78B5">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账户：10100301040003106</w:t>
            </w:r>
          </w:p>
          <w:p w14:paraId="36E49495">
            <w:pPr>
              <w:spacing w:line="360" w:lineRule="auto"/>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投标人在汇款时，须在汇款单上</w:t>
            </w:r>
            <w:r>
              <w:rPr>
                <w:rFonts w:hint="default" w:ascii="Times New Roman" w:hAnsi="Times New Roman" w:cs="Times New Roman"/>
                <w:b/>
                <w:color w:val="auto"/>
                <w:szCs w:val="21"/>
                <w:highlight w:val="none"/>
              </w:rPr>
              <w:t>注明招标项目编号（4</w:t>
            </w:r>
            <w:r>
              <w:rPr>
                <w:rFonts w:hint="eastAsia" w:cs="Times New Roman"/>
                <w:b/>
                <w:color w:val="auto"/>
                <w:szCs w:val="21"/>
                <w:highlight w:val="none"/>
                <w:lang w:val="en-US" w:eastAsia="zh-CN"/>
              </w:rPr>
              <w:t>169</w:t>
            </w:r>
            <w:r>
              <w:rPr>
                <w:rFonts w:hint="default" w:ascii="Times New Roman" w:hAnsi="Times New Roman" w:cs="Times New Roman"/>
                <w:b/>
                <w:color w:val="auto"/>
                <w:szCs w:val="21"/>
                <w:highlight w:val="none"/>
              </w:rPr>
              <w:t>）</w:t>
            </w:r>
            <w:r>
              <w:rPr>
                <w:rFonts w:hint="default" w:ascii="Times New Roman" w:hAnsi="Times New Roman" w:cs="Times New Roman"/>
                <w:bCs/>
                <w:color w:val="auto"/>
                <w:szCs w:val="21"/>
                <w:highlight w:val="none"/>
              </w:rPr>
              <w:t>，否则，因款项用途不明导致投标无效等后果由投标人自行承担。如采用电汇方式交纳投标保证金则</w:t>
            </w:r>
            <w:r>
              <w:rPr>
                <w:rFonts w:hint="default" w:ascii="Times New Roman" w:hAnsi="Times New Roman" w:cs="Times New Roman"/>
                <w:b/>
                <w:color w:val="auto"/>
                <w:szCs w:val="21"/>
                <w:highlight w:val="none"/>
              </w:rPr>
              <w:t>以实际到账日期为准</w:t>
            </w:r>
            <w:r>
              <w:rPr>
                <w:rFonts w:hint="default" w:ascii="Times New Roman" w:hAnsi="Times New Roman" w:cs="Times New Roman"/>
                <w:bCs/>
                <w:color w:val="auto"/>
                <w:szCs w:val="21"/>
                <w:highlight w:val="none"/>
              </w:rPr>
              <w:t>。</w:t>
            </w:r>
          </w:p>
          <w:p w14:paraId="3E31222D">
            <w:pPr>
              <w:spacing w:line="360" w:lineRule="auto"/>
              <w:jc w:val="lef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szCs w:val="21"/>
                <w:highlight w:val="none"/>
              </w:rPr>
              <w:t>投标人</w:t>
            </w:r>
            <w:r>
              <w:rPr>
                <w:rFonts w:hint="default" w:ascii="Times New Roman" w:hAnsi="Times New Roman" w:cs="Times New Roman"/>
                <w:bCs/>
                <w:color w:val="auto"/>
                <w:kern w:val="0"/>
                <w:szCs w:val="21"/>
                <w:highlight w:val="none"/>
              </w:rPr>
              <w:t>将保证金付款凭证复印件加盖公章放入投标文件中。未按要求递交投标保证金的做无效标处理。</w:t>
            </w:r>
          </w:p>
          <w:p w14:paraId="6A8981F2">
            <w:pPr>
              <w:spacing w:line="360" w:lineRule="auto"/>
              <w:jc w:val="left"/>
              <w:rPr>
                <w:rFonts w:hint="default" w:ascii="Times New Roman" w:hAnsi="Times New Roman" w:cs="Times New Roman"/>
                <w:b/>
                <w:color w:val="auto"/>
                <w:kern w:val="0"/>
                <w:szCs w:val="21"/>
                <w:highlight w:val="none"/>
              </w:rPr>
            </w:pPr>
            <w:r>
              <w:rPr>
                <w:rFonts w:hint="default" w:ascii="Times New Roman" w:hAnsi="Times New Roman" w:cs="Times New Roman"/>
                <w:bCs/>
                <w:color w:val="auto"/>
                <w:kern w:val="0"/>
                <w:szCs w:val="21"/>
                <w:highlight w:val="none"/>
              </w:rPr>
              <w:t>保证金退还事宜请联系：李婧怡025-84532580 lijingyi@sumec.com.cn</w:t>
            </w:r>
          </w:p>
        </w:tc>
      </w:tr>
      <w:tr w14:paraId="0810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567" w:type="pct"/>
            <w:vAlign w:val="center"/>
          </w:tcPr>
          <w:p w14:paraId="76AC148F">
            <w:pPr>
              <w:spacing w:line="360" w:lineRule="auto"/>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7</w:t>
            </w:r>
          </w:p>
        </w:tc>
        <w:tc>
          <w:tcPr>
            <w:tcW w:w="4432" w:type="pct"/>
            <w:vAlign w:val="center"/>
          </w:tcPr>
          <w:p w14:paraId="2E6140FF">
            <w:pPr>
              <w:spacing w:line="360" w:lineRule="auto"/>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投标文件份数：正本1份，</w:t>
            </w:r>
            <w:r>
              <w:rPr>
                <w:rFonts w:hint="default" w:ascii="Times New Roman" w:hAnsi="Times New Roman" w:cs="Times New Roman"/>
                <w:b/>
                <w:bCs/>
                <w:color w:val="auto"/>
                <w:kern w:val="0"/>
                <w:szCs w:val="21"/>
                <w:highlight w:val="none"/>
              </w:rPr>
              <w:t>副本5份</w:t>
            </w:r>
            <w:r>
              <w:rPr>
                <w:rFonts w:hint="default" w:ascii="Times New Roman" w:hAnsi="Times New Roman" w:cs="Times New Roman"/>
                <w:color w:val="auto"/>
                <w:kern w:val="0"/>
                <w:szCs w:val="21"/>
                <w:highlight w:val="none"/>
              </w:rPr>
              <w:t>，</w:t>
            </w:r>
            <w:r>
              <w:rPr>
                <w:rFonts w:hint="default" w:ascii="Times New Roman" w:hAnsi="Times New Roman" w:cs="Times New Roman"/>
                <w:color w:val="auto"/>
                <w:szCs w:val="21"/>
                <w:highlight w:val="none"/>
              </w:rPr>
              <w:t>电子版1份</w:t>
            </w:r>
            <w:r>
              <w:rPr>
                <w:rFonts w:hint="default" w:ascii="Times New Roman" w:hAnsi="Times New Roman" w:cs="Times New Roman"/>
                <w:color w:val="auto"/>
                <w:kern w:val="0"/>
                <w:szCs w:val="21"/>
                <w:highlight w:val="none"/>
              </w:rPr>
              <w:t>。</w:t>
            </w:r>
          </w:p>
          <w:p w14:paraId="47872776">
            <w:pPr>
              <w:spacing w:line="360" w:lineRule="auto"/>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注：</w:t>
            </w:r>
            <w:r>
              <w:rPr>
                <w:rFonts w:hint="default" w:ascii="Times New Roman" w:hAnsi="Times New Roman" w:cs="Times New Roman"/>
                <w:color w:val="auto"/>
                <w:szCs w:val="21"/>
                <w:highlight w:val="none"/>
              </w:rPr>
              <w:t>电子版须为</w:t>
            </w:r>
            <w:r>
              <w:rPr>
                <w:rFonts w:hint="default" w:ascii="Times New Roman" w:hAnsi="Times New Roman" w:cs="Times New Roman"/>
                <w:b/>
                <w:bCs/>
                <w:color w:val="auto"/>
                <w:szCs w:val="21"/>
                <w:highlight w:val="none"/>
              </w:rPr>
              <w:t>投标文件盖公章</w:t>
            </w:r>
            <w:r>
              <w:rPr>
                <w:rFonts w:hint="default" w:ascii="Times New Roman" w:hAnsi="Times New Roman" w:cs="Times New Roman"/>
                <w:b/>
                <w:color w:val="auto"/>
                <w:szCs w:val="21"/>
                <w:highlight w:val="none"/>
              </w:rPr>
              <w:t>（红章）</w:t>
            </w:r>
            <w:r>
              <w:rPr>
                <w:rFonts w:hint="default" w:ascii="Times New Roman" w:hAnsi="Times New Roman" w:cs="Times New Roman"/>
                <w:b/>
                <w:bCs/>
                <w:color w:val="auto"/>
                <w:szCs w:val="21"/>
                <w:highlight w:val="none"/>
              </w:rPr>
              <w:t>正本的PDF复印件，</w:t>
            </w:r>
            <w:r>
              <w:rPr>
                <w:rFonts w:hint="default" w:ascii="Times New Roman" w:hAnsi="Times New Roman" w:cs="Times New Roman"/>
                <w:b/>
                <w:color w:val="auto"/>
                <w:szCs w:val="21"/>
                <w:highlight w:val="none"/>
              </w:rPr>
              <w:t>复印件内容应与纸质文件完全一致。文件名建议修改为</w:t>
            </w:r>
            <w:r>
              <w:rPr>
                <w:rFonts w:hint="default" w:ascii="Times New Roman" w:hAnsi="Times New Roman" w:cs="Times New Roman"/>
                <w:color w:val="auto"/>
                <w:szCs w:val="21"/>
                <w:highlight w:val="none"/>
              </w:rPr>
              <w:t>公司名+项目编号简写。</w:t>
            </w:r>
            <w:r>
              <w:rPr>
                <w:rFonts w:hint="default" w:ascii="Times New Roman" w:hAnsi="Times New Roman" w:cs="Times New Roman"/>
                <w:b/>
                <w:color w:val="auto"/>
                <w:szCs w:val="21"/>
                <w:highlight w:val="none"/>
              </w:rPr>
              <w:t>如多标段投标，电子版可合并一个U盘提交</w:t>
            </w:r>
            <w:r>
              <w:rPr>
                <w:rFonts w:hint="default" w:ascii="Times New Roman" w:hAnsi="Times New Roman" w:cs="Times New Roman"/>
                <w:color w:val="auto"/>
                <w:szCs w:val="21"/>
                <w:highlight w:val="none"/>
              </w:rPr>
              <w:t>。电子文档用于存档，以</w:t>
            </w:r>
            <w:r>
              <w:rPr>
                <w:rFonts w:hint="default" w:ascii="Times New Roman" w:hAnsi="Times New Roman" w:cs="Times New Roman"/>
                <w:b/>
                <w:bCs/>
                <w:color w:val="auto"/>
                <w:szCs w:val="21"/>
                <w:highlight w:val="none"/>
              </w:rPr>
              <w:t>U盘</w:t>
            </w:r>
            <w:r>
              <w:rPr>
                <w:rFonts w:hint="default" w:ascii="Times New Roman" w:hAnsi="Times New Roman" w:cs="Times New Roman"/>
                <w:b/>
                <w:color w:val="auto"/>
                <w:szCs w:val="21"/>
                <w:highlight w:val="none"/>
              </w:rPr>
              <w:t>（请勿提交刻录光盘）</w:t>
            </w:r>
            <w:r>
              <w:rPr>
                <w:rFonts w:hint="default" w:ascii="Times New Roman" w:hAnsi="Times New Roman" w:cs="Times New Roman"/>
                <w:color w:val="auto"/>
                <w:szCs w:val="21"/>
                <w:highlight w:val="none"/>
              </w:rPr>
              <w:t>形式递交，当纸质正本文件和电子文档不一致时，以纸质正本文件为准。</w:t>
            </w:r>
            <w:r>
              <w:rPr>
                <w:rFonts w:hint="default" w:ascii="Times New Roman" w:hAnsi="Times New Roman" w:cs="Times New Roman"/>
                <w:b/>
                <w:bCs/>
                <w:color w:val="auto"/>
                <w:szCs w:val="21"/>
                <w:highlight w:val="none"/>
              </w:rPr>
              <w:t>U盘不予退还。</w:t>
            </w:r>
          </w:p>
        </w:tc>
      </w:tr>
      <w:tr w14:paraId="64C1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67" w:type="pct"/>
            <w:vAlign w:val="center"/>
          </w:tcPr>
          <w:p w14:paraId="76B6D8E5">
            <w:pPr>
              <w:spacing w:line="360" w:lineRule="auto"/>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8</w:t>
            </w:r>
          </w:p>
        </w:tc>
        <w:tc>
          <w:tcPr>
            <w:tcW w:w="4432" w:type="pct"/>
            <w:vAlign w:val="center"/>
          </w:tcPr>
          <w:p w14:paraId="6F26FBD9">
            <w:pPr>
              <w:spacing w:line="360" w:lineRule="auto"/>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递交投标文件开始时间：</w:t>
            </w:r>
            <w:r>
              <w:rPr>
                <w:rFonts w:hint="default" w:ascii="Times New Roman" w:hAnsi="Times New Roman" w:cs="Times New Roman"/>
                <w:color w:val="auto"/>
                <w:szCs w:val="21"/>
                <w:highlight w:val="none"/>
              </w:rPr>
              <w:t>详见招标公告</w:t>
            </w:r>
          </w:p>
          <w:p w14:paraId="5053C5A9">
            <w:pPr>
              <w:spacing w:line="360" w:lineRule="auto"/>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递交投标文件截止时间、开标时间：</w:t>
            </w:r>
            <w:r>
              <w:rPr>
                <w:rFonts w:hint="default" w:ascii="Times New Roman" w:hAnsi="Times New Roman" w:cs="Times New Roman"/>
                <w:color w:val="auto"/>
                <w:szCs w:val="21"/>
                <w:highlight w:val="none"/>
              </w:rPr>
              <w:t>详见招标公告</w:t>
            </w:r>
          </w:p>
          <w:p w14:paraId="5953A1AA">
            <w:pPr>
              <w:spacing w:line="360" w:lineRule="auto"/>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地点：</w:t>
            </w:r>
            <w:r>
              <w:rPr>
                <w:rFonts w:hint="default" w:ascii="Times New Roman" w:hAnsi="Times New Roman" w:cs="Times New Roman"/>
                <w:color w:val="auto"/>
                <w:szCs w:val="21"/>
                <w:highlight w:val="none"/>
              </w:rPr>
              <w:t>详见招标公告</w:t>
            </w:r>
          </w:p>
        </w:tc>
      </w:tr>
      <w:tr w14:paraId="48E3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pct"/>
            <w:vAlign w:val="center"/>
          </w:tcPr>
          <w:p w14:paraId="0254F8B1">
            <w:pPr>
              <w:spacing w:line="360" w:lineRule="auto"/>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9</w:t>
            </w:r>
          </w:p>
        </w:tc>
        <w:tc>
          <w:tcPr>
            <w:tcW w:w="4432" w:type="pct"/>
            <w:vAlign w:val="center"/>
          </w:tcPr>
          <w:p w14:paraId="3AD5E09E">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投标报价：</w:t>
            </w:r>
          </w:p>
          <w:p w14:paraId="6954C6B5">
            <w:pPr>
              <w:pStyle w:val="45"/>
              <w:ind w:firstLineChars="200"/>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所有投标响应均以人民币报价。供应商的投标响应报价应遵守“中华人民共和国价格法”。该报价为到中国医学科学院皮肤病医院（中国医学科学院皮肤病研究所）现场的全部费用，含相关税费，运输费，保险费，安装费及相关服务费等一切可能发生的费用。</w:t>
            </w:r>
          </w:p>
        </w:tc>
      </w:tr>
      <w:tr w14:paraId="28F3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pct"/>
            <w:vAlign w:val="center"/>
          </w:tcPr>
          <w:p w14:paraId="4237D664">
            <w:pPr>
              <w:widowControl/>
              <w:shd w:val="clear" w:color="auto" w:fill="FFFFFF"/>
              <w:spacing w:line="360" w:lineRule="auto"/>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10</w:t>
            </w:r>
          </w:p>
        </w:tc>
        <w:tc>
          <w:tcPr>
            <w:tcW w:w="4432" w:type="pct"/>
            <w:vAlign w:val="center"/>
          </w:tcPr>
          <w:p w14:paraId="47F55F6C">
            <w:pPr>
              <w:pStyle w:val="42"/>
              <w:spacing w:before="0" w:beforeAutospacing="0" w:after="0" w:afterAutospacing="0" w:line="360" w:lineRule="auto"/>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b/>
                <w:bCs/>
                <w:color w:val="auto"/>
                <w:kern w:val="2"/>
                <w:sz w:val="21"/>
                <w:szCs w:val="21"/>
                <w:highlight w:val="none"/>
              </w:rPr>
              <w:t>现场勘察要求：</w:t>
            </w:r>
          </w:p>
          <w:p w14:paraId="3D9A50C1">
            <w:pPr>
              <w:pStyle w:val="42"/>
              <w:spacing w:before="0" w:beforeAutospacing="0" w:after="0" w:afterAutospacing="0" w:line="360" w:lineRule="auto"/>
              <w:rPr>
                <w:rFonts w:hint="default" w:ascii="Times New Roman" w:hAnsi="Times New Roman" w:eastAsia="宋体" w:cs="Times New Roman"/>
                <w:b/>
                <w:bCs/>
                <w:color w:val="auto"/>
                <w:kern w:val="2"/>
                <w:sz w:val="21"/>
                <w:szCs w:val="21"/>
                <w:highlight w:val="none"/>
              </w:rPr>
            </w:pPr>
            <w:r>
              <w:rPr>
                <w:rFonts w:hint="default" w:ascii="Times New Roman" w:hAnsi="Times New Roman" w:eastAsia="宋体" w:cs="Times New Roman"/>
                <w:color w:val="auto"/>
                <w:kern w:val="2"/>
                <w:sz w:val="21"/>
                <w:szCs w:val="21"/>
                <w:highlight w:val="none"/>
              </w:rPr>
              <w:t>本项目不组织。未考察现场或考察工作不详细的供应商中标后，不得以不完全了解现场情况为理由而向采购人提出任何索赔或其他要求，对此采购人不承担任何责任并将不作任何答复。</w:t>
            </w:r>
          </w:p>
        </w:tc>
      </w:tr>
      <w:tr w14:paraId="2181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567" w:type="pct"/>
            <w:vAlign w:val="center"/>
          </w:tcPr>
          <w:p w14:paraId="0EBDA554">
            <w:pPr>
              <w:widowControl/>
              <w:shd w:val="clear" w:color="auto" w:fill="FFFFFF"/>
              <w:spacing w:line="360" w:lineRule="auto"/>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11</w:t>
            </w:r>
          </w:p>
        </w:tc>
        <w:tc>
          <w:tcPr>
            <w:tcW w:w="4432" w:type="pct"/>
            <w:vAlign w:val="center"/>
          </w:tcPr>
          <w:p w14:paraId="6C94F35F">
            <w:pPr>
              <w:widowControl/>
              <w:shd w:val="clear" w:color="auto" w:fill="FFFFFF"/>
              <w:spacing w:line="360" w:lineRule="auto"/>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信用信息：</w:t>
            </w:r>
          </w:p>
          <w:p w14:paraId="2D2D2EE7">
            <w:pPr>
              <w:widowControl/>
              <w:shd w:val="clear" w:color="auto" w:fill="FFFFFF"/>
              <w:spacing w:line="360" w:lineRule="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1）信用信息查询渠道：</w:t>
            </w:r>
            <w:r>
              <w:rPr>
                <w:rFonts w:hint="default" w:ascii="Times New Roman" w:hAnsi="Times New Roman" w:cs="Times New Roman"/>
                <w:color w:val="auto"/>
                <w:szCs w:val="21"/>
                <w:highlight w:val="none"/>
              </w:rPr>
              <w:t>“信用中国”网站(www.creditchina.gov.cn)、中国政府采购网(www.ccgp.gov.cn)等</w:t>
            </w:r>
            <w:r>
              <w:rPr>
                <w:rFonts w:hint="default" w:ascii="Times New Roman" w:hAnsi="Times New Roman" w:cs="Times New Roman"/>
                <w:color w:val="auto"/>
                <w:kern w:val="0"/>
                <w:szCs w:val="21"/>
                <w:highlight w:val="none"/>
              </w:rPr>
              <w:t>。</w:t>
            </w:r>
          </w:p>
          <w:p w14:paraId="3CC97745">
            <w:pPr>
              <w:widowControl/>
              <w:shd w:val="clear" w:color="auto" w:fill="FFFFFF"/>
              <w:spacing w:line="360" w:lineRule="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2）信用信息查询截止时点：</w:t>
            </w:r>
            <w:r>
              <w:rPr>
                <w:rFonts w:hint="default" w:ascii="Times New Roman" w:hAnsi="Times New Roman" w:eastAsia="宋体" w:cs="Times New Roman"/>
                <w:b/>
                <w:bCs/>
                <w:color w:val="auto"/>
                <w:szCs w:val="21"/>
                <w:highlight w:val="none"/>
              </w:rPr>
              <w:t>提交投标文件截止时间前</w:t>
            </w:r>
            <w:r>
              <w:rPr>
                <w:rFonts w:hint="default" w:ascii="Times New Roman" w:hAnsi="Times New Roman" w:cs="Times New Roman"/>
                <w:b/>
                <w:bCs/>
                <w:color w:val="auto"/>
                <w:kern w:val="0"/>
                <w:szCs w:val="21"/>
                <w:highlight w:val="none"/>
              </w:rPr>
              <w:t>。</w:t>
            </w:r>
          </w:p>
          <w:p w14:paraId="690FCEB1">
            <w:pPr>
              <w:widowControl/>
              <w:shd w:val="clear" w:color="auto" w:fill="FFFFFF"/>
              <w:spacing w:line="360" w:lineRule="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3）信用信息查询记录和证据留存的具体方式：信用信息查询记录将以网站截图打印稿形式与其他采购文件一并保存。</w:t>
            </w:r>
          </w:p>
          <w:p w14:paraId="2E48BFC3">
            <w:pPr>
              <w:widowControl/>
              <w:shd w:val="clear" w:color="auto" w:fill="FFFFFF"/>
              <w:spacing w:line="360" w:lineRule="auto"/>
              <w:rPr>
                <w:rFonts w:hint="default" w:ascii="Times New Roman" w:hAnsi="Times New Roman" w:cs="Times New Roman"/>
                <w:b/>
                <w:bCs/>
                <w:color w:val="auto"/>
                <w:kern w:val="0"/>
                <w:szCs w:val="21"/>
                <w:highlight w:val="none"/>
              </w:rPr>
            </w:pPr>
            <w:r>
              <w:rPr>
                <w:rFonts w:hint="default" w:ascii="Times New Roman" w:hAnsi="Times New Roman" w:cs="Times New Roman"/>
                <w:color w:val="auto"/>
                <w:kern w:val="0"/>
                <w:szCs w:val="21"/>
                <w:highlight w:val="none"/>
              </w:rPr>
              <w:t>4）信用信息的使用规则：</w:t>
            </w:r>
            <w:r>
              <w:rPr>
                <w:rFonts w:hint="default" w:ascii="Times New Roman" w:hAnsi="Times New Roman" w:cs="Times New Roman"/>
                <w:color w:val="auto"/>
                <w:szCs w:val="21"/>
                <w:highlight w:val="none"/>
              </w:rPr>
              <w:t>拒绝列入失信被执行人、重大税收违法失信主体、政府采购严重违法失信行为记录名单的供应商参与政府采购活动</w:t>
            </w:r>
            <w:r>
              <w:rPr>
                <w:rFonts w:hint="default" w:ascii="Times New Roman" w:hAnsi="Times New Roman" w:cs="Times New Roman"/>
                <w:color w:val="auto"/>
                <w:kern w:val="0"/>
                <w:szCs w:val="21"/>
                <w:highlight w:val="none"/>
              </w:rPr>
              <w:t>。</w:t>
            </w:r>
            <w:r>
              <w:rPr>
                <w:rFonts w:hint="default" w:ascii="Times New Roman" w:hAnsi="Times New Roman" w:cs="Times New Roman"/>
                <w:color w:val="auto"/>
                <w:szCs w:val="21"/>
                <w:highlight w:val="none"/>
              </w:rPr>
              <w:t>联合体成员存在不良信用记录的，视同联合体存在不良信用记录。</w:t>
            </w:r>
          </w:p>
        </w:tc>
      </w:tr>
      <w:tr w14:paraId="6099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567" w:type="pct"/>
            <w:vAlign w:val="center"/>
          </w:tcPr>
          <w:p w14:paraId="7E749257">
            <w:pPr>
              <w:widowControl/>
              <w:shd w:val="clear" w:color="auto" w:fill="FFFFFF"/>
              <w:spacing w:line="360" w:lineRule="auto"/>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szCs w:val="21"/>
                <w:highlight w:val="none"/>
              </w:rPr>
              <w:t>12</w:t>
            </w:r>
          </w:p>
        </w:tc>
        <w:tc>
          <w:tcPr>
            <w:tcW w:w="4432" w:type="pct"/>
            <w:vAlign w:val="center"/>
          </w:tcPr>
          <w:p w14:paraId="763D773C">
            <w:pPr>
              <w:spacing w:line="360" w:lineRule="auto"/>
              <w:jc w:val="left"/>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核心产品：</w:t>
            </w:r>
          </w:p>
          <w:p w14:paraId="00E15EC6">
            <w:pPr>
              <w:spacing w:line="360" w:lineRule="auto"/>
              <w:jc w:val="left"/>
              <w:rPr>
                <w:rFonts w:hint="default" w:ascii="Times New Roman" w:hAnsi="Times New Roman" w:cs="Times New Roman"/>
                <w:color w:val="auto"/>
                <w:highlight w:val="none"/>
              </w:rPr>
            </w:pPr>
            <w:r>
              <w:rPr>
                <w:rFonts w:hint="eastAsia" w:cs="Times New Roman"/>
                <w:b/>
                <w:bCs/>
                <w:color w:val="auto"/>
                <w:highlight w:val="none"/>
                <w:lang w:val="en-US" w:eastAsia="zh-CN"/>
              </w:rPr>
              <w:t>本次采购</w:t>
            </w:r>
            <w:r>
              <w:rPr>
                <w:rFonts w:hint="default" w:ascii="Times New Roman" w:hAnsi="Times New Roman" w:cs="Times New Roman"/>
                <w:b/>
                <w:bCs/>
                <w:color w:val="auto"/>
                <w:highlight w:val="none"/>
              </w:rPr>
              <w:t>为单一产品</w:t>
            </w:r>
            <w:r>
              <w:rPr>
                <w:rFonts w:hint="eastAsia" w:cs="Times New Roman"/>
                <w:b/>
                <w:bCs/>
                <w:color w:val="auto"/>
                <w:highlight w:val="none"/>
                <w:lang w:val="en-US" w:eastAsia="zh-CN"/>
              </w:rPr>
              <w:t>采购，不设置核心产品</w:t>
            </w:r>
            <w:r>
              <w:rPr>
                <w:rFonts w:hint="default" w:ascii="Times New Roman" w:hAnsi="Times New Roman" w:cs="Times New Roman"/>
                <w:color w:val="auto"/>
                <w:highlight w:val="none"/>
              </w:rPr>
              <w:t>。</w:t>
            </w:r>
          </w:p>
          <w:p w14:paraId="5E1485DE">
            <w:pPr>
              <w:pStyle w:val="45"/>
              <w:ind w:firstLine="0" w:firstLineChars="0"/>
              <w:rPr>
                <w:rFonts w:hint="default" w:ascii="Times New Roman" w:hAnsi="Times New Roman" w:cs="Times New Roman"/>
                <w:color w:val="auto"/>
                <w:kern w:val="0"/>
                <w:highlight w:val="none"/>
              </w:rPr>
            </w:pPr>
            <w:r>
              <w:rPr>
                <w:rFonts w:hint="default" w:ascii="Times New Roman" w:hAnsi="Times New Roman" w:cs="Times New Roman"/>
                <w:color w:val="auto"/>
                <w:kern w:val="0"/>
                <w:sz w:val="21"/>
                <w:highlight w:val="none"/>
              </w:rPr>
              <w:t>核心产品提供相同品牌产品且通过资格审查、符合性审查的不同供应商参加同一合同项下投标的，按一家供应商计算，评审后得分最高的同品牌供应商获得中标供应商推荐资格；评审得分相同的，</w:t>
            </w:r>
            <w:r>
              <w:rPr>
                <w:rFonts w:hint="default" w:ascii="Times New Roman" w:hAnsi="Times New Roman" w:cs="Times New Roman"/>
                <w:bCs/>
                <w:color w:val="auto"/>
                <w:sz w:val="21"/>
                <w:highlight w:val="none"/>
              </w:rPr>
              <w:t>取技术分最高者；均相同时，由</w:t>
            </w:r>
            <w:r>
              <w:rPr>
                <w:rFonts w:hint="default" w:ascii="Times New Roman" w:hAnsi="Times New Roman" w:cs="Times New Roman"/>
                <w:color w:val="auto"/>
                <w:kern w:val="0"/>
                <w:sz w:val="21"/>
                <w:highlight w:val="none"/>
              </w:rPr>
              <w:t>评标委员会</w:t>
            </w:r>
            <w:r>
              <w:rPr>
                <w:rFonts w:hint="default" w:ascii="Times New Roman" w:hAnsi="Times New Roman" w:cs="Times New Roman"/>
                <w:bCs/>
                <w:color w:val="auto"/>
                <w:sz w:val="21"/>
                <w:highlight w:val="none"/>
              </w:rPr>
              <w:t>集体决定</w:t>
            </w:r>
            <w:r>
              <w:rPr>
                <w:rFonts w:hint="default" w:ascii="Times New Roman" w:hAnsi="Times New Roman" w:cs="Times New Roman"/>
                <w:color w:val="auto"/>
                <w:kern w:val="0"/>
                <w:sz w:val="21"/>
                <w:highlight w:val="none"/>
              </w:rPr>
              <w:t>一个供应商获得中标供应商推荐资格，其他同品牌供应商不作为中标候选人。</w:t>
            </w:r>
          </w:p>
        </w:tc>
      </w:tr>
      <w:tr w14:paraId="649F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567" w:type="pct"/>
            <w:vAlign w:val="center"/>
          </w:tcPr>
          <w:p w14:paraId="0B70EDE4">
            <w:pPr>
              <w:widowControl/>
              <w:shd w:val="clear" w:color="auto" w:fill="FFFFFF"/>
              <w:spacing w:line="360" w:lineRule="auto"/>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13</w:t>
            </w:r>
          </w:p>
        </w:tc>
        <w:tc>
          <w:tcPr>
            <w:tcW w:w="4432" w:type="pct"/>
            <w:vAlign w:val="center"/>
          </w:tcPr>
          <w:p w14:paraId="268840F3">
            <w:pPr>
              <w:widowControl/>
              <w:shd w:val="clear" w:color="auto" w:fill="FFFFFF"/>
              <w:spacing w:line="360" w:lineRule="auto"/>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采购标的对应中小企业划分标准所属行业：工业（制造业）</w:t>
            </w:r>
          </w:p>
        </w:tc>
      </w:tr>
      <w:tr w14:paraId="12ED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7" w:type="pct"/>
            <w:vAlign w:val="center"/>
          </w:tcPr>
          <w:p w14:paraId="02EBBBC3">
            <w:pPr>
              <w:widowControl/>
              <w:shd w:val="clear" w:color="auto" w:fill="FFFFFF"/>
              <w:spacing w:line="360" w:lineRule="auto"/>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14</w:t>
            </w:r>
          </w:p>
        </w:tc>
        <w:tc>
          <w:tcPr>
            <w:tcW w:w="4432" w:type="pct"/>
            <w:vAlign w:val="center"/>
          </w:tcPr>
          <w:p w14:paraId="15D66CEE">
            <w:pPr>
              <w:spacing w:line="360" w:lineRule="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招标代理服务费：</w:t>
            </w:r>
          </w:p>
          <w:p w14:paraId="2F62FABD">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合同签订后一周内，中标人按“国家计委关于印发《招标代理服务收费管理暂行办法》的通知《招标代理服务收费管理暂行办法》（计价格[2002]1980号）”中规定的收费标准的</w:t>
            </w:r>
            <w:r>
              <w:rPr>
                <w:rFonts w:hint="eastAsia" w:cs="Times New Roman"/>
                <w:color w:val="auto"/>
                <w:szCs w:val="21"/>
                <w:highlight w:val="none"/>
                <w:lang w:val="en-US" w:eastAsia="zh-CN"/>
              </w:rPr>
              <w:t>45</w:t>
            </w:r>
            <w:r>
              <w:rPr>
                <w:rFonts w:hint="default" w:ascii="Times New Roman" w:hAnsi="Times New Roman" w:cs="Times New Roman"/>
                <w:color w:val="auto"/>
                <w:szCs w:val="21"/>
                <w:highlight w:val="none"/>
              </w:rPr>
              <w:t>%向采购代理机构交付招标代理服务费，招标代理服务费一次付清</w:t>
            </w:r>
            <w:r>
              <w:rPr>
                <w:rFonts w:hint="default" w:ascii="Times New Roman" w:hAnsi="Times New Roman" w:cs="Times New Roman"/>
                <w:bCs/>
                <w:color w:val="auto"/>
                <w:szCs w:val="21"/>
                <w:highlight w:val="none"/>
              </w:rPr>
              <w:t>。</w:t>
            </w:r>
            <w:r>
              <w:rPr>
                <w:rFonts w:hint="eastAsia" w:cs="Times New Roman"/>
                <w:bCs/>
                <w:color w:val="auto"/>
                <w:szCs w:val="21"/>
                <w:highlight w:val="none"/>
                <w:lang w:val="en-US" w:eastAsia="zh-CN"/>
              </w:rPr>
              <w:t>专家评审费由采购人支付。</w:t>
            </w:r>
          </w:p>
          <w:p w14:paraId="2E6A0806">
            <w:p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收款信息：</w:t>
            </w:r>
          </w:p>
          <w:p w14:paraId="238F9FA9">
            <w:p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户名：江苏苏美达仪器设备有限公司</w:t>
            </w:r>
          </w:p>
          <w:p w14:paraId="59072BD3">
            <w:p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开户银行：农行南京广州路支行</w:t>
            </w:r>
          </w:p>
          <w:p w14:paraId="33478C50">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账户：10100301040003106</w:t>
            </w:r>
          </w:p>
        </w:tc>
      </w:tr>
      <w:tr w14:paraId="6BB5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67" w:type="pct"/>
            <w:vAlign w:val="center"/>
          </w:tcPr>
          <w:p w14:paraId="5E5CC863">
            <w:pPr>
              <w:widowControl/>
              <w:shd w:val="clear" w:color="auto" w:fill="FFFFFF"/>
              <w:spacing w:line="360" w:lineRule="auto"/>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15</w:t>
            </w:r>
          </w:p>
        </w:tc>
        <w:tc>
          <w:tcPr>
            <w:tcW w:w="4432" w:type="pct"/>
            <w:vAlign w:val="center"/>
          </w:tcPr>
          <w:p w14:paraId="704F3596">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1、供应商对政府采购活动事项有疑问的，可以提出询问，</w:t>
            </w:r>
            <w:r>
              <w:rPr>
                <w:rFonts w:hint="default" w:ascii="Times New Roman" w:hAnsi="Times New Roman" w:cs="Times New Roman"/>
                <w:b/>
                <w:color w:val="auto"/>
                <w:szCs w:val="21"/>
                <w:highlight w:val="none"/>
              </w:rPr>
              <w:t>联系方式详见第一章技术咨询联系人</w:t>
            </w:r>
            <w:r>
              <w:rPr>
                <w:rFonts w:hint="default" w:ascii="Times New Roman" w:hAnsi="Times New Roman" w:cs="Times New Roman"/>
                <w:bCs/>
                <w:color w:val="auto"/>
                <w:szCs w:val="21"/>
                <w:highlight w:val="none"/>
              </w:rPr>
              <w:t>。</w:t>
            </w:r>
          </w:p>
          <w:p w14:paraId="36DD2BA5">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2、供应商认为采购文件、采购过程、中标或者成交结果使自己的权益受到损害的，可以在知道或者应知权益受到损害之日起7个工作日内，提出质疑。</w:t>
            </w:r>
          </w:p>
          <w:p w14:paraId="55DCD932">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（1）接收质疑函的方式：供应商应在法定质疑期内将质疑函以</w:t>
            </w:r>
            <w:r>
              <w:rPr>
                <w:rFonts w:hint="default" w:ascii="Times New Roman" w:hAnsi="Times New Roman" w:cs="Times New Roman"/>
                <w:b/>
                <w:color w:val="auto"/>
                <w:szCs w:val="21"/>
                <w:highlight w:val="none"/>
              </w:rPr>
              <w:t>书面形式（原件）</w:t>
            </w:r>
            <w:r>
              <w:rPr>
                <w:rFonts w:hint="default" w:ascii="Times New Roman" w:hAnsi="Times New Roman" w:cs="Times New Roman"/>
                <w:bCs/>
                <w:color w:val="auto"/>
                <w:szCs w:val="21"/>
                <w:highlight w:val="none"/>
              </w:rPr>
              <w:t>送达代理机构，</w:t>
            </w:r>
            <w:r>
              <w:rPr>
                <w:rFonts w:hint="default" w:ascii="Times New Roman" w:hAnsi="Times New Roman" w:cs="Times New Roman"/>
                <w:b/>
                <w:color w:val="auto"/>
                <w:szCs w:val="21"/>
                <w:highlight w:val="none"/>
              </w:rPr>
              <w:t>针对本项目同一采购程序环节</w:t>
            </w:r>
            <w:r>
              <w:rPr>
                <w:rFonts w:hint="default" w:ascii="Times New Roman" w:hAnsi="Times New Roman" w:cs="Times New Roman"/>
                <w:bCs/>
                <w:color w:val="auto"/>
                <w:szCs w:val="21"/>
                <w:highlight w:val="none"/>
              </w:rPr>
              <w:t>的质疑应</w:t>
            </w:r>
            <w:r>
              <w:rPr>
                <w:rFonts w:hint="default" w:ascii="Times New Roman" w:hAnsi="Times New Roman" w:cs="Times New Roman"/>
                <w:b/>
                <w:color w:val="auto"/>
                <w:szCs w:val="21"/>
                <w:highlight w:val="none"/>
              </w:rPr>
              <w:t>一次性提出</w:t>
            </w:r>
            <w:r>
              <w:rPr>
                <w:rFonts w:hint="default" w:ascii="Times New Roman" w:hAnsi="Times New Roman" w:cs="Times New Roman"/>
                <w:bCs/>
                <w:color w:val="auto"/>
                <w:szCs w:val="21"/>
                <w:highlight w:val="none"/>
              </w:rPr>
              <w:t>。</w:t>
            </w:r>
          </w:p>
          <w:p w14:paraId="1A3A3340">
            <w:pPr>
              <w:snapToGrid w:val="0"/>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质疑函应包括以下主要内容，并按照“谁主张、谁举证”的原则，附上相关证明材料。质疑函的质疑事项应具体、明确，并有必要的事实依据和法律依据。质疑函的质疑请求应与质疑事项相关。否则，代理机构不予受理：</w:t>
            </w:r>
          </w:p>
          <w:p w14:paraId="7251DF38">
            <w:pPr>
              <w:spacing w:line="360" w:lineRule="auto"/>
              <w:ind w:firstLine="210" w:firstLineChars="1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①供应商的姓名或者名称、地址、邮编、联系人及联系电话；</w:t>
            </w:r>
          </w:p>
          <w:p w14:paraId="34468AB6">
            <w:pPr>
              <w:spacing w:line="360" w:lineRule="auto"/>
              <w:ind w:firstLine="210" w:firstLineChars="1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②质疑项目的名称、编号；</w:t>
            </w:r>
          </w:p>
          <w:p w14:paraId="3532F2F1">
            <w:pPr>
              <w:spacing w:line="360" w:lineRule="auto"/>
              <w:ind w:firstLine="210" w:firstLineChars="1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③具体、明确的质疑事项和与质疑事项相关的请求；</w:t>
            </w:r>
          </w:p>
          <w:p w14:paraId="19C586E5">
            <w:pPr>
              <w:spacing w:line="360" w:lineRule="auto"/>
              <w:ind w:firstLine="210" w:firstLineChars="1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④事实依据；</w:t>
            </w:r>
          </w:p>
          <w:p w14:paraId="27F9D03F">
            <w:pPr>
              <w:spacing w:line="360" w:lineRule="auto"/>
              <w:ind w:firstLine="210" w:firstLineChars="1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⑤必要的法律依据；</w:t>
            </w:r>
          </w:p>
          <w:p w14:paraId="216B930F">
            <w:pPr>
              <w:spacing w:line="360" w:lineRule="auto"/>
              <w:ind w:firstLine="210" w:firstLineChars="1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⑥提出质疑的日期；</w:t>
            </w:r>
          </w:p>
          <w:p w14:paraId="71BE709B">
            <w:pPr>
              <w:spacing w:line="360" w:lineRule="auto"/>
              <w:ind w:firstLine="210" w:firstLineChars="1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质疑人为自然人的，应当由本人签字并附有效身份证明；质疑人为法人或其他组织的，应当由法定代表人、主要负责人，或者其授权代表签署本人姓名或印盖本人姓名章并加盖单位公章。</w:t>
            </w:r>
          </w:p>
          <w:p w14:paraId="6C5AD800">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（3）质疑供应商若对项目的某一分包进行质疑，质疑函中应列明具体分包号。</w:t>
            </w:r>
          </w:p>
          <w:p w14:paraId="29CE5B68">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质疑供应商若委托代理人进行质疑的，质疑函应按招标文件要求列明“授权代表”的有关内容，并在附件中提交由质疑供应商签署的授权委托书。授权委托书应载明代理人的姓名或者名称、代理事项、具体权限、期限和相关事项。</w:t>
            </w:r>
          </w:p>
          <w:p w14:paraId="5373976E">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质疑人是指直接参加本项目采购活动的供应商，未参加投标活动的供应商或在投标活动中自身权益未受到损害的供应商所提出的质疑不予受理。对采购文件提出质疑的，为供应商收到招标文件之日起或招标文件公告期限届满之日计算；对采购过程提出质疑的，自采购程序环节结束之日起计算；对中标或者成交结果提出质疑的，为中标或者成交结果公告期限届满之日。</w:t>
            </w:r>
          </w:p>
          <w:p w14:paraId="08E274C3">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6）供应商不得虚假质疑和恶意质疑，并对质疑内容的真实性承担责任。供应商或者其他利害关系人通过捏造事实、伪造证明材料等方式提出异议或投诉，阻碍招投标活动正常进行的，属于严重不良行为，代理机构将提请财政部门将其列入不良行为记录名单，并依法予以处罚。</w:t>
            </w:r>
          </w:p>
          <w:p w14:paraId="6D0CC0DD">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（7）本项目质疑函的联系部门、联系电话和通讯地址如下：</w:t>
            </w:r>
          </w:p>
          <w:p w14:paraId="760AD48C">
            <w:pPr>
              <w:spacing w:line="360" w:lineRule="auto"/>
              <w:ind w:firstLine="210" w:firstLineChars="1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联系部门：江苏苏美达仪器设备有限公司招标中心 黄经理</w:t>
            </w:r>
          </w:p>
          <w:p w14:paraId="2ACCEE8B">
            <w:pPr>
              <w:spacing w:line="360" w:lineRule="auto"/>
              <w:ind w:firstLine="210" w:firstLineChars="1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联系电话：025-84531274</w:t>
            </w:r>
          </w:p>
          <w:p w14:paraId="71D64A52">
            <w:pPr>
              <w:spacing w:line="360" w:lineRule="auto"/>
              <w:ind w:firstLine="210" w:firstLineChars="100"/>
              <w:rPr>
                <w:rFonts w:hint="default" w:ascii="Times New Roman" w:hAnsi="Times New Roman" w:cs="Times New Roman"/>
                <w:color w:val="auto"/>
                <w:highlight w:val="none"/>
              </w:rPr>
            </w:pPr>
            <w:r>
              <w:rPr>
                <w:rFonts w:hint="default" w:ascii="Times New Roman" w:hAnsi="Times New Roman" w:cs="Times New Roman"/>
                <w:bCs/>
                <w:color w:val="auto"/>
                <w:szCs w:val="21"/>
                <w:highlight w:val="none"/>
              </w:rPr>
              <w:t>通讯地址：</w:t>
            </w:r>
            <w:r>
              <w:rPr>
                <w:rFonts w:hint="default" w:ascii="Times New Roman" w:hAnsi="Times New Roman" w:cs="Times New Roman"/>
                <w:color w:val="auto"/>
                <w:szCs w:val="21"/>
                <w:highlight w:val="none"/>
              </w:rPr>
              <w:t>江苏省南京市长江路198号苏美达大厦14F</w:t>
            </w:r>
          </w:p>
        </w:tc>
      </w:tr>
      <w:tr w14:paraId="40B3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567" w:type="pct"/>
            <w:vAlign w:val="center"/>
          </w:tcPr>
          <w:p w14:paraId="1542AE3D">
            <w:pPr>
              <w:widowControl/>
              <w:shd w:val="clear" w:color="auto" w:fill="FFFFFF"/>
              <w:spacing w:line="360" w:lineRule="auto"/>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16</w:t>
            </w:r>
          </w:p>
        </w:tc>
        <w:tc>
          <w:tcPr>
            <w:tcW w:w="4432" w:type="pct"/>
            <w:vAlign w:val="center"/>
          </w:tcPr>
          <w:p w14:paraId="1F4765AC">
            <w:pPr>
              <w:widowControl/>
              <w:shd w:val="clear" w:color="auto" w:fill="FFFFFF"/>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
                <w:bCs/>
                <w:color w:val="auto"/>
                <w:kern w:val="0"/>
                <w:szCs w:val="21"/>
                <w:highlight w:val="none"/>
              </w:rPr>
              <w:t>投标报价中的投标价不得超过招标公告、招标文件规定的预算价或最高限价，超过规定的预算价或最高限价的投标文件，按无效投标处理。</w:t>
            </w:r>
          </w:p>
        </w:tc>
      </w:tr>
    </w:tbl>
    <w:p w14:paraId="14DE38C9">
      <w:pPr>
        <w:widowControl/>
        <w:shd w:val="clear" w:color="auto" w:fill="FFFFFF"/>
        <w:spacing w:line="360" w:lineRule="auto"/>
        <w:outlineLvl w:val="1"/>
        <w:rPr>
          <w:rFonts w:hint="default" w:ascii="Times New Roman" w:hAnsi="Times New Roman" w:cs="Times New Roman"/>
          <w:color w:val="auto"/>
          <w:kern w:val="0"/>
          <w:szCs w:val="21"/>
          <w:highlight w:val="none"/>
        </w:rPr>
      </w:pPr>
      <w:bookmarkStart w:id="47" w:name="_Toc19726"/>
      <w:bookmarkStart w:id="48" w:name="_Toc19894"/>
      <w:bookmarkStart w:id="49" w:name="_Toc11969"/>
      <w:r>
        <w:rPr>
          <w:rFonts w:hint="default" w:ascii="Times New Roman" w:hAnsi="Times New Roman" w:cs="Times New Roman"/>
          <w:b/>
          <w:bCs/>
          <w:color w:val="auto"/>
          <w:kern w:val="0"/>
          <w:szCs w:val="21"/>
          <w:highlight w:val="none"/>
        </w:rPr>
        <w:t>一、总 则</w:t>
      </w:r>
      <w:bookmarkEnd w:id="47"/>
      <w:bookmarkEnd w:id="48"/>
      <w:bookmarkEnd w:id="49"/>
    </w:p>
    <w:p w14:paraId="61AA540A">
      <w:pPr>
        <w:autoSpaceDE w:val="0"/>
        <w:autoSpaceDN w:val="0"/>
        <w:adjustRightInd w:val="0"/>
        <w:spacing w:line="360" w:lineRule="auto"/>
        <w:ind w:firstLine="420"/>
        <w:outlineLvl w:val="2"/>
        <w:rPr>
          <w:rFonts w:hint="default" w:ascii="Times New Roman" w:hAnsi="Times New Roman" w:cs="Times New Roman"/>
          <w:b/>
          <w:color w:val="auto"/>
          <w:szCs w:val="21"/>
          <w:highlight w:val="none"/>
          <w:lang w:val="zh-CN"/>
        </w:rPr>
      </w:pPr>
      <w:bookmarkStart w:id="50" w:name="_Toc5219"/>
      <w:bookmarkStart w:id="51" w:name="_Toc3951"/>
      <w:bookmarkStart w:id="52" w:name="_Toc15830"/>
      <w:bookmarkStart w:id="53" w:name="_Toc16938520"/>
      <w:bookmarkStart w:id="54" w:name="_Toc513029204"/>
      <w:bookmarkStart w:id="55" w:name="_Toc24947"/>
      <w:bookmarkStart w:id="56" w:name="_Toc20823276"/>
      <w:bookmarkStart w:id="57" w:name="_Toc458694821"/>
      <w:r>
        <w:rPr>
          <w:rFonts w:hint="default" w:ascii="Times New Roman" w:hAnsi="Times New Roman" w:cs="Times New Roman"/>
          <w:b/>
          <w:bCs/>
          <w:color w:val="auto"/>
          <w:szCs w:val="21"/>
          <w:highlight w:val="none"/>
          <w:lang w:val="zh-CN"/>
        </w:rPr>
        <w:t>1.</w:t>
      </w:r>
      <w:r>
        <w:rPr>
          <w:rFonts w:hint="default" w:ascii="Times New Roman" w:hAnsi="Times New Roman" w:cs="Times New Roman"/>
          <w:b/>
          <w:color w:val="auto"/>
          <w:szCs w:val="21"/>
          <w:highlight w:val="none"/>
          <w:lang w:val="zh-CN"/>
        </w:rPr>
        <w:t>适用法律</w:t>
      </w:r>
      <w:bookmarkEnd w:id="50"/>
      <w:bookmarkEnd w:id="51"/>
      <w:bookmarkEnd w:id="52"/>
    </w:p>
    <w:p w14:paraId="7095FAA3">
      <w:pPr>
        <w:autoSpaceDE w:val="0"/>
        <w:autoSpaceDN w:val="0"/>
        <w:adjustRightInd w:val="0"/>
        <w:spacing w:line="360" w:lineRule="auto"/>
        <w:ind w:firstLine="420"/>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lang w:val="zh-CN"/>
        </w:rPr>
        <w:t>1.1 《中华人民共和国政府采购法》《中华人民共和国政府采购法实施条例》《政府采购货物和服务招标投标管理办法》等有关法律、规章和规定等。</w:t>
      </w:r>
    </w:p>
    <w:p w14:paraId="4F843531">
      <w:pPr>
        <w:autoSpaceDE w:val="0"/>
        <w:autoSpaceDN w:val="0"/>
        <w:adjustRightInd w:val="0"/>
        <w:spacing w:line="360" w:lineRule="auto"/>
        <w:ind w:firstLine="420"/>
        <w:outlineLvl w:val="2"/>
        <w:rPr>
          <w:rFonts w:hint="default" w:ascii="Times New Roman" w:hAnsi="Times New Roman" w:cs="Times New Roman"/>
          <w:b/>
          <w:color w:val="auto"/>
          <w:szCs w:val="21"/>
          <w:highlight w:val="none"/>
          <w:lang w:val="zh-CN"/>
        </w:rPr>
      </w:pPr>
      <w:bookmarkStart w:id="58" w:name="_Toc6911"/>
      <w:bookmarkStart w:id="59" w:name="_Toc10994"/>
      <w:bookmarkStart w:id="60" w:name="_Toc4269"/>
      <w:r>
        <w:rPr>
          <w:rFonts w:hint="default" w:ascii="Times New Roman" w:hAnsi="Times New Roman" w:cs="Times New Roman"/>
          <w:b/>
          <w:bCs/>
          <w:color w:val="auto"/>
          <w:szCs w:val="21"/>
          <w:highlight w:val="none"/>
          <w:lang w:val="zh-CN"/>
        </w:rPr>
        <w:t>2.</w:t>
      </w:r>
      <w:r>
        <w:rPr>
          <w:rFonts w:hint="default" w:ascii="Times New Roman" w:hAnsi="Times New Roman" w:cs="Times New Roman"/>
          <w:b/>
          <w:color w:val="auto"/>
          <w:szCs w:val="21"/>
          <w:highlight w:val="none"/>
          <w:lang w:val="zh-CN"/>
        </w:rPr>
        <w:t>定义</w:t>
      </w:r>
      <w:bookmarkEnd w:id="58"/>
      <w:bookmarkEnd w:id="59"/>
      <w:bookmarkEnd w:id="60"/>
    </w:p>
    <w:bookmarkEnd w:id="53"/>
    <w:bookmarkEnd w:id="54"/>
    <w:bookmarkEnd w:id="55"/>
    <w:bookmarkEnd w:id="56"/>
    <w:bookmarkEnd w:id="57"/>
    <w:p w14:paraId="0F4205C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2.1本文件</w:t>
      </w:r>
      <w:r>
        <w:rPr>
          <w:rFonts w:hint="default" w:ascii="Times New Roman" w:hAnsi="Times New Roman" w:cs="Times New Roman"/>
          <w:bCs/>
          <w:color w:val="auto"/>
          <w:szCs w:val="21"/>
          <w:highlight w:val="none"/>
        </w:rPr>
        <w:t>中采购代理机构为</w:t>
      </w:r>
      <w:r>
        <w:rPr>
          <w:rFonts w:hint="default" w:ascii="Times New Roman" w:hAnsi="Times New Roman" w:cs="Times New Roman"/>
          <w:b/>
          <w:color w:val="auto"/>
          <w:szCs w:val="21"/>
          <w:highlight w:val="none"/>
          <w:u w:val="single"/>
        </w:rPr>
        <w:t>江苏苏美达仪器设备有限公司</w:t>
      </w:r>
      <w:r>
        <w:rPr>
          <w:rFonts w:hint="default" w:ascii="Times New Roman" w:hAnsi="Times New Roman" w:cs="Times New Roman"/>
          <w:bCs/>
          <w:color w:val="auto"/>
          <w:szCs w:val="21"/>
          <w:highlight w:val="none"/>
        </w:rPr>
        <w:t>；采购人为</w:t>
      </w:r>
      <w:r>
        <w:rPr>
          <w:rFonts w:hint="default" w:ascii="Times New Roman" w:hAnsi="Times New Roman" w:cs="Times New Roman"/>
          <w:b/>
          <w:color w:val="auto"/>
          <w:szCs w:val="21"/>
          <w:highlight w:val="none"/>
          <w:u w:val="single"/>
        </w:rPr>
        <w:t>中国医学科学院皮肤病医院（中国医学科学院皮肤病研究所）</w:t>
      </w:r>
      <w:r>
        <w:rPr>
          <w:rFonts w:hint="default" w:ascii="Times New Roman" w:hAnsi="Times New Roman" w:cs="Times New Roman"/>
          <w:bCs/>
          <w:color w:val="auto"/>
          <w:szCs w:val="21"/>
          <w:highlight w:val="none"/>
        </w:rPr>
        <w:t>；投标人（亦称供应商）系指参加投标竞争并满足招标文件资格要求规定的法人、其他组织或者自然人。</w:t>
      </w:r>
    </w:p>
    <w:p w14:paraId="591FF778">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2.2“货物和服务”指本文件中所述产品及相关货物和服务。</w:t>
      </w:r>
    </w:p>
    <w:p w14:paraId="7CE79826">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2.3“用户或使用单位”指使用</w:t>
      </w:r>
      <w:r>
        <w:rPr>
          <w:rFonts w:hint="default" w:ascii="Times New Roman" w:hAnsi="Times New Roman" w:cs="Times New Roman"/>
          <w:color w:val="auto"/>
          <w:szCs w:val="21"/>
          <w:highlight w:val="none"/>
          <w:lang w:val="zh-CN"/>
        </w:rPr>
        <w:t>货物、服务的</w:t>
      </w:r>
      <w:r>
        <w:rPr>
          <w:rFonts w:hint="default" w:ascii="Times New Roman" w:hAnsi="Times New Roman" w:cs="Times New Roman"/>
          <w:bCs/>
          <w:color w:val="auto"/>
          <w:szCs w:val="21"/>
          <w:highlight w:val="none"/>
        </w:rPr>
        <w:t>单位。</w:t>
      </w:r>
    </w:p>
    <w:p w14:paraId="60015101">
      <w:pPr>
        <w:spacing w:line="360" w:lineRule="auto"/>
        <w:ind w:firstLine="422" w:firstLineChars="200"/>
        <w:outlineLvl w:val="2"/>
        <w:rPr>
          <w:rFonts w:hint="eastAsia" w:ascii="Times New Roman" w:hAnsi="Times New Roman" w:eastAsia="宋体" w:cs="Times New Roman"/>
          <w:bCs/>
          <w:color w:val="auto"/>
          <w:szCs w:val="21"/>
          <w:highlight w:val="none"/>
          <w:lang w:eastAsia="zh-CN"/>
        </w:rPr>
      </w:pPr>
      <w:bookmarkStart w:id="61" w:name="_Toc7252"/>
      <w:r>
        <w:rPr>
          <w:rFonts w:hint="default" w:ascii="Times New Roman" w:hAnsi="Times New Roman" w:cs="Times New Roman"/>
          <w:b/>
          <w:color w:val="auto"/>
          <w:szCs w:val="21"/>
          <w:highlight w:val="none"/>
        </w:rPr>
        <w:t>3.政策功能</w:t>
      </w:r>
      <w:r>
        <w:rPr>
          <w:rFonts w:hint="eastAsia" w:cs="Times New Roman"/>
          <w:b/>
          <w:color w:val="auto"/>
          <w:szCs w:val="21"/>
          <w:highlight w:val="none"/>
          <w:lang w:eastAsia="zh-CN"/>
        </w:rPr>
        <w:t>（</w:t>
      </w:r>
      <w:r>
        <w:rPr>
          <w:rFonts w:hint="eastAsia" w:cs="Times New Roman"/>
          <w:b/>
          <w:color w:val="auto"/>
          <w:szCs w:val="21"/>
          <w:highlight w:val="none"/>
          <w:lang w:val="en-US" w:eastAsia="zh-CN"/>
        </w:rPr>
        <w:t>不适用</w:t>
      </w:r>
      <w:r>
        <w:rPr>
          <w:rFonts w:hint="eastAsia" w:cs="Times New Roman"/>
          <w:b/>
          <w:color w:val="auto"/>
          <w:szCs w:val="21"/>
          <w:highlight w:val="none"/>
          <w:lang w:eastAsia="zh-CN"/>
        </w:rPr>
        <w:t>）</w:t>
      </w:r>
      <w:bookmarkEnd w:id="61"/>
    </w:p>
    <w:p w14:paraId="34876E25">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3.1促进中小企业发展政策：</w:t>
      </w:r>
    </w:p>
    <w:p w14:paraId="32BFD5AF">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促进小微企业发展政策：根据《政府采购促进中小企业发展管理办法》规定，对小、微型企业产品的价格给予10%的扣除，用扣除后的价格参与评审。参加投标的中小企业，应当按照《政府采购促进中小企业发展管理办法》的规定提供《中小企业声明函》（中小企业划型标准详见《关于印发中小企业划型标准规定的通知》工信部联企业〔2011〕300号）。</w:t>
      </w:r>
    </w:p>
    <w:p w14:paraId="2D97FE76">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的扣除，用扣除后的价格参加评审。</w:t>
      </w:r>
    </w:p>
    <w:p w14:paraId="2848D636">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根据《政府采购促进中小企业发展管理办法》，在政府采购活动中，供应商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政府采购促进中小企业发展管理办法》明确，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14:paraId="377C5E65">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监狱企业扶持政策：根据《关于政府采购支持监狱企业发展有关问题的通知》（财库〔2014〕68号），监狱企业视同为小型、微型企业，享受以上政策。监狱企业须提供由省级以上监狱管理局、戒毒管理局（含新疆生产建设兵团）出具的属于监狱企业的证明文件，否则不考虑价格扣除。</w:t>
      </w:r>
    </w:p>
    <w:p w14:paraId="65D55B9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残疾人福利性单位扶持政策：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并对声明的真实性负责。残疾人福利性单位属于小型、微型企业的，不重复享受政策。</w:t>
      </w:r>
    </w:p>
    <w:p w14:paraId="79A47EF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3.2节能产品、环境标志产品政策</w:t>
      </w:r>
    </w:p>
    <w:p w14:paraId="3CF733F9">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（1）政府采购节能产品、环境标志产品实施品目清单管理。</w:t>
      </w:r>
    </w:p>
    <w:p w14:paraId="323C90C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（2）拟采购产品属于节能产品、环境标志产品品目清单规定必须强制采购的，实行强制采购。</w:t>
      </w:r>
    </w:p>
    <w:p w14:paraId="145332FE">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（3）拟采购产品属于节能产品、环境标志产品品目清单规定优先采购的，在性能、技术、服务等指标同等条件下，实行优先采购，优先采购的评审标准详见本招标文件第三章。</w:t>
      </w:r>
    </w:p>
    <w:p w14:paraId="75EFC509">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（4）参加政府采购活动的节能产品、环境标志产品供应商应当提供国家确定的认证机构出具的、处于有效期之内的节能产品、环境标志产品认证证书。</w:t>
      </w:r>
    </w:p>
    <w:p w14:paraId="2B0DEA8E">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 xml:space="preserve">3.3乡村产业振兴支持政策：根据《关于运用政府采购政策支持乡村产业振兴的通知》（财库〔2021〕19号），鼓励采用预留采购份额方式，通过脱贫地区农副产品网络销售平台（原贫困地区农副产品网络销售平台）采购脱贫地区农副产品。 </w:t>
      </w:r>
    </w:p>
    <w:p w14:paraId="22F7F64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3.4提供的产品属于信息安全产品的，供应商应当选择经国家认证的信息安全产品投标，并提供由中国信息安全认证中心按国家标准认证颁发的有效认证证书复印件。</w:t>
      </w:r>
    </w:p>
    <w:p w14:paraId="7ACF4C3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3.5根据财库（2011）59号文规定，如为信息系统项目，受托为整体采购项目或者其中分项目的前期工作提供设计、编制规范、进行管理等服务的供应商不得再参加该分项目的采购活动。但属于《中华人民共和国政府采购法》第三十一条规定的单一来源方式采购情形的，不适用本条。</w:t>
      </w:r>
    </w:p>
    <w:p w14:paraId="10EDF765">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3.6为推进社会诚信体系建设，根据财政部等政策要求，在政府采购活动中查询、使用信用记录，推进政府采购领域联合惩戒工作。</w:t>
      </w:r>
    </w:p>
    <w:p w14:paraId="4530F7E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在政府采购活动中，通过“信用中国”、“中国政府采购网”等渠道查询相关主体信用记录，对列入失信被执行人、重大税收违法失信主体、政府采购严重违法失信行为记录名单及其他不符合《中华人民共和国政府采购法》第二十二条规定条件的供应商，不得参与政府采购活动。两个以上的自然人、法人或者其他组织组成一个联合体，以一个供应商的身份共同参加政府采购活动的，对所有联合体成员进行信用记录查询，联合体成员存在不良信用记录的，视同联合体存在不良信用记录。</w:t>
      </w:r>
    </w:p>
    <w:p w14:paraId="64EE4AA0">
      <w:pPr>
        <w:autoSpaceDE w:val="0"/>
        <w:autoSpaceDN w:val="0"/>
        <w:adjustRightInd w:val="0"/>
        <w:spacing w:line="440" w:lineRule="exact"/>
        <w:ind w:firstLine="420"/>
        <w:outlineLvl w:val="9"/>
        <w:rPr>
          <w:rFonts w:hint="default" w:ascii="Times New Roman" w:hAnsi="Times New Roman" w:eastAsia="宋体" w:cs="Times New Roman"/>
          <w:b w:val="0"/>
          <w:bCs w:val="0"/>
          <w:color w:val="auto"/>
          <w:szCs w:val="21"/>
          <w:highlight w:val="none"/>
          <w:lang w:val="zh-CN" w:eastAsia="zh-CN"/>
        </w:rPr>
      </w:pPr>
      <w:r>
        <w:rPr>
          <w:rFonts w:hint="eastAsia" w:ascii="Times New Roman" w:hAnsi="Times New Roman" w:eastAsia="宋体" w:cs="Times New Roman"/>
          <w:b w:val="0"/>
          <w:bCs w:val="0"/>
          <w:color w:val="auto"/>
          <w:szCs w:val="21"/>
          <w:highlight w:val="none"/>
          <w:lang w:val="en-US" w:eastAsia="zh-CN"/>
        </w:rPr>
        <w:t>3.7</w:t>
      </w:r>
      <w:r>
        <w:rPr>
          <w:rFonts w:hint="default" w:ascii="Times New Roman" w:hAnsi="Times New Roman" w:eastAsia="宋体" w:cs="Times New Roman"/>
          <w:b w:val="0"/>
          <w:bCs w:val="0"/>
          <w:color w:val="auto"/>
          <w:szCs w:val="21"/>
          <w:highlight w:val="none"/>
          <w:lang w:val="zh-CN" w:eastAsia="zh-CN"/>
        </w:rPr>
        <w:t>采购本国产品的支持政策：</w:t>
      </w:r>
    </w:p>
    <w:p w14:paraId="62E49DAC">
      <w:pPr>
        <w:autoSpaceDE w:val="0"/>
        <w:autoSpaceDN w:val="0"/>
        <w:adjustRightInd w:val="0"/>
        <w:spacing w:line="440" w:lineRule="exact"/>
        <w:ind w:firstLine="420"/>
        <w:outlineLvl w:val="9"/>
        <w:rPr>
          <w:rFonts w:hint="default" w:ascii="Times New Roman" w:hAnsi="Times New Roman" w:eastAsia="宋体" w:cs="Times New Roman"/>
          <w:b w:val="0"/>
          <w:bCs w:val="0"/>
          <w:color w:val="auto"/>
          <w:szCs w:val="21"/>
          <w:highlight w:val="none"/>
          <w:lang w:val="zh-CN" w:eastAsia="zh-CN"/>
        </w:rPr>
      </w:pPr>
      <w:r>
        <w:rPr>
          <w:rFonts w:hint="default" w:ascii="Times New Roman" w:hAnsi="Times New Roman" w:eastAsia="宋体" w:cs="Times New Roman"/>
          <w:b w:val="0"/>
          <w:bCs w:val="0"/>
          <w:color w:val="auto"/>
          <w:szCs w:val="21"/>
          <w:highlight w:val="none"/>
          <w:lang w:val="zh-CN" w:eastAsia="zh-CN"/>
        </w:rPr>
        <w:t>本项目对采购本国产品给予政策支持，根据</w:t>
      </w:r>
      <w:r>
        <w:rPr>
          <w:rFonts w:hint="default" w:ascii="Times New Roman" w:hAnsi="Times New Roman" w:eastAsia="宋体" w:cs="Times New Roman"/>
          <w:b w:val="0"/>
          <w:bCs w:val="0"/>
          <w:color w:val="auto"/>
          <w:szCs w:val="21"/>
          <w:highlight w:val="none"/>
          <w:lang w:val="zh-CN"/>
        </w:rPr>
        <w:t>《国务院办公厅关于在政府采购中实施本国产品标准及相关政策的通知》（国办发〔2025〕34号）、关于贯彻落实《国务院办公厅关于在政府采购中实施本国产品标准及相关政策的通知》的意见（财库〔2025〕30号）及相关规定</w:t>
      </w:r>
      <w:r>
        <w:rPr>
          <w:rFonts w:hint="default" w:ascii="Times New Roman" w:hAnsi="Times New Roman" w:eastAsia="宋体" w:cs="Times New Roman"/>
          <w:b w:val="0"/>
          <w:bCs w:val="0"/>
          <w:color w:val="auto"/>
          <w:szCs w:val="21"/>
          <w:highlight w:val="none"/>
          <w:lang w:val="zh-CN" w:eastAsia="zh-CN"/>
        </w:rPr>
        <w:t>执行。</w:t>
      </w:r>
    </w:p>
    <w:p w14:paraId="4214F038">
      <w:pPr>
        <w:autoSpaceDE w:val="0"/>
        <w:autoSpaceDN w:val="0"/>
        <w:adjustRightInd w:val="0"/>
        <w:spacing w:line="440" w:lineRule="exact"/>
        <w:ind w:firstLine="420"/>
        <w:outlineLvl w:val="9"/>
        <w:rPr>
          <w:rFonts w:hint="default" w:ascii="Times New Roman" w:hAnsi="Times New Roman" w:eastAsia="宋体" w:cs="Times New Roman"/>
          <w:b w:val="0"/>
          <w:bCs w:val="0"/>
          <w:color w:val="auto"/>
          <w:szCs w:val="21"/>
          <w:highlight w:val="none"/>
          <w:lang w:val="zh-CN" w:eastAsia="zh-CN"/>
        </w:rPr>
      </w:pPr>
      <w:r>
        <w:rPr>
          <w:rFonts w:hint="default" w:ascii="Times New Roman" w:hAnsi="Times New Roman" w:eastAsia="宋体" w:cs="Times New Roman"/>
          <w:b w:val="0"/>
          <w:bCs w:val="0"/>
          <w:color w:val="auto"/>
          <w:szCs w:val="21"/>
          <w:highlight w:val="none"/>
          <w:lang w:val="zh-CN" w:eastAsia="zh-CN"/>
        </w:rPr>
        <w:t>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A884110">
      <w:pPr>
        <w:autoSpaceDE w:val="0"/>
        <w:autoSpaceDN w:val="0"/>
        <w:adjustRightInd w:val="0"/>
        <w:spacing w:line="440" w:lineRule="exact"/>
        <w:ind w:firstLine="420"/>
        <w:outlineLvl w:val="9"/>
        <w:rPr>
          <w:rFonts w:hint="default" w:ascii="Times New Roman" w:hAnsi="Times New Roman" w:eastAsia="宋体" w:cs="Times New Roman"/>
          <w:b w:val="0"/>
          <w:bCs w:val="0"/>
          <w:color w:val="auto"/>
          <w:szCs w:val="21"/>
          <w:highlight w:val="none"/>
          <w:lang w:val="zh-CN" w:eastAsia="zh-CN"/>
        </w:rPr>
      </w:pPr>
      <w:r>
        <w:rPr>
          <w:rFonts w:hint="default" w:ascii="Times New Roman" w:hAnsi="Times New Roman" w:eastAsia="宋体" w:cs="Times New Roman"/>
          <w:b w:val="0"/>
          <w:bCs w:val="0"/>
          <w:color w:val="auto"/>
          <w:szCs w:val="21"/>
          <w:highlight w:val="none"/>
          <w:lang w:val="zh-CN" w:eastAsia="zh-CN"/>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14DF07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eastAsia="宋体" w:cs="Times New Roman"/>
          <w:b w:val="0"/>
          <w:bCs w:val="0"/>
          <w:color w:val="auto"/>
          <w:szCs w:val="21"/>
          <w:highlight w:val="none"/>
          <w:lang w:val="zh-CN" w:eastAsia="zh-CN"/>
        </w:rPr>
        <w:t>具体内容</w:t>
      </w:r>
      <w:r>
        <w:rPr>
          <w:rFonts w:hint="eastAsia" w:ascii="Times New Roman" w:hAnsi="Times New Roman" w:eastAsia="宋体" w:cs="Times New Roman"/>
          <w:b w:val="0"/>
          <w:bCs w:val="0"/>
          <w:color w:val="auto"/>
          <w:szCs w:val="21"/>
          <w:highlight w:val="none"/>
          <w:lang w:val="zh-CN" w:eastAsia="zh-CN"/>
        </w:rPr>
        <w:t>详见第三章 评标标准。</w:t>
      </w:r>
    </w:p>
    <w:p w14:paraId="040AE8BF">
      <w:pPr>
        <w:autoSpaceDE w:val="0"/>
        <w:autoSpaceDN w:val="0"/>
        <w:adjustRightInd w:val="0"/>
        <w:spacing w:line="360" w:lineRule="auto"/>
        <w:ind w:firstLine="420"/>
        <w:outlineLvl w:val="2"/>
        <w:rPr>
          <w:rFonts w:hint="default" w:ascii="Times New Roman" w:hAnsi="Times New Roman" w:cs="Times New Roman"/>
          <w:b/>
          <w:color w:val="auto"/>
          <w:szCs w:val="21"/>
          <w:highlight w:val="none"/>
          <w:lang w:val="zh-CN"/>
        </w:rPr>
      </w:pPr>
      <w:bookmarkStart w:id="62" w:name="_Toc462564067"/>
      <w:bookmarkStart w:id="63" w:name="_Toc13991"/>
      <w:bookmarkStart w:id="64" w:name="_Toc17711"/>
      <w:bookmarkStart w:id="65" w:name="_Toc4759"/>
      <w:bookmarkStart w:id="66" w:name="_Toc513029207"/>
      <w:bookmarkStart w:id="67" w:name="_Toc20823279"/>
      <w:bookmarkStart w:id="68" w:name="_Toc16938523"/>
      <w:bookmarkStart w:id="69" w:name="_Toc8073"/>
      <w:r>
        <w:rPr>
          <w:rFonts w:hint="default" w:ascii="Times New Roman" w:hAnsi="Times New Roman" w:cs="Times New Roman"/>
          <w:b/>
          <w:bCs/>
          <w:color w:val="auto"/>
          <w:szCs w:val="21"/>
          <w:highlight w:val="none"/>
          <w:lang w:val="zh-CN"/>
        </w:rPr>
        <w:t>4.</w:t>
      </w:r>
      <w:r>
        <w:rPr>
          <w:rFonts w:hint="default" w:ascii="Times New Roman" w:hAnsi="Times New Roman" w:cs="Times New Roman"/>
          <w:b/>
          <w:color w:val="auto"/>
          <w:szCs w:val="21"/>
          <w:highlight w:val="none"/>
          <w:lang w:val="zh-CN"/>
        </w:rPr>
        <w:t>投标费用</w:t>
      </w:r>
      <w:bookmarkEnd w:id="62"/>
      <w:bookmarkEnd w:id="63"/>
      <w:bookmarkEnd w:id="64"/>
      <w:bookmarkEnd w:id="65"/>
      <w:bookmarkEnd w:id="66"/>
      <w:bookmarkEnd w:id="67"/>
      <w:bookmarkEnd w:id="68"/>
      <w:bookmarkEnd w:id="69"/>
    </w:p>
    <w:p w14:paraId="7CB320E7">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4.1 供应商应自行承担所有与参加投标有关的费用，无论采购结果如何，代理机构和采购人在任何情况下均无义务和责任承担这些费用。</w:t>
      </w:r>
    </w:p>
    <w:p w14:paraId="6BE043B3">
      <w:pPr>
        <w:autoSpaceDE w:val="0"/>
        <w:autoSpaceDN w:val="0"/>
        <w:adjustRightInd w:val="0"/>
        <w:spacing w:line="360" w:lineRule="auto"/>
        <w:ind w:firstLine="420"/>
        <w:outlineLvl w:val="2"/>
        <w:rPr>
          <w:rFonts w:hint="default" w:ascii="Times New Roman" w:hAnsi="Times New Roman" w:cs="Times New Roman"/>
          <w:b/>
          <w:color w:val="auto"/>
          <w:szCs w:val="21"/>
          <w:highlight w:val="none"/>
          <w:lang w:val="zh-CN"/>
        </w:rPr>
      </w:pPr>
      <w:bookmarkStart w:id="70" w:name="_Toc344"/>
      <w:bookmarkStart w:id="71" w:name="_Toc20613"/>
      <w:bookmarkStart w:id="72" w:name="_Toc19293"/>
      <w:r>
        <w:rPr>
          <w:rFonts w:hint="default" w:ascii="Times New Roman" w:hAnsi="Times New Roman" w:cs="Times New Roman"/>
          <w:b/>
          <w:bCs/>
          <w:color w:val="auto"/>
          <w:szCs w:val="21"/>
          <w:highlight w:val="none"/>
          <w:lang w:val="zh-CN"/>
        </w:rPr>
        <w:t>5.</w:t>
      </w:r>
      <w:r>
        <w:rPr>
          <w:rFonts w:hint="default" w:ascii="Times New Roman" w:hAnsi="Times New Roman" w:cs="Times New Roman"/>
          <w:b/>
          <w:color w:val="auto"/>
          <w:szCs w:val="21"/>
          <w:highlight w:val="none"/>
          <w:lang w:val="zh-CN"/>
        </w:rPr>
        <w:t>招标文件的约束力</w:t>
      </w:r>
      <w:bookmarkEnd w:id="70"/>
      <w:bookmarkEnd w:id="71"/>
      <w:bookmarkEnd w:id="72"/>
    </w:p>
    <w:p w14:paraId="756B81B3">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5.1 供应商一旦参加本项目采购活动，即被认为接受了本招标文件的规定和约束。</w:t>
      </w:r>
    </w:p>
    <w:p w14:paraId="4CFA07E4">
      <w:pPr>
        <w:widowControl/>
        <w:shd w:val="clear" w:color="auto" w:fill="FFFFFF"/>
        <w:spacing w:line="360" w:lineRule="auto"/>
        <w:outlineLvl w:val="1"/>
        <w:rPr>
          <w:rFonts w:hint="default" w:ascii="Times New Roman" w:hAnsi="Times New Roman" w:cs="Times New Roman"/>
          <w:b/>
          <w:bCs/>
          <w:color w:val="auto"/>
          <w:kern w:val="0"/>
          <w:szCs w:val="21"/>
          <w:highlight w:val="none"/>
        </w:rPr>
      </w:pPr>
      <w:bookmarkStart w:id="73" w:name="_Toc15035"/>
      <w:bookmarkStart w:id="74" w:name="_Toc20823281"/>
      <w:bookmarkStart w:id="75" w:name="_Toc513029209"/>
      <w:bookmarkStart w:id="76" w:name="_Toc120614215"/>
      <w:bookmarkStart w:id="77" w:name="_Toc16938525"/>
      <w:bookmarkStart w:id="78" w:name="_Toc15606"/>
      <w:bookmarkStart w:id="79" w:name="_Toc28596"/>
      <w:r>
        <w:rPr>
          <w:rFonts w:hint="default" w:ascii="Times New Roman" w:hAnsi="Times New Roman" w:cs="Times New Roman"/>
          <w:b/>
          <w:bCs/>
          <w:color w:val="auto"/>
          <w:kern w:val="0"/>
          <w:szCs w:val="21"/>
          <w:highlight w:val="none"/>
        </w:rPr>
        <w:t>二、招标文件</w:t>
      </w:r>
      <w:bookmarkEnd w:id="73"/>
      <w:bookmarkEnd w:id="74"/>
      <w:bookmarkEnd w:id="75"/>
      <w:bookmarkEnd w:id="76"/>
      <w:bookmarkEnd w:id="77"/>
      <w:bookmarkEnd w:id="78"/>
      <w:bookmarkEnd w:id="79"/>
    </w:p>
    <w:p w14:paraId="441719D0">
      <w:pPr>
        <w:autoSpaceDE w:val="0"/>
        <w:autoSpaceDN w:val="0"/>
        <w:adjustRightInd w:val="0"/>
        <w:spacing w:line="360" w:lineRule="auto"/>
        <w:ind w:firstLine="420"/>
        <w:outlineLvl w:val="2"/>
        <w:rPr>
          <w:rFonts w:hint="default" w:ascii="Times New Roman" w:hAnsi="Times New Roman" w:cs="Times New Roman"/>
          <w:b/>
          <w:color w:val="auto"/>
          <w:szCs w:val="21"/>
          <w:highlight w:val="none"/>
          <w:lang w:val="zh-CN"/>
        </w:rPr>
      </w:pPr>
      <w:bookmarkStart w:id="80" w:name="_Toc31631"/>
      <w:bookmarkStart w:id="81" w:name="_Toc20823282"/>
      <w:bookmarkStart w:id="82" w:name="_Toc16938526"/>
      <w:bookmarkStart w:id="83" w:name="_Toc513029210"/>
      <w:bookmarkStart w:id="84" w:name="_Toc16370"/>
      <w:bookmarkStart w:id="85" w:name="_Toc29351"/>
      <w:r>
        <w:rPr>
          <w:rFonts w:hint="default" w:ascii="Times New Roman" w:hAnsi="Times New Roman" w:cs="Times New Roman"/>
          <w:b/>
          <w:bCs/>
          <w:color w:val="auto"/>
          <w:szCs w:val="21"/>
          <w:highlight w:val="none"/>
          <w:lang w:val="zh-CN"/>
        </w:rPr>
        <w:t>6.</w:t>
      </w:r>
      <w:r>
        <w:rPr>
          <w:rFonts w:hint="default" w:ascii="Times New Roman" w:hAnsi="Times New Roman" w:cs="Times New Roman"/>
          <w:b/>
          <w:color w:val="auto"/>
          <w:szCs w:val="21"/>
          <w:highlight w:val="none"/>
          <w:lang w:val="zh-CN"/>
        </w:rPr>
        <w:t>招标文件构成</w:t>
      </w:r>
      <w:bookmarkEnd w:id="80"/>
      <w:bookmarkEnd w:id="81"/>
      <w:bookmarkEnd w:id="82"/>
      <w:bookmarkEnd w:id="83"/>
      <w:bookmarkEnd w:id="84"/>
      <w:bookmarkEnd w:id="85"/>
    </w:p>
    <w:p w14:paraId="7C60CBCA">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6.1 招标文件由以下部分组成：</w:t>
      </w:r>
    </w:p>
    <w:p w14:paraId="22EA071B">
      <w:pPr>
        <w:spacing w:line="360" w:lineRule="auto"/>
        <w:ind w:firstLine="840" w:firstLineChars="4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第一章  投标邀请（招标公告）</w:t>
      </w:r>
    </w:p>
    <w:p w14:paraId="0F3F7CE5">
      <w:pPr>
        <w:spacing w:line="360" w:lineRule="auto"/>
        <w:ind w:firstLine="840" w:firstLineChars="4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第二章  投标人须知</w:t>
      </w:r>
    </w:p>
    <w:p w14:paraId="2A5DD2D6">
      <w:pPr>
        <w:spacing w:line="360" w:lineRule="auto"/>
        <w:ind w:firstLine="840" w:firstLineChars="4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第三章  评标标准</w:t>
      </w:r>
    </w:p>
    <w:p w14:paraId="582A80C2">
      <w:pPr>
        <w:spacing w:line="360" w:lineRule="auto"/>
        <w:ind w:firstLine="840" w:firstLineChars="4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第四章  招标技术规格及要求</w:t>
      </w:r>
    </w:p>
    <w:p w14:paraId="06C597A5">
      <w:pPr>
        <w:spacing w:line="360" w:lineRule="auto"/>
        <w:ind w:firstLine="840" w:firstLineChars="4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第五章  拟签订的合同文本</w:t>
      </w:r>
    </w:p>
    <w:p w14:paraId="6C7A5CC9">
      <w:pPr>
        <w:spacing w:line="360" w:lineRule="auto"/>
        <w:ind w:firstLine="840" w:firstLineChars="4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第六章  投标文件格式及附件</w:t>
      </w:r>
    </w:p>
    <w:p w14:paraId="3FC2CB32">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6.2</w:t>
      </w:r>
      <w:r>
        <w:rPr>
          <w:rFonts w:hint="default" w:ascii="Times New Roman" w:hAnsi="Times New Roman" w:cs="Times New Roman"/>
          <w:b/>
          <w:bCs/>
          <w:color w:val="auto"/>
          <w:kern w:val="0"/>
          <w:szCs w:val="21"/>
          <w:highlight w:val="none"/>
        </w:rPr>
        <w:t>招标的最小单位是包。招标技术规格及要求中未分包的，供应商对要求提供的服务不得部分投标；招标技术规格及要求中已经分包的，以包为单位投标</w:t>
      </w:r>
      <w:r>
        <w:rPr>
          <w:rFonts w:hint="default" w:ascii="Times New Roman" w:hAnsi="Times New Roman" w:cs="Times New Roman"/>
          <w:color w:val="auto"/>
          <w:kern w:val="0"/>
          <w:szCs w:val="21"/>
          <w:highlight w:val="none"/>
        </w:rPr>
        <w:t>。</w:t>
      </w:r>
    </w:p>
    <w:p w14:paraId="29C8BE31">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6.3 供应商应认真阅读招标文件中所有的事项、格式、条款和规范等要求。按招标文件要求和规定编制投标文件，并保证所提供的全部资料的真实性，以使其投标文件对招标文件作出实质性响应，否则其风险由供应商自行承担。</w:t>
      </w:r>
    </w:p>
    <w:p w14:paraId="36C2BB15">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6.4供应商被视为充分熟悉本招标项目的各种情况以及与履行合同有关的一切其他情况。</w:t>
      </w:r>
    </w:p>
    <w:p w14:paraId="40050809">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86" w:name="_Toc15040"/>
      <w:bookmarkStart w:id="87" w:name="_Toc14415"/>
      <w:bookmarkStart w:id="88" w:name="_Toc9112"/>
      <w:r>
        <w:rPr>
          <w:rFonts w:hint="default" w:ascii="Times New Roman" w:hAnsi="Times New Roman" w:eastAsia="宋体" w:cs="Times New Roman"/>
          <w:b/>
          <w:bCs/>
          <w:color w:val="auto"/>
          <w:sz w:val="21"/>
          <w:szCs w:val="21"/>
          <w:highlight w:val="none"/>
        </w:rPr>
        <w:t>7.招标文件的澄清、补充或修改</w:t>
      </w:r>
      <w:bookmarkEnd w:id="86"/>
      <w:bookmarkEnd w:id="87"/>
      <w:bookmarkEnd w:id="88"/>
    </w:p>
    <w:p w14:paraId="48BFF1D7">
      <w:pPr>
        <w:spacing w:line="360" w:lineRule="auto"/>
        <w:ind w:firstLine="441" w:firstLineChars="210"/>
        <w:rPr>
          <w:rFonts w:hint="default" w:ascii="Times New Roman" w:hAnsi="Times New Roman" w:cs="Times New Roman"/>
          <w:color w:val="auto"/>
          <w:szCs w:val="21"/>
          <w:highlight w:val="none"/>
        </w:rPr>
      </w:pPr>
      <w:bookmarkStart w:id="89" w:name="_Toc29128"/>
      <w:r>
        <w:rPr>
          <w:rFonts w:hint="default" w:ascii="Times New Roman" w:hAnsi="Times New Roman" w:cs="Times New Roman"/>
          <w:color w:val="auto"/>
          <w:kern w:val="0"/>
          <w:szCs w:val="21"/>
          <w:highlight w:val="none"/>
        </w:rPr>
        <w:t>7.1</w:t>
      </w:r>
      <w:r>
        <w:rPr>
          <w:rFonts w:hint="default" w:ascii="Times New Roman" w:hAnsi="Times New Roman" w:cs="Times New Roman"/>
          <w:color w:val="auto"/>
          <w:szCs w:val="21"/>
          <w:highlight w:val="none"/>
        </w:rPr>
        <w:t>供应商应仔细阅读和检查招标文件的全部内容。如发现缺页或附件不全，应及时向采购代理机构提出，以便补齐。供应商如须澄清招标文件的疑点，可用书面形式通知采购代理机构，具体通知时间须按法律相关规定执行，如供应商须澄清的疑点超出采购人对采购代理机构委托授权范围的，采购代理机构应当告知供应商向采购人提出。采购代理机构将以书面形式作出答复。采购代理机构认为有必要时可将答复内容（包括原提出的问题，但不包括问题的来源）分发给所有取得同一招标文件的供应商。</w:t>
      </w:r>
    </w:p>
    <w:p w14:paraId="06700B33">
      <w:pPr>
        <w:spacing w:line="360" w:lineRule="auto"/>
        <w:ind w:firstLine="441" w:firstLineChars="210"/>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 xml:space="preserve">7.2 </w:t>
      </w:r>
      <w:r>
        <w:rPr>
          <w:rFonts w:hint="default" w:ascii="Times New Roman" w:hAnsi="Times New Roman" w:cs="Times New Roman"/>
          <w:color w:val="auto"/>
          <w:szCs w:val="21"/>
          <w:highlight w:val="none"/>
        </w:rPr>
        <w:t>采购代理机构可对已发出的招标文件用更正公告的方式进行必要的澄清或者修改，并以书面形式通知所有获取文件的供应商。</w:t>
      </w:r>
    </w:p>
    <w:p w14:paraId="25D8D7CC">
      <w:pPr>
        <w:spacing w:line="360" w:lineRule="auto"/>
        <w:ind w:firstLine="441" w:firstLineChars="210"/>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 xml:space="preserve">7.3 </w:t>
      </w:r>
      <w:r>
        <w:rPr>
          <w:rFonts w:hint="default" w:ascii="Times New Roman" w:hAnsi="Times New Roman" w:cs="Times New Roman"/>
          <w:color w:val="auto"/>
          <w:szCs w:val="21"/>
          <w:highlight w:val="none"/>
        </w:rPr>
        <w:t>采购代理机构发出的以上</w:t>
      </w:r>
      <w:r>
        <w:rPr>
          <w:rFonts w:hint="default" w:ascii="Times New Roman" w:hAnsi="Times New Roman" w:cs="Times New Roman"/>
          <w:bCs/>
          <w:color w:val="auto"/>
          <w:szCs w:val="21"/>
          <w:highlight w:val="none"/>
        </w:rPr>
        <w:t>澄清或修改的内容</w:t>
      </w:r>
      <w:r>
        <w:rPr>
          <w:rFonts w:hint="default" w:ascii="Times New Roman" w:hAnsi="Times New Roman" w:cs="Times New Roman"/>
          <w:color w:val="auto"/>
          <w:szCs w:val="21"/>
          <w:highlight w:val="none"/>
        </w:rPr>
        <w:t>文件均作为招标文件的组成部分，与招标文件具有同等法律效力。供应商在收到上述通知后，应立即向采购代理机构回函确认。若无书面回函确认，视同已收到招标文件修改的通知，并受其约束。</w:t>
      </w:r>
    </w:p>
    <w:p w14:paraId="68182CBE">
      <w:pPr>
        <w:spacing w:line="360" w:lineRule="auto"/>
        <w:ind w:firstLine="441" w:firstLineChars="21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7.4 当招标文件与以上澄清或修改公告的内容相互矛盾时，以采购代理机构最后发出的澄清或修改为准。</w:t>
      </w:r>
    </w:p>
    <w:p w14:paraId="1F554CB3">
      <w:pPr>
        <w:spacing w:line="360" w:lineRule="auto"/>
        <w:ind w:firstLine="441" w:firstLineChars="210"/>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7.5</w:t>
      </w:r>
      <w:r>
        <w:rPr>
          <w:rFonts w:hint="default" w:ascii="Times New Roman" w:hAnsi="Times New Roman" w:cs="Times New Roman"/>
          <w:bCs/>
          <w:color w:val="auto"/>
          <w:szCs w:val="21"/>
          <w:highlight w:val="none"/>
        </w:rPr>
        <w:t>为使供应商有足够的时间按招标文件的澄清或修改要求修正投标文件，</w:t>
      </w:r>
      <w:r>
        <w:rPr>
          <w:rFonts w:hint="default" w:ascii="Times New Roman" w:hAnsi="Times New Roman" w:cs="Times New Roman"/>
          <w:color w:val="auto"/>
          <w:szCs w:val="21"/>
          <w:highlight w:val="none"/>
        </w:rPr>
        <w:t>采购代理机构有权决定推迟投标截止时间和开标时间，并按7.2条规定的方式通知供应商。</w:t>
      </w:r>
    </w:p>
    <w:p w14:paraId="6B12FE73">
      <w:pPr>
        <w:widowControl/>
        <w:shd w:val="clear" w:color="auto" w:fill="FFFFFF"/>
        <w:spacing w:line="360" w:lineRule="auto"/>
        <w:outlineLvl w:val="1"/>
        <w:rPr>
          <w:rFonts w:hint="default" w:ascii="Times New Roman" w:hAnsi="Times New Roman" w:cs="Times New Roman"/>
          <w:b/>
          <w:bCs/>
          <w:color w:val="auto"/>
          <w:kern w:val="0"/>
          <w:szCs w:val="21"/>
          <w:highlight w:val="none"/>
        </w:rPr>
      </w:pPr>
      <w:bookmarkStart w:id="90" w:name="_Toc26883"/>
      <w:bookmarkStart w:id="91" w:name="_Toc1618"/>
      <w:r>
        <w:rPr>
          <w:rFonts w:hint="default" w:ascii="Times New Roman" w:hAnsi="Times New Roman" w:cs="Times New Roman"/>
          <w:b/>
          <w:bCs/>
          <w:color w:val="auto"/>
          <w:kern w:val="0"/>
          <w:szCs w:val="21"/>
          <w:highlight w:val="none"/>
        </w:rPr>
        <w:t>三、投标文件的编制</w:t>
      </w:r>
      <w:bookmarkEnd w:id="89"/>
      <w:bookmarkEnd w:id="90"/>
      <w:bookmarkEnd w:id="91"/>
    </w:p>
    <w:p w14:paraId="0A43F8B4">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92" w:name="_Toc28127"/>
      <w:bookmarkStart w:id="93" w:name="_Toc17513"/>
      <w:bookmarkStart w:id="94" w:name="_Toc21682"/>
      <w:r>
        <w:rPr>
          <w:rFonts w:hint="default" w:ascii="Times New Roman" w:hAnsi="Times New Roman" w:eastAsia="宋体" w:cs="Times New Roman"/>
          <w:b/>
          <w:bCs/>
          <w:color w:val="auto"/>
          <w:sz w:val="21"/>
          <w:szCs w:val="21"/>
          <w:highlight w:val="none"/>
        </w:rPr>
        <w:t>8.</w:t>
      </w:r>
      <w:bookmarkEnd w:id="92"/>
      <w:r>
        <w:rPr>
          <w:rFonts w:hint="default" w:ascii="Times New Roman" w:hAnsi="Times New Roman" w:eastAsia="宋体" w:cs="Times New Roman"/>
          <w:b/>
          <w:bCs/>
          <w:color w:val="auto"/>
          <w:sz w:val="21"/>
          <w:szCs w:val="21"/>
          <w:highlight w:val="none"/>
        </w:rPr>
        <w:t>投标文件的语言、计量单位、货币</w:t>
      </w:r>
      <w:bookmarkEnd w:id="93"/>
      <w:bookmarkEnd w:id="94"/>
    </w:p>
    <w:p w14:paraId="3005D074">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8.1 供应商提交的投标文件（包括技术文件和资料、图纸中的说明）以及供应商与采购代理机构之间就有关投标的所有来往函电均应以简体中文书写。</w:t>
      </w:r>
    </w:p>
    <w:p w14:paraId="53F3357E">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8.2供应商已印刷好的资料如产品样本、说明书等可以用其他语言，但其中要点应附有中文译文。对不同文本投标文件的解释发生异议的，以中文翻译文本为准。</w:t>
      </w:r>
    </w:p>
    <w:p w14:paraId="0FF102EB">
      <w:pPr>
        <w:widowControl/>
        <w:shd w:val="clear" w:color="auto" w:fill="FFFFFF"/>
        <w:spacing w:line="360" w:lineRule="auto"/>
        <w:ind w:firstLine="420"/>
        <w:rPr>
          <w:rFonts w:hint="default" w:ascii="Times New Roman" w:hAnsi="Times New Roman" w:cs="Times New Roman"/>
          <w:color w:val="auto"/>
          <w:kern w:val="0"/>
          <w:szCs w:val="21"/>
          <w:highlight w:val="none"/>
        </w:rPr>
      </w:pPr>
      <w:bookmarkStart w:id="95" w:name="_Toc19298"/>
      <w:r>
        <w:rPr>
          <w:rFonts w:hint="default" w:ascii="Times New Roman" w:hAnsi="Times New Roman" w:cs="Times New Roman"/>
          <w:color w:val="auto"/>
          <w:kern w:val="0"/>
          <w:szCs w:val="21"/>
          <w:highlight w:val="none"/>
        </w:rPr>
        <w:t>8.3 除招标文件中有特殊要求外，招标文件中所使用的计量单位应为国家法定计量单位。</w:t>
      </w:r>
    </w:p>
    <w:p w14:paraId="115CA43A">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8.4 本招标文件所表述的时间均为北京时间。</w:t>
      </w:r>
    </w:p>
    <w:p w14:paraId="1E93872B">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xml:space="preserve">8.5 </w:t>
      </w:r>
      <w:r>
        <w:rPr>
          <w:rFonts w:hint="default" w:ascii="Times New Roman" w:hAnsi="Times New Roman" w:cs="Times New Roman"/>
          <w:b/>
          <w:bCs/>
          <w:color w:val="auto"/>
          <w:szCs w:val="21"/>
          <w:highlight w:val="none"/>
        </w:rPr>
        <w:t>所有投标响应报价具体详见投标人须知前附表。</w:t>
      </w:r>
    </w:p>
    <w:p w14:paraId="75CAD587">
      <w:pPr>
        <w:autoSpaceDE w:val="0"/>
        <w:autoSpaceDN w:val="0"/>
        <w:adjustRightInd w:val="0"/>
        <w:spacing w:line="360" w:lineRule="auto"/>
        <w:ind w:firstLine="420"/>
        <w:outlineLvl w:val="2"/>
        <w:rPr>
          <w:rFonts w:hint="default" w:ascii="Times New Roman" w:hAnsi="Times New Roman" w:cs="Times New Roman"/>
          <w:b/>
          <w:color w:val="auto"/>
          <w:szCs w:val="21"/>
          <w:highlight w:val="none"/>
          <w:lang w:val="zh-CN"/>
        </w:rPr>
      </w:pPr>
      <w:bookmarkStart w:id="96" w:name="_Toc31000"/>
      <w:bookmarkStart w:id="97" w:name="_Toc30894"/>
      <w:bookmarkStart w:id="98" w:name="_Toc16477"/>
      <w:r>
        <w:rPr>
          <w:rFonts w:hint="default" w:ascii="Times New Roman" w:hAnsi="Times New Roman" w:cs="Times New Roman"/>
          <w:b/>
          <w:bCs/>
          <w:color w:val="auto"/>
          <w:szCs w:val="21"/>
          <w:highlight w:val="none"/>
        </w:rPr>
        <w:t>9.</w:t>
      </w:r>
      <w:r>
        <w:rPr>
          <w:rFonts w:hint="default" w:ascii="Times New Roman" w:hAnsi="Times New Roman" w:cs="Times New Roman"/>
          <w:b/>
          <w:color w:val="auto"/>
          <w:szCs w:val="21"/>
          <w:highlight w:val="none"/>
          <w:lang w:val="zh-CN"/>
        </w:rPr>
        <w:t>联合体（根据采购项目是否接受联合体投标而定）</w:t>
      </w:r>
      <w:bookmarkEnd w:id="96"/>
      <w:bookmarkEnd w:id="97"/>
      <w:bookmarkEnd w:id="98"/>
    </w:p>
    <w:p w14:paraId="75A25AC7">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9.1</w:t>
      </w:r>
      <w:r>
        <w:rPr>
          <w:rFonts w:hint="default" w:ascii="Times New Roman" w:hAnsi="Times New Roman" w:cs="Times New Roman"/>
          <w:color w:val="auto"/>
          <w:szCs w:val="21"/>
          <w:highlight w:val="none"/>
        </w:rPr>
        <w:t>两个以上的自然人、法人或者其他组织可以组成一个联合体，以一个供应商的身份共同参加政府采购。</w:t>
      </w:r>
    </w:p>
    <w:p w14:paraId="4AD81BF0">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9.2鼓励大中型企业和其他自然人、法人或者其他组织与小型、微型企业组成联合体共同参加非专门面向中小企业的政府采购活动。</w:t>
      </w:r>
    </w:p>
    <w:p w14:paraId="6A3A5B4A">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9.3</w:t>
      </w:r>
      <w:r>
        <w:rPr>
          <w:rFonts w:hint="default" w:ascii="Times New Roman" w:hAnsi="Times New Roman" w:cs="Times New Roman"/>
          <w:color w:val="auto"/>
          <w:szCs w:val="21"/>
          <w:highlight w:val="none"/>
        </w:rPr>
        <w:t>以联合体形式参加采购的，</w:t>
      </w:r>
      <w:r>
        <w:rPr>
          <w:rFonts w:hint="default" w:ascii="Times New Roman" w:hAnsi="Times New Roman" w:cs="Times New Roman"/>
          <w:b/>
          <w:color w:val="auto"/>
          <w:szCs w:val="21"/>
          <w:highlight w:val="none"/>
        </w:rPr>
        <w:t>联合体各方均应当符合政府采购法第二十二条第一款规定的条件；采购人根据采购项目的特殊要求规定供应商特定条件的，联合体各方中至少应当有一方符合采购人规定的特定条件</w:t>
      </w:r>
      <w:r>
        <w:rPr>
          <w:rFonts w:hint="default" w:ascii="Times New Roman" w:hAnsi="Times New Roman" w:cs="Times New Roman"/>
          <w:color w:val="auto"/>
          <w:szCs w:val="21"/>
          <w:highlight w:val="none"/>
        </w:rPr>
        <w:t>。由同一专业的供应商组成的联合体，联合体中有同类资质的供应商按照联合体分工承担相同工作的，按照资质等级较低的供应商确定资质等级，并以响应全权代表方的应答材料作为商务评审的依据。由不同专业的供应商组成联合体，首先以响应全权代表方的应答材料作为认定资质以及商务评审的依据，涉及行业专属的资质，按照所属行业对应的供应商的应答材料确定。</w:t>
      </w:r>
    </w:p>
    <w:p w14:paraId="2D8B99FA">
      <w:pPr>
        <w:autoSpaceDE w:val="0"/>
        <w:autoSpaceDN w:val="0"/>
        <w:adjustRightInd w:val="0"/>
        <w:snapToGrid w:val="0"/>
        <w:spacing w:line="360" w:lineRule="auto"/>
        <w:ind w:firstLine="420"/>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 xml:space="preserve">9.4 </w:t>
      </w:r>
      <w:r>
        <w:rPr>
          <w:rFonts w:hint="default" w:ascii="Times New Roman" w:hAnsi="Times New Roman" w:cs="Times New Roman"/>
          <w:color w:val="auto"/>
          <w:szCs w:val="21"/>
          <w:highlight w:val="none"/>
        </w:rPr>
        <w:t>联合体各方之间应当签订联合体协议，明确约定联合体各方承担的工作和相应的责任，并将联合体协议连同响应文件一并提交。</w:t>
      </w:r>
    </w:p>
    <w:p w14:paraId="4DDD7B13">
      <w:pPr>
        <w:widowControl/>
        <w:shd w:val="clear" w:color="auto" w:fill="FFFFFF"/>
        <w:spacing w:line="360" w:lineRule="auto"/>
        <w:ind w:firstLine="420"/>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 xml:space="preserve">9.5 </w:t>
      </w:r>
      <w:r>
        <w:rPr>
          <w:rFonts w:hint="default" w:ascii="Times New Roman" w:hAnsi="Times New Roman" w:cs="Times New Roman"/>
          <w:color w:val="auto"/>
          <w:szCs w:val="21"/>
          <w:highlight w:val="none"/>
        </w:rPr>
        <w:t>以联合体形式参加政府采购活动的，联合体各方不得再单独参加或者与其他供应商另外组成联合体参加同一合同项下的政府采购活动。</w:t>
      </w:r>
    </w:p>
    <w:bookmarkEnd w:id="95"/>
    <w:p w14:paraId="67F8D1F9">
      <w:pPr>
        <w:pStyle w:val="5"/>
        <w:spacing w:line="360" w:lineRule="auto"/>
        <w:ind w:left="0" w:firstLine="422" w:firstLineChars="200"/>
        <w:jc w:val="both"/>
        <w:rPr>
          <w:rFonts w:hint="default" w:ascii="Times New Roman" w:hAnsi="Times New Roman" w:eastAsia="宋体" w:cs="Times New Roman"/>
          <w:color w:val="auto"/>
          <w:kern w:val="0"/>
          <w:sz w:val="21"/>
          <w:szCs w:val="21"/>
          <w:highlight w:val="none"/>
        </w:rPr>
      </w:pPr>
      <w:bookmarkStart w:id="99" w:name="_Toc22790"/>
      <w:bookmarkStart w:id="100" w:name="_Toc23063"/>
      <w:bookmarkStart w:id="101" w:name="_Toc2471"/>
      <w:r>
        <w:rPr>
          <w:rFonts w:hint="default" w:ascii="Times New Roman" w:hAnsi="Times New Roman" w:eastAsia="宋体" w:cs="Times New Roman"/>
          <w:b/>
          <w:bCs/>
          <w:color w:val="auto"/>
          <w:sz w:val="21"/>
          <w:szCs w:val="21"/>
          <w:highlight w:val="none"/>
        </w:rPr>
        <w:t>10.投标文件的</w:t>
      </w:r>
      <w:bookmarkEnd w:id="99"/>
      <w:r>
        <w:rPr>
          <w:rFonts w:hint="default" w:ascii="Times New Roman" w:hAnsi="Times New Roman" w:eastAsia="宋体" w:cs="Times New Roman"/>
          <w:b/>
          <w:bCs/>
          <w:color w:val="auto"/>
          <w:sz w:val="21"/>
          <w:szCs w:val="21"/>
          <w:highlight w:val="none"/>
        </w:rPr>
        <w:t>组成</w:t>
      </w:r>
      <w:bookmarkEnd w:id="100"/>
      <w:bookmarkEnd w:id="101"/>
    </w:p>
    <w:p w14:paraId="69790178">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10.1 供应商应当根据招标文件要求编制投标文件，投标文件应对招标文件提出的要求和条件作出实质性响应，并在《商务条款偏离表》和《技术条款偏离表》等处逐条标明满足与否。</w:t>
      </w:r>
    </w:p>
    <w:p w14:paraId="55CC9B61">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10.2 投标文件由商务、技术、价格及其他部分组成，应包括但不限于下列文件，其中加※项目不得有缺失或无效：</w:t>
      </w:r>
    </w:p>
    <w:p w14:paraId="26CB1597">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 投标函（投标申请及声明）</w:t>
      </w:r>
    </w:p>
    <w:p w14:paraId="3CB9B3F0">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xml:space="preserve">（2）※开标一览表 </w:t>
      </w:r>
    </w:p>
    <w:p w14:paraId="28D8A50C">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（3）分项报价表</w:t>
      </w:r>
    </w:p>
    <w:p w14:paraId="4F1DB5EE">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（4）《商务条款偏离表》</w:t>
      </w:r>
    </w:p>
    <w:p w14:paraId="5FEA4B03">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（5）※《技术条款偏离表》</w:t>
      </w:r>
    </w:p>
    <w:p w14:paraId="71E90833">
      <w:pPr>
        <w:widowControl/>
        <w:shd w:val="clear" w:color="auto" w:fill="FFFFFF"/>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（6）政府采购政策</w:t>
      </w:r>
    </w:p>
    <w:p w14:paraId="0379B72C">
      <w:pPr>
        <w:widowControl/>
        <w:shd w:val="clear" w:color="auto" w:fill="FFFFFF"/>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（7）供应商基本情况表</w:t>
      </w:r>
    </w:p>
    <w:p w14:paraId="649B1B82">
      <w:pPr>
        <w:widowControl/>
        <w:shd w:val="clear" w:color="auto" w:fill="FFFFFF"/>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（8）</w:t>
      </w:r>
      <w:r>
        <w:rPr>
          <w:rFonts w:hint="default" w:ascii="Times New Roman" w:hAnsi="Times New Roman" w:cs="Times New Roman"/>
          <w:color w:val="auto"/>
          <w:kern w:val="0"/>
          <w:szCs w:val="21"/>
          <w:highlight w:val="none"/>
          <w:lang w:val="zh-CN"/>
        </w:rPr>
        <w:t>投标保证金交纳相关证明材料（如有）</w:t>
      </w:r>
    </w:p>
    <w:p w14:paraId="6EC09CC5">
      <w:pPr>
        <w:widowControl/>
        <w:shd w:val="clear" w:color="auto" w:fill="FFFFFF"/>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（9）※资格证明文件</w:t>
      </w:r>
    </w:p>
    <w:p w14:paraId="560746B7">
      <w:pPr>
        <w:widowControl/>
        <w:shd w:val="clear" w:color="auto" w:fill="FFFFFF"/>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（10）供应商认为需要提供的其他资料</w:t>
      </w:r>
    </w:p>
    <w:p w14:paraId="2FF5976A">
      <w:pPr>
        <w:widowControl/>
        <w:shd w:val="clear" w:color="auto" w:fill="FFFFFF"/>
        <w:spacing w:line="360" w:lineRule="auto"/>
        <w:ind w:firstLine="420"/>
        <w:rPr>
          <w:rFonts w:hint="default" w:ascii="Times New Roman" w:hAnsi="Times New Roman" w:cs="Times New Roman"/>
          <w:color w:val="auto"/>
          <w:kern w:val="0"/>
          <w:szCs w:val="21"/>
          <w:highlight w:val="none"/>
        </w:rPr>
      </w:pPr>
      <w:bookmarkStart w:id="102" w:name="_Toc12595"/>
      <w:bookmarkStart w:id="103" w:name="_Toc32484"/>
      <w:r>
        <w:rPr>
          <w:rFonts w:hint="default" w:ascii="Times New Roman" w:hAnsi="Times New Roman" w:cs="Times New Roman"/>
          <w:color w:val="auto"/>
          <w:kern w:val="0"/>
          <w:szCs w:val="21"/>
          <w:highlight w:val="none"/>
        </w:rPr>
        <w:t>10.3投标文件的商务部分：是证明供应商有资格参加投标和中标后有能力履行合同的文件，这些文件应能满足招标的要求。</w:t>
      </w:r>
    </w:p>
    <w:p w14:paraId="1F2064F2">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10.4投标文件的技术部分：是证明供应商提供的产品/服务是合格的、并符合招标文件要求的证明文件，以及对产品/服务的详细说明，这些文件可以是文字资料、图纸和数据等。提供的产品/服务如与招标文件要求有不符之处，应说明其差别之所在。</w:t>
      </w:r>
    </w:p>
    <w:p w14:paraId="5E9C3C37">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10.5 投标文件的价格部分：</w:t>
      </w:r>
    </w:p>
    <w:p w14:paraId="5E44916E">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（1）价格文件是对投标价格构成的说明，招标文件如没有特别说明的话，对每一项产品/服务仅接受一个价格。</w:t>
      </w:r>
    </w:p>
    <w:p w14:paraId="3EC7ADFD">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（2）报价应包含完成本项目发生的所有含税费用、支付给员工的工资和国家强制缴纳的各种社会保障资金，以及供应商认为需要的其他费用等。</w:t>
      </w:r>
    </w:p>
    <w:p w14:paraId="050660E4">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报价时应充分考虑所有可能影响到报价的因素，一旦招标结束最终中标，如发生漏、缺、少项，都将被认为是中标供应商的报价让利行为，损失自负。供应商的任何错漏、优惠、竞争性报价不得作为减轻责任、减少服务、增加收费、降低质量的理由。</w:t>
      </w:r>
    </w:p>
    <w:p w14:paraId="65AF3EEE">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（4）供应商的报价包括但不仅限于人员费用（工资、福利、培训、体检、社会保险、加班费）、服务所用设备工具购置及维修费用、服务所用材料消耗费用、管理费用、利润、税金等费用。</w:t>
      </w:r>
    </w:p>
    <w:p w14:paraId="508F0469">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10.6 投标文件的其他部分：</w:t>
      </w:r>
    </w:p>
    <w:p w14:paraId="51DC1B5C">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其他文件由供应商根据编制投标文件需要提供的其他相关文件。</w:t>
      </w:r>
    </w:p>
    <w:p w14:paraId="31CE4010">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04" w:name="_Toc5848"/>
      <w:r>
        <w:rPr>
          <w:rFonts w:hint="default" w:ascii="Times New Roman" w:hAnsi="Times New Roman" w:eastAsia="宋体" w:cs="Times New Roman"/>
          <w:b/>
          <w:bCs/>
          <w:color w:val="auto"/>
          <w:sz w:val="21"/>
          <w:szCs w:val="21"/>
          <w:highlight w:val="none"/>
        </w:rPr>
        <w:t>11.投标保证金</w:t>
      </w:r>
      <w:bookmarkEnd w:id="102"/>
      <w:bookmarkEnd w:id="103"/>
      <w:bookmarkEnd w:id="104"/>
    </w:p>
    <w:p w14:paraId="1464F5B7">
      <w:pPr>
        <w:widowControl/>
        <w:shd w:val="clear" w:color="auto" w:fill="FFFFFF"/>
        <w:spacing w:line="360" w:lineRule="auto"/>
        <w:ind w:firstLine="420"/>
        <w:rPr>
          <w:rFonts w:hint="default" w:ascii="Times New Roman" w:hAnsi="Times New Roman" w:cs="Times New Roman"/>
          <w:color w:val="auto"/>
          <w:kern w:val="0"/>
          <w:szCs w:val="21"/>
          <w:highlight w:val="none"/>
        </w:rPr>
      </w:pPr>
      <w:bookmarkStart w:id="105" w:name="_Toc31206"/>
      <w:r>
        <w:rPr>
          <w:rFonts w:hint="default" w:ascii="Times New Roman" w:hAnsi="Times New Roman" w:cs="Times New Roman"/>
          <w:color w:val="auto"/>
          <w:kern w:val="0"/>
          <w:szCs w:val="21"/>
          <w:highlight w:val="none"/>
        </w:rPr>
        <w:t>11.1作为投标文件的一部分，</w:t>
      </w:r>
      <w:r>
        <w:rPr>
          <w:rFonts w:hint="default" w:ascii="Times New Roman" w:hAnsi="Times New Roman" w:cs="Times New Roman"/>
          <w:color w:val="auto"/>
          <w:szCs w:val="21"/>
          <w:highlight w:val="none"/>
        </w:rPr>
        <w:t>供应商</w:t>
      </w:r>
      <w:r>
        <w:rPr>
          <w:rFonts w:hint="default" w:ascii="Times New Roman" w:hAnsi="Times New Roman" w:cs="Times New Roman"/>
          <w:color w:val="auto"/>
          <w:kern w:val="0"/>
          <w:szCs w:val="21"/>
          <w:highlight w:val="none"/>
        </w:rPr>
        <w:t>应按照招标文件要求的数额和办法交纳投标保证金；投标保证金有效期应当与投标有效期一致。</w:t>
      </w:r>
    </w:p>
    <w:p w14:paraId="6754A59D">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投标保证金金额及形式：</w:t>
      </w:r>
      <w:r>
        <w:rPr>
          <w:rFonts w:hint="default" w:ascii="Times New Roman" w:hAnsi="Times New Roman" w:cs="Times New Roman"/>
          <w:b/>
          <w:bCs/>
          <w:color w:val="auto"/>
          <w:kern w:val="0"/>
          <w:szCs w:val="21"/>
          <w:highlight w:val="none"/>
        </w:rPr>
        <w:t>详见</w:t>
      </w:r>
      <w:r>
        <w:rPr>
          <w:rFonts w:hint="default" w:ascii="Times New Roman" w:hAnsi="Times New Roman" w:cs="Times New Roman"/>
          <w:b/>
          <w:bCs/>
          <w:color w:val="auto"/>
          <w:szCs w:val="21"/>
          <w:highlight w:val="none"/>
        </w:rPr>
        <w:t>投标人</w:t>
      </w:r>
      <w:r>
        <w:rPr>
          <w:rFonts w:hint="default" w:ascii="Times New Roman" w:hAnsi="Times New Roman" w:cs="Times New Roman"/>
          <w:b/>
          <w:bCs/>
          <w:color w:val="auto"/>
          <w:kern w:val="0"/>
          <w:szCs w:val="21"/>
          <w:highlight w:val="none"/>
        </w:rPr>
        <w:t>须知前附表</w:t>
      </w:r>
      <w:r>
        <w:rPr>
          <w:rFonts w:hint="default" w:ascii="Times New Roman" w:hAnsi="Times New Roman" w:cs="Times New Roman"/>
          <w:color w:val="auto"/>
          <w:kern w:val="0"/>
          <w:szCs w:val="21"/>
          <w:highlight w:val="none"/>
        </w:rPr>
        <w:t>。</w:t>
      </w:r>
    </w:p>
    <w:p w14:paraId="7011ECE4">
      <w:pPr>
        <w:widowControl/>
        <w:shd w:val="clear" w:color="auto" w:fill="FFFFFF"/>
        <w:spacing w:line="360" w:lineRule="auto"/>
        <w:ind w:firstLine="420"/>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11.2未中标的供应商，其投标保证金将在中标通知书发出后五个工作日内无息退还。未中标供应商应主动联系前附表所注明的联系人办理投标保证金退还事宜，以及办理退还手续，由于供应商的自身原因未及时办理投标保证金退还的，其责任和由此造成的后果由供应商自行承担。</w:t>
      </w:r>
    </w:p>
    <w:p w14:paraId="41F097E7">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11.3中标供应商的保证金将按要求缴纳招标代理服务费后在采购合同签订后五个工作日内退还。</w:t>
      </w:r>
    </w:p>
    <w:p w14:paraId="05F12EA1">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11.4发生下列情况之一，保证金将被没收：</w:t>
      </w:r>
    </w:p>
    <w:p w14:paraId="093F65F2">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（1）中标供应商在中标后无正当理由不与采购人签订合同的；</w:t>
      </w:r>
    </w:p>
    <w:p w14:paraId="5DB525B2">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w:t>
      </w:r>
      <w:r>
        <w:rPr>
          <w:rFonts w:hint="default" w:ascii="Times New Roman" w:hAnsi="Times New Roman" w:cs="Times New Roman"/>
          <w:color w:val="auto"/>
          <w:szCs w:val="21"/>
          <w:highlight w:val="none"/>
          <w:lang w:val="zh-CN"/>
        </w:rPr>
        <w:t>投标有效期内撤回其投标的；</w:t>
      </w:r>
    </w:p>
    <w:p w14:paraId="39B4B8DE">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（3）提供虚假材料谋取成交的；</w:t>
      </w:r>
    </w:p>
    <w:p w14:paraId="2AC4773F">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（4）采取不正当手段诋毁、排挤其他</w:t>
      </w:r>
      <w:r>
        <w:rPr>
          <w:rFonts w:hint="default" w:ascii="Times New Roman" w:hAnsi="Times New Roman" w:cs="Times New Roman"/>
          <w:color w:val="auto"/>
          <w:szCs w:val="21"/>
          <w:highlight w:val="none"/>
        </w:rPr>
        <w:t>供应商</w:t>
      </w:r>
      <w:r>
        <w:rPr>
          <w:rFonts w:hint="default" w:ascii="Times New Roman" w:hAnsi="Times New Roman" w:cs="Times New Roman"/>
          <w:color w:val="auto"/>
          <w:kern w:val="0"/>
          <w:szCs w:val="21"/>
          <w:highlight w:val="none"/>
        </w:rPr>
        <w:t>的；</w:t>
      </w:r>
    </w:p>
    <w:p w14:paraId="6F6D19B3">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（5）与采购人、采购代理机构或者其他</w:t>
      </w:r>
      <w:r>
        <w:rPr>
          <w:rFonts w:hint="default" w:ascii="Times New Roman" w:hAnsi="Times New Roman" w:cs="Times New Roman"/>
          <w:color w:val="auto"/>
          <w:szCs w:val="21"/>
          <w:highlight w:val="none"/>
        </w:rPr>
        <w:t>供应商</w:t>
      </w:r>
      <w:r>
        <w:rPr>
          <w:rFonts w:hint="default" w:ascii="Times New Roman" w:hAnsi="Times New Roman" w:cs="Times New Roman"/>
          <w:color w:val="auto"/>
          <w:kern w:val="0"/>
          <w:szCs w:val="21"/>
          <w:highlight w:val="none"/>
        </w:rPr>
        <w:t>恶意串通的；</w:t>
      </w:r>
    </w:p>
    <w:p w14:paraId="46BBACB1">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（6）中标供应商在中标后将中标项目转让给他人，或者在投标文件中未说明，且未经采购人同意，将中标项目分包给他人的；</w:t>
      </w:r>
    </w:p>
    <w:p w14:paraId="35EC827C">
      <w:pPr>
        <w:widowControl/>
        <w:shd w:val="clear" w:color="auto" w:fill="FFFFFF"/>
        <w:spacing w:line="360" w:lineRule="auto"/>
        <w:ind w:firstLine="420"/>
        <w:rPr>
          <w:rFonts w:hint="default" w:ascii="Times New Roman" w:hAnsi="Times New Roman" w:cs="Times New Roman"/>
          <w:bCs/>
          <w:color w:val="auto"/>
          <w:szCs w:val="21"/>
          <w:highlight w:val="none"/>
        </w:rPr>
      </w:pPr>
      <w:r>
        <w:rPr>
          <w:rFonts w:hint="default" w:ascii="Times New Roman" w:hAnsi="Times New Roman" w:cs="Times New Roman"/>
          <w:color w:val="auto"/>
          <w:kern w:val="0"/>
          <w:szCs w:val="21"/>
          <w:highlight w:val="none"/>
        </w:rPr>
        <w:t>（7）中标供应商在中标后拒绝</w:t>
      </w:r>
      <w:r>
        <w:rPr>
          <w:rFonts w:hint="default" w:ascii="Times New Roman" w:hAnsi="Times New Roman" w:cs="Times New Roman"/>
          <w:bCs/>
          <w:color w:val="auto"/>
          <w:szCs w:val="21"/>
          <w:highlight w:val="none"/>
        </w:rPr>
        <w:t>履行合同义务的。</w:t>
      </w:r>
    </w:p>
    <w:p w14:paraId="1DBFECA3">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06" w:name="_Toc10832"/>
      <w:bookmarkStart w:id="107" w:name="_Toc19016"/>
      <w:r>
        <w:rPr>
          <w:rFonts w:hint="default" w:ascii="Times New Roman" w:hAnsi="Times New Roman" w:eastAsia="宋体" w:cs="Times New Roman"/>
          <w:b/>
          <w:bCs/>
          <w:color w:val="auto"/>
          <w:sz w:val="21"/>
          <w:szCs w:val="21"/>
          <w:highlight w:val="none"/>
        </w:rPr>
        <w:t>12.投标文件的有效期</w:t>
      </w:r>
      <w:bookmarkEnd w:id="105"/>
      <w:bookmarkEnd w:id="106"/>
      <w:bookmarkEnd w:id="107"/>
    </w:p>
    <w:p w14:paraId="4A868E12">
      <w:pPr>
        <w:spacing w:line="360" w:lineRule="auto"/>
        <w:ind w:firstLine="420" w:firstLineChars="200"/>
        <w:rPr>
          <w:rFonts w:hint="default" w:ascii="Times New Roman" w:hAnsi="Times New Roman" w:cs="Times New Roman"/>
          <w:bCs/>
          <w:color w:val="auto"/>
          <w:szCs w:val="21"/>
          <w:highlight w:val="none"/>
        </w:rPr>
      </w:pPr>
      <w:bookmarkStart w:id="108" w:name="_Toc6811"/>
      <w:r>
        <w:rPr>
          <w:rFonts w:hint="default" w:ascii="Times New Roman" w:hAnsi="Times New Roman" w:cs="Times New Roman"/>
          <w:bCs/>
          <w:color w:val="auto"/>
          <w:szCs w:val="21"/>
          <w:highlight w:val="none"/>
        </w:rPr>
        <w:t>12.1自开标之日起90天内，投标文件应保持有效，有效期短于此规定的投标文件将视为无效。</w:t>
      </w:r>
    </w:p>
    <w:p w14:paraId="0CB16BB9">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12.2在特殊情况下，采购代理机构可根据实际情况，在原投标文件有效期截止时间前，与供应商协商延长有效期，此类要求和答复都应以书面形式进行。供应商可以拒绝接受延期的要求而放弃投标，投标保证金将尽快无息退还。同意这一要求的供应商，无需也不允许修改其投标文件，但须相应延长投标保证金的有效期。受投标有效期制约的所有权利和义务均应延长至新的有效期。</w:t>
      </w:r>
    </w:p>
    <w:p w14:paraId="5BF03EEE">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09" w:name="_Toc18186"/>
      <w:bookmarkStart w:id="110" w:name="_Toc7270"/>
      <w:r>
        <w:rPr>
          <w:rFonts w:hint="default" w:ascii="Times New Roman" w:hAnsi="Times New Roman" w:eastAsia="宋体" w:cs="Times New Roman"/>
          <w:b/>
          <w:bCs/>
          <w:color w:val="auto"/>
          <w:sz w:val="21"/>
          <w:szCs w:val="21"/>
          <w:highlight w:val="none"/>
        </w:rPr>
        <w:t>13.投标文件的签署及其形式</w:t>
      </w:r>
      <w:bookmarkEnd w:id="108"/>
      <w:bookmarkEnd w:id="109"/>
      <w:bookmarkEnd w:id="110"/>
    </w:p>
    <w:p w14:paraId="1AE10E1C">
      <w:pPr>
        <w:spacing w:line="360" w:lineRule="auto"/>
        <w:ind w:firstLine="420" w:firstLineChars="200"/>
        <w:rPr>
          <w:rFonts w:hint="default" w:ascii="Times New Roman" w:hAnsi="Times New Roman" w:cs="Times New Roman"/>
          <w:bCs/>
          <w:color w:val="auto"/>
          <w:szCs w:val="21"/>
          <w:highlight w:val="none"/>
        </w:rPr>
      </w:pPr>
      <w:bookmarkStart w:id="111" w:name="_Toc27455"/>
      <w:r>
        <w:rPr>
          <w:rFonts w:hint="default" w:ascii="Times New Roman" w:hAnsi="Times New Roman" w:cs="Times New Roman"/>
          <w:bCs/>
          <w:color w:val="auto"/>
          <w:szCs w:val="21"/>
          <w:highlight w:val="none"/>
        </w:rPr>
        <w:t>13.1供应商应按本款下述规定以及投标人须知前附表规定的数量提交投标文件。每份投标文件均须在封面上清楚</w:t>
      </w:r>
      <w:r>
        <w:rPr>
          <w:rFonts w:hint="eastAsia" w:cs="Times New Roman"/>
          <w:bCs/>
          <w:color w:val="auto"/>
          <w:szCs w:val="21"/>
          <w:highlight w:val="none"/>
          <w:lang w:eastAsia="zh-CN"/>
        </w:rPr>
        <w:t>标</w:t>
      </w:r>
      <w:r>
        <w:rPr>
          <w:rFonts w:hint="default" w:ascii="Times New Roman" w:hAnsi="Times New Roman" w:cs="Times New Roman"/>
          <w:bCs/>
          <w:color w:val="auto"/>
          <w:szCs w:val="21"/>
          <w:highlight w:val="none"/>
        </w:rPr>
        <w:t>明“正本”“副本”或“电子版”字样，如果它们之间有差异，则以正本为准。</w:t>
      </w:r>
    </w:p>
    <w:p w14:paraId="15C948F4">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13.2投标文件的正本应用打印机或不褪色墨水书写，且经法定代表人或授权代表签署，副本可以为正本的复印件。</w:t>
      </w:r>
      <w:r>
        <w:rPr>
          <w:rFonts w:hint="default" w:ascii="Times New Roman" w:hAnsi="Times New Roman" w:cs="Times New Roman"/>
          <w:color w:val="auto"/>
          <w:szCs w:val="21"/>
          <w:highlight w:val="none"/>
        </w:rPr>
        <w:t xml:space="preserve"> </w:t>
      </w:r>
    </w:p>
    <w:p w14:paraId="5006CD9F">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13.3投标文件应字迹清楚、内容齐全、不得涂改或增删。如有修改和增删，必须有供应商公章或法定代表人或其授权代表签字。因投标文件字迹潦草或表达不清所引起的不利后果由供应商承担。</w:t>
      </w:r>
    </w:p>
    <w:p w14:paraId="5571F6AB">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bCs/>
          <w:color w:val="auto"/>
          <w:szCs w:val="21"/>
          <w:highlight w:val="none"/>
        </w:rPr>
        <w:t>13.4</w:t>
      </w:r>
      <w:r>
        <w:rPr>
          <w:rFonts w:hint="default" w:ascii="Times New Roman" w:hAnsi="Times New Roman" w:cs="Times New Roman"/>
          <w:color w:val="auto"/>
          <w:kern w:val="0"/>
          <w:szCs w:val="21"/>
          <w:highlight w:val="none"/>
        </w:rPr>
        <w:t>供应商应按照招标文件所规定的内容顺序，</w:t>
      </w:r>
      <w:r>
        <w:rPr>
          <w:rFonts w:hint="default" w:ascii="Times New Roman" w:hAnsi="Times New Roman" w:cs="Times New Roman"/>
          <w:b/>
          <w:bCs/>
          <w:color w:val="auto"/>
          <w:kern w:val="0"/>
          <w:szCs w:val="21"/>
          <w:highlight w:val="none"/>
        </w:rPr>
        <w:t>统一用A4规格幅面打印（为节约资源，建议双面打印）、装订成册（建议胶装）并编制目录，逐页编码</w:t>
      </w:r>
      <w:r>
        <w:rPr>
          <w:rFonts w:hint="default" w:ascii="Times New Roman" w:hAnsi="Times New Roman" w:cs="Times New Roman"/>
          <w:color w:val="auto"/>
          <w:kern w:val="0"/>
          <w:szCs w:val="21"/>
          <w:highlight w:val="none"/>
        </w:rPr>
        <w:t>。由于编排混乱导致投标文件被误读或查找不到，责任由供应商承担。</w:t>
      </w:r>
    </w:p>
    <w:p w14:paraId="44A07CED">
      <w:pPr>
        <w:widowControl/>
        <w:shd w:val="clear" w:color="auto" w:fill="FFFFFF"/>
        <w:spacing w:line="360" w:lineRule="auto"/>
        <w:outlineLvl w:val="1"/>
        <w:rPr>
          <w:rFonts w:hint="default" w:ascii="Times New Roman" w:hAnsi="Times New Roman" w:cs="Times New Roman"/>
          <w:b/>
          <w:bCs/>
          <w:color w:val="auto"/>
          <w:kern w:val="0"/>
          <w:szCs w:val="21"/>
          <w:highlight w:val="none"/>
        </w:rPr>
      </w:pPr>
      <w:bookmarkStart w:id="112" w:name="_Toc3725"/>
      <w:bookmarkStart w:id="113" w:name="_Toc10353"/>
      <w:r>
        <w:rPr>
          <w:rFonts w:hint="default" w:ascii="Times New Roman" w:hAnsi="Times New Roman" w:cs="Times New Roman"/>
          <w:b/>
          <w:bCs/>
          <w:color w:val="auto"/>
          <w:kern w:val="0"/>
          <w:szCs w:val="21"/>
          <w:highlight w:val="none"/>
        </w:rPr>
        <w:t>四、投标文件的递交</w:t>
      </w:r>
      <w:bookmarkEnd w:id="111"/>
      <w:bookmarkEnd w:id="112"/>
      <w:bookmarkEnd w:id="113"/>
    </w:p>
    <w:p w14:paraId="0683D4C3">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14" w:name="_Toc11996"/>
      <w:bookmarkStart w:id="115" w:name="_Toc14201"/>
      <w:bookmarkStart w:id="116" w:name="_Toc26126"/>
      <w:r>
        <w:rPr>
          <w:rFonts w:hint="default" w:ascii="Times New Roman" w:hAnsi="Times New Roman" w:eastAsia="宋体" w:cs="Times New Roman"/>
          <w:b/>
          <w:bCs/>
          <w:color w:val="auto"/>
          <w:sz w:val="21"/>
          <w:szCs w:val="21"/>
          <w:highlight w:val="none"/>
        </w:rPr>
        <w:t>14.投标文件的密封及标记</w:t>
      </w:r>
      <w:bookmarkEnd w:id="114"/>
      <w:bookmarkEnd w:id="115"/>
      <w:bookmarkEnd w:id="116"/>
    </w:p>
    <w:p w14:paraId="7F769759">
      <w:pPr>
        <w:spacing w:line="360" w:lineRule="auto"/>
        <w:ind w:firstLine="420" w:firstLineChars="200"/>
        <w:rPr>
          <w:rFonts w:hint="default" w:ascii="Times New Roman" w:hAnsi="Times New Roman" w:cs="Times New Roman"/>
          <w:b/>
          <w:color w:val="auto"/>
          <w:szCs w:val="21"/>
          <w:highlight w:val="none"/>
        </w:rPr>
      </w:pPr>
      <w:bookmarkStart w:id="117" w:name="_Toc21766"/>
      <w:r>
        <w:rPr>
          <w:rFonts w:hint="default" w:ascii="Times New Roman" w:hAnsi="Times New Roman" w:cs="Times New Roman"/>
          <w:bCs/>
          <w:color w:val="auto"/>
          <w:szCs w:val="21"/>
          <w:highlight w:val="none"/>
        </w:rPr>
        <w:t>14.1</w:t>
      </w:r>
      <w:r>
        <w:rPr>
          <w:rFonts w:hint="default" w:ascii="Times New Roman" w:hAnsi="Times New Roman" w:cs="Times New Roman"/>
          <w:color w:val="auto"/>
          <w:szCs w:val="21"/>
          <w:highlight w:val="none"/>
        </w:rPr>
        <w:t>供应商应把正本和副本及电子版投标文件用封套加以密封，标明“正本”和“副本”“电子版”</w:t>
      </w:r>
      <w:r>
        <w:rPr>
          <w:rFonts w:hint="default" w:ascii="Times New Roman" w:hAnsi="Times New Roman" w:cs="Times New Roman"/>
          <w:bCs/>
          <w:color w:val="auto"/>
          <w:szCs w:val="21"/>
          <w:highlight w:val="none"/>
        </w:rPr>
        <w:t>。</w:t>
      </w:r>
    </w:p>
    <w:p w14:paraId="38A27A20">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14.2作为投标保证金的银行本票、转账支票、汇票或电汇底单等非现金形式，另用内封套加以密封，并在内封套上注明“投标保证金”字样,放在投标文件正本封套之内。（如有）</w:t>
      </w:r>
    </w:p>
    <w:p w14:paraId="5EB308B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14.3封套上均须按采购代理机构提供的格式写明：</w:t>
      </w:r>
    </w:p>
    <w:p w14:paraId="36FCDAFA">
      <w:pPr>
        <w:numPr>
          <w:ilvl w:val="0"/>
          <w:numId w:val="0"/>
        </w:numPr>
        <w:spacing w:line="360" w:lineRule="auto"/>
        <w:ind w:left="600" w:leftChars="0" w:firstLine="420" w:firstLineChars="200"/>
        <w:rPr>
          <w:rFonts w:hint="default" w:ascii="Times New Roman" w:hAnsi="Times New Roman" w:cs="Times New Roman"/>
          <w:bCs/>
          <w:color w:val="auto"/>
          <w:szCs w:val="21"/>
          <w:highlight w:val="none"/>
        </w:rPr>
      </w:pPr>
      <w:r>
        <w:rPr>
          <w:rFonts w:hint="eastAsia" w:ascii="Times New Roman" w:hAnsi="Times New Roman" w:eastAsia="宋体" w:cs="Times New Roman"/>
          <w:bCs/>
          <w:color w:val="auto"/>
          <w:kern w:val="2"/>
          <w:sz w:val="21"/>
          <w:szCs w:val="21"/>
          <w:highlight w:val="none"/>
          <w:lang w:val="en-US" w:eastAsia="zh-CN" w:bidi="ar-SA"/>
        </w:rPr>
        <w:t>（1）</w:t>
      </w:r>
      <w:r>
        <w:rPr>
          <w:rFonts w:hint="default" w:ascii="Times New Roman" w:hAnsi="Times New Roman" w:cs="Times New Roman"/>
          <w:bCs/>
          <w:color w:val="auto"/>
          <w:szCs w:val="21"/>
          <w:highlight w:val="none"/>
        </w:rPr>
        <w:t>项目编号及项目名称：</w:t>
      </w:r>
    </w:p>
    <w:p w14:paraId="30EA2E6B">
      <w:pPr>
        <w:numPr>
          <w:ilvl w:val="0"/>
          <w:numId w:val="0"/>
        </w:numPr>
        <w:spacing w:line="360" w:lineRule="auto"/>
        <w:ind w:left="600" w:leftChars="0" w:firstLine="420" w:firstLineChars="200"/>
        <w:rPr>
          <w:rFonts w:hint="default" w:ascii="Times New Roman" w:hAnsi="Times New Roman" w:cs="Times New Roman"/>
          <w:bCs/>
          <w:color w:val="auto"/>
          <w:szCs w:val="21"/>
          <w:highlight w:val="none"/>
        </w:rPr>
      </w:pPr>
      <w:r>
        <w:rPr>
          <w:rFonts w:hint="eastAsia" w:ascii="Times New Roman" w:hAnsi="Times New Roman" w:eastAsia="宋体" w:cs="Times New Roman"/>
          <w:bCs/>
          <w:color w:val="auto"/>
          <w:kern w:val="2"/>
          <w:sz w:val="21"/>
          <w:szCs w:val="21"/>
          <w:highlight w:val="none"/>
          <w:lang w:val="en-US" w:eastAsia="zh-CN" w:bidi="ar-SA"/>
        </w:rPr>
        <w:t>（2）</w:t>
      </w:r>
      <w:r>
        <w:rPr>
          <w:rFonts w:hint="default" w:ascii="Times New Roman" w:hAnsi="Times New Roman" w:cs="Times New Roman"/>
          <w:bCs/>
          <w:color w:val="auto"/>
          <w:szCs w:val="21"/>
          <w:highlight w:val="none"/>
        </w:rPr>
        <w:t>分包号（如有）：</w:t>
      </w:r>
    </w:p>
    <w:p w14:paraId="6A8E5CD8">
      <w:pPr>
        <w:numPr>
          <w:ilvl w:val="0"/>
          <w:numId w:val="0"/>
        </w:numPr>
        <w:spacing w:line="360" w:lineRule="auto"/>
        <w:ind w:left="600" w:leftChars="0" w:firstLine="420" w:firstLineChars="200"/>
        <w:rPr>
          <w:rFonts w:hint="default" w:ascii="Times New Roman" w:hAnsi="Times New Roman" w:cs="Times New Roman"/>
          <w:bCs/>
          <w:color w:val="auto"/>
          <w:szCs w:val="21"/>
          <w:highlight w:val="none"/>
        </w:rPr>
      </w:pPr>
      <w:r>
        <w:rPr>
          <w:rFonts w:hint="eastAsia" w:ascii="Times New Roman" w:hAnsi="Times New Roman" w:eastAsia="宋体" w:cs="Times New Roman"/>
          <w:bCs/>
          <w:color w:val="auto"/>
          <w:kern w:val="2"/>
          <w:sz w:val="21"/>
          <w:szCs w:val="21"/>
          <w:highlight w:val="none"/>
          <w:lang w:val="en-US" w:eastAsia="zh-CN" w:bidi="ar-SA"/>
        </w:rPr>
        <w:t>（3）</w:t>
      </w:r>
      <w:r>
        <w:rPr>
          <w:rFonts w:hint="default" w:ascii="Times New Roman" w:hAnsi="Times New Roman" w:cs="Times New Roman"/>
          <w:bCs/>
          <w:color w:val="auto"/>
          <w:szCs w:val="21"/>
          <w:highlight w:val="none"/>
        </w:rPr>
        <w:t>供应商的名称、地址、联系人、电话等。</w:t>
      </w:r>
    </w:p>
    <w:p w14:paraId="4FD22CC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14.4投标文件未按上述规定密封者，采购</w:t>
      </w:r>
      <w:r>
        <w:rPr>
          <w:rFonts w:hint="default" w:ascii="Times New Roman" w:hAnsi="Times New Roman" w:cs="Times New Roman"/>
          <w:snapToGrid w:val="0"/>
          <w:color w:val="auto"/>
          <w:kern w:val="0"/>
          <w:szCs w:val="21"/>
          <w:highlight w:val="none"/>
          <w:lang w:val="zh-CN"/>
        </w:rPr>
        <w:t>代理机构对误投或过早启封概不负责。</w:t>
      </w:r>
    </w:p>
    <w:p w14:paraId="2D1632BE">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18" w:name="_Toc14747"/>
      <w:bookmarkStart w:id="119" w:name="_Toc3368"/>
      <w:r>
        <w:rPr>
          <w:rFonts w:hint="default" w:ascii="Times New Roman" w:hAnsi="Times New Roman" w:eastAsia="宋体" w:cs="Times New Roman"/>
          <w:b/>
          <w:bCs/>
          <w:color w:val="auto"/>
          <w:sz w:val="21"/>
          <w:szCs w:val="21"/>
          <w:highlight w:val="none"/>
        </w:rPr>
        <w:t>15.投标的截止日期</w:t>
      </w:r>
      <w:bookmarkEnd w:id="117"/>
      <w:bookmarkEnd w:id="118"/>
      <w:bookmarkEnd w:id="119"/>
    </w:p>
    <w:p w14:paraId="78759CE4">
      <w:pPr>
        <w:spacing w:line="360" w:lineRule="auto"/>
        <w:ind w:firstLine="420" w:firstLineChars="200"/>
        <w:rPr>
          <w:rFonts w:hint="default" w:ascii="Times New Roman" w:hAnsi="Times New Roman" w:cs="Times New Roman"/>
          <w:bCs/>
          <w:color w:val="auto"/>
          <w:szCs w:val="21"/>
          <w:highlight w:val="none"/>
        </w:rPr>
      </w:pPr>
      <w:bookmarkStart w:id="120" w:name="_Toc32673"/>
      <w:r>
        <w:rPr>
          <w:rFonts w:hint="default" w:ascii="Times New Roman" w:hAnsi="Times New Roman" w:cs="Times New Roman"/>
          <w:bCs/>
          <w:color w:val="auto"/>
          <w:szCs w:val="21"/>
          <w:highlight w:val="none"/>
        </w:rPr>
        <w:t>15.1投标文件须在采购代理机构规定的投标截止时间前递交到指定地点。</w:t>
      </w:r>
    </w:p>
    <w:p w14:paraId="790649E1">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15.2采购代理机构可以按第7项的规定，以补充招标文件的形式推迟投标的截止时间，在这种情况下，采购代理机构或供应商的权利和义务都以新的截止时间为准。</w:t>
      </w:r>
    </w:p>
    <w:p w14:paraId="29C6E026">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15.3投标文件由于不可抗力的原因遗失和损坏，采购代理机构不负任何责任。</w:t>
      </w:r>
    </w:p>
    <w:bookmarkEnd w:id="120"/>
    <w:p w14:paraId="12BF4A49">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21" w:name="_Toc14422"/>
      <w:bookmarkStart w:id="122" w:name="_Toc10963"/>
      <w:bookmarkStart w:id="123" w:name="_Toc9671"/>
      <w:bookmarkStart w:id="124" w:name="_Toc10359"/>
      <w:bookmarkStart w:id="125" w:name="_Toc6201"/>
      <w:r>
        <w:rPr>
          <w:rFonts w:hint="default" w:ascii="Times New Roman" w:hAnsi="Times New Roman" w:eastAsia="宋体" w:cs="Times New Roman"/>
          <w:b/>
          <w:bCs/>
          <w:color w:val="auto"/>
          <w:sz w:val="21"/>
          <w:szCs w:val="21"/>
          <w:highlight w:val="none"/>
        </w:rPr>
        <w:t>16.</w:t>
      </w:r>
      <w:bookmarkEnd w:id="121"/>
      <w:bookmarkEnd w:id="122"/>
      <w:r>
        <w:rPr>
          <w:rFonts w:hint="default" w:ascii="Times New Roman" w:hAnsi="Times New Roman" w:eastAsia="宋体" w:cs="Times New Roman"/>
          <w:b/>
          <w:bCs/>
          <w:color w:val="auto"/>
          <w:sz w:val="21"/>
          <w:szCs w:val="21"/>
          <w:highlight w:val="none"/>
        </w:rPr>
        <w:t>迟交的投标文件</w:t>
      </w:r>
      <w:bookmarkEnd w:id="123"/>
      <w:bookmarkEnd w:id="124"/>
    </w:p>
    <w:p w14:paraId="61F6557E">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 xml:space="preserve">    在投标截止时间以后递交的投标文件，采购代理机构拒绝接收。</w:t>
      </w:r>
    </w:p>
    <w:bookmarkEnd w:id="125"/>
    <w:p w14:paraId="1786133B">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26" w:name="_Toc3512"/>
      <w:bookmarkStart w:id="127" w:name="_Toc32211"/>
      <w:bookmarkStart w:id="128" w:name="_Toc27692"/>
      <w:bookmarkStart w:id="129" w:name="_Toc21351"/>
      <w:bookmarkStart w:id="130" w:name="_Toc20823301"/>
      <w:bookmarkStart w:id="131" w:name="_Toc513029229"/>
      <w:bookmarkStart w:id="132" w:name="_Toc24233"/>
      <w:bookmarkStart w:id="133" w:name="_Toc120614218"/>
      <w:bookmarkStart w:id="134" w:name="_Toc16938545"/>
      <w:r>
        <w:rPr>
          <w:rFonts w:hint="default" w:ascii="Times New Roman" w:hAnsi="Times New Roman" w:eastAsia="宋体" w:cs="Times New Roman"/>
          <w:b/>
          <w:bCs/>
          <w:color w:val="auto"/>
          <w:sz w:val="21"/>
          <w:szCs w:val="21"/>
          <w:highlight w:val="none"/>
        </w:rPr>
        <w:t>17.投标文件的修改或撤回</w:t>
      </w:r>
      <w:bookmarkEnd w:id="126"/>
      <w:bookmarkEnd w:id="127"/>
      <w:bookmarkEnd w:id="128"/>
      <w:bookmarkEnd w:id="129"/>
    </w:p>
    <w:p w14:paraId="6B655CA4">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17.1供应商在提交投标文件后可对其进行补充、修改或撤回，但必须使采购代理机构能在投标截止时间前（不考虑不可抗力原因）收到该补充、修改的书面内容或撤回的书面通知，该书面文件须由法定代表人或其授权代表签署。</w:t>
      </w:r>
    </w:p>
    <w:p w14:paraId="6BEAE92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17.2供应商的修改或撤回通知必须按第14项的规定并在封套上注明：“修改”或“撤回”字样封送给采购代理机构。</w:t>
      </w:r>
    </w:p>
    <w:p w14:paraId="2B2B1624">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17.3供应商不得在投标截止时间以后修改投标文件。</w:t>
      </w:r>
    </w:p>
    <w:p w14:paraId="2919B544">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17.4在投标截止时间起至投标有效期满前，任何投标文件不得撤回，在这段期间撤回投标文件，投标保证金将被没收。该供应商的投标文件不予退还。</w:t>
      </w:r>
    </w:p>
    <w:p w14:paraId="158C276D">
      <w:pPr>
        <w:widowControl/>
        <w:shd w:val="clear" w:color="auto" w:fill="FFFFFF"/>
        <w:spacing w:line="360" w:lineRule="auto"/>
        <w:outlineLvl w:val="1"/>
        <w:rPr>
          <w:rFonts w:hint="default" w:ascii="Times New Roman" w:hAnsi="Times New Roman" w:cs="Times New Roman"/>
          <w:b/>
          <w:bCs/>
          <w:color w:val="auto"/>
          <w:kern w:val="0"/>
          <w:szCs w:val="21"/>
          <w:highlight w:val="none"/>
        </w:rPr>
      </w:pPr>
      <w:bookmarkStart w:id="135" w:name="_Toc7027"/>
      <w:bookmarkStart w:id="136" w:name="_Toc4082"/>
      <w:r>
        <w:rPr>
          <w:rFonts w:hint="default" w:ascii="Times New Roman" w:hAnsi="Times New Roman" w:cs="Times New Roman"/>
          <w:b/>
          <w:bCs/>
          <w:color w:val="auto"/>
          <w:kern w:val="0"/>
          <w:szCs w:val="21"/>
          <w:highlight w:val="none"/>
        </w:rPr>
        <w:t>五、开标与评标</w:t>
      </w:r>
      <w:bookmarkEnd w:id="130"/>
      <w:bookmarkEnd w:id="131"/>
      <w:bookmarkEnd w:id="132"/>
      <w:bookmarkEnd w:id="133"/>
      <w:bookmarkEnd w:id="134"/>
      <w:bookmarkEnd w:id="135"/>
      <w:bookmarkEnd w:id="136"/>
    </w:p>
    <w:p w14:paraId="5FEE6E4A">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37" w:name="_Toc201"/>
      <w:bookmarkStart w:id="138" w:name="_Toc15345"/>
      <w:bookmarkStart w:id="139" w:name="_Toc13829"/>
      <w:bookmarkStart w:id="140" w:name="_Toc3679"/>
      <w:bookmarkStart w:id="141" w:name="_Toc18031"/>
      <w:bookmarkStart w:id="142" w:name="OLE_LINK7"/>
      <w:bookmarkStart w:id="143" w:name="OLE_LINK3"/>
      <w:bookmarkStart w:id="144" w:name="_Toc6944"/>
      <w:r>
        <w:rPr>
          <w:rFonts w:hint="default" w:ascii="Times New Roman" w:hAnsi="Times New Roman" w:eastAsia="宋体" w:cs="Times New Roman"/>
          <w:b/>
          <w:bCs/>
          <w:color w:val="auto"/>
          <w:sz w:val="21"/>
          <w:szCs w:val="21"/>
          <w:highlight w:val="none"/>
        </w:rPr>
        <w:t>18.开标</w:t>
      </w:r>
      <w:bookmarkEnd w:id="137"/>
      <w:bookmarkEnd w:id="138"/>
      <w:bookmarkEnd w:id="139"/>
      <w:bookmarkEnd w:id="140"/>
      <w:bookmarkEnd w:id="141"/>
    </w:p>
    <w:bookmarkEnd w:id="142"/>
    <w:bookmarkEnd w:id="143"/>
    <w:p w14:paraId="1BBD56A5">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18.1采购代理机构按招标文件规定的时间和地点开标，供应商应委派授权代表准时参加开标活动，办理交纳保证金、签名报到和递交投标文件等事宜。</w:t>
      </w:r>
    </w:p>
    <w:p w14:paraId="3C0C966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18.2供应商必须在投标截止时间前办理完毕交纳保证金、签名报到、递交投标文件以及其他招标文件所规定的应在投标截止时间前完成的事项（如样品递交等）。</w:t>
      </w:r>
    </w:p>
    <w:p w14:paraId="04C97BB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18.3开标时，采购代理机构将邀请供应商或者其推选的代表检查投标文件的密封情况。经确认无误后，由代理机构工作人员当众拆封唱标，宣读供应商名称、投标价格、书面补充、修改和撤回投标的通知以及采购代理机构认为合适的其他内容，采购代理机构将作开标记录。供应商若有报价和优惠未被唱出，应在开标时及时声明或提请注意，否则采购代理机构对此不承担任何责任。</w:t>
      </w:r>
    </w:p>
    <w:p w14:paraId="36C5D01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18.4供应商授权代表对开标过程和开标记录有疑义，以及认为采购人、采购代理机构相关工作人员有需要回避的情形的，应当场提出询问或者回避申请。若未当场提出，则视为认可开标过程和开标记录。</w:t>
      </w:r>
    </w:p>
    <w:p w14:paraId="368FCFE0">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18.5供应商未参加开标的，视同认可开标结果。</w:t>
      </w:r>
    </w:p>
    <w:bookmarkEnd w:id="144"/>
    <w:p w14:paraId="21DC47D0">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45" w:name="_Toc18343"/>
      <w:bookmarkStart w:id="146" w:name="_Toc12812"/>
      <w:bookmarkStart w:id="147" w:name="_Toc513029231"/>
      <w:bookmarkStart w:id="148" w:name="_Toc29284"/>
      <w:bookmarkStart w:id="149" w:name="_Toc20823303"/>
      <w:bookmarkStart w:id="150" w:name="_Toc16938547"/>
      <w:r>
        <w:rPr>
          <w:rFonts w:hint="default" w:ascii="Times New Roman" w:hAnsi="Times New Roman" w:eastAsia="宋体" w:cs="Times New Roman"/>
          <w:b/>
          <w:bCs/>
          <w:color w:val="auto"/>
          <w:sz w:val="21"/>
          <w:szCs w:val="21"/>
          <w:highlight w:val="none"/>
        </w:rPr>
        <w:t>19.评标组织</w:t>
      </w:r>
      <w:bookmarkEnd w:id="145"/>
      <w:bookmarkEnd w:id="146"/>
    </w:p>
    <w:p w14:paraId="57E1A4D4">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19.1评标工作由采购代理机构负责组织，具体评标事务由依法组建的评标委员会负责，并独立履行下列职责：</w:t>
      </w:r>
    </w:p>
    <w:p w14:paraId="6ED2766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（1）审查、评价投标文件是否符合招标文件的商务、技术等实质性要求；</w:t>
      </w:r>
    </w:p>
    <w:p w14:paraId="3B8BF2E6">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（2）要求供应商对投标文件有关事项作出澄清或者说明；</w:t>
      </w:r>
    </w:p>
    <w:p w14:paraId="2989F92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（3）对投标文件进行比较和评价；</w:t>
      </w:r>
    </w:p>
    <w:p w14:paraId="787739C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（4）确定中标候选人名单，以及根据采购人委托直接确定中标供应商；</w:t>
      </w:r>
    </w:p>
    <w:p w14:paraId="43B0614A">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（5）向采购人、采购代理机构或者有关部门报告评标中发现的违法行为。</w:t>
      </w:r>
    </w:p>
    <w:p w14:paraId="6FA911BF">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19.2评标委员会由采购人代表和有关技术、经济等方面的专家组成，独立开展评审工作且评标委员会人员构成符合有关规定。</w:t>
      </w:r>
    </w:p>
    <w:bookmarkEnd w:id="147"/>
    <w:bookmarkEnd w:id="148"/>
    <w:bookmarkEnd w:id="149"/>
    <w:bookmarkEnd w:id="150"/>
    <w:p w14:paraId="3B84A4E6">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51" w:name="_Toc21772"/>
      <w:bookmarkStart w:id="152" w:name="_Toc862"/>
      <w:bookmarkStart w:id="153" w:name="_Toc26401"/>
      <w:bookmarkStart w:id="154" w:name="_Toc1956"/>
      <w:bookmarkStart w:id="155" w:name="_Toc16496"/>
      <w:r>
        <w:rPr>
          <w:rFonts w:hint="default" w:ascii="Times New Roman" w:hAnsi="Times New Roman" w:eastAsia="宋体" w:cs="Times New Roman"/>
          <w:b/>
          <w:bCs/>
          <w:color w:val="auto"/>
          <w:sz w:val="21"/>
          <w:szCs w:val="21"/>
          <w:highlight w:val="none"/>
        </w:rPr>
        <w:t>20.</w:t>
      </w:r>
      <w:bookmarkEnd w:id="151"/>
      <w:bookmarkEnd w:id="152"/>
      <w:r>
        <w:rPr>
          <w:rFonts w:hint="default" w:ascii="Times New Roman" w:hAnsi="Times New Roman" w:eastAsia="宋体" w:cs="Times New Roman"/>
          <w:b/>
          <w:bCs/>
          <w:color w:val="auto"/>
          <w:sz w:val="21"/>
          <w:szCs w:val="21"/>
          <w:highlight w:val="none"/>
        </w:rPr>
        <w:t>对投标文件的资格性审查和符合性审查</w:t>
      </w:r>
      <w:bookmarkEnd w:id="153"/>
      <w:bookmarkEnd w:id="154"/>
    </w:p>
    <w:p w14:paraId="6E43D9F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20.1投标文件初审分为资格性审查和符合性审查。</w:t>
      </w:r>
    </w:p>
    <w:p w14:paraId="60DCD368">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资格性审查：采购人或者采购代理机构依据法律法规和招标文件的规定，对投标文件中</w:t>
      </w:r>
      <w:r>
        <w:rPr>
          <w:rFonts w:hint="default" w:ascii="Times New Roman" w:hAnsi="Times New Roman" w:cs="Times New Roman"/>
          <w:b/>
          <w:color w:val="auto"/>
          <w:szCs w:val="21"/>
          <w:highlight w:val="none"/>
        </w:rPr>
        <w:t>资格证明文件、投标保证金（如有）</w:t>
      </w:r>
      <w:r>
        <w:rPr>
          <w:rFonts w:hint="default" w:ascii="Times New Roman" w:hAnsi="Times New Roman" w:cs="Times New Roman"/>
          <w:bCs/>
          <w:color w:val="auto"/>
          <w:szCs w:val="21"/>
          <w:highlight w:val="none"/>
        </w:rPr>
        <w:t>进行审查，以确定供应商是否具备投标资格。</w:t>
      </w:r>
    </w:p>
    <w:p w14:paraId="54A10A18">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符合性检查：依据招标文件的规定，从投标文件的有效性（签署情况等）、完整性（正本和副本数量、内容等）和对招标文件的响应程度（是否存在重大负偏离等）进行审查，以确定是否对招标文件的实质性要求作出响应。</w:t>
      </w:r>
    </w:p>
    <w:p w14:paraId="537076A9">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20.2所谓偏离是指投标文件的内容高于或低于招标文件的相关要求。所谓重大负偏离是指供应商所投标的范围、质量、数量和交货期限等明显不能满足招标文件的要求。重大负偏离的认定须经评标委员会三分之二以上同意。</w:t>
      </w:r>
    </w:p>
    <w:p w14:paraId="2AD16C2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20.3未实质性响应招标文件要求的将视为无效投标，</w:t>
      </w:r>
      <w:r>
        <w:rPr>
          <w:rFonts w:hint="default" w:ascii="Times New Roman" w:hAnsi="Times New Roman" w:cs="Times New Roman"/>
          <w:b/>
          <w:color w:val="auto"/>
          <w:szCs w:val="21"/>
          <w:highlight w:val="none"/>
        </w:rPr>
        <w:t>供应商不得通过修正或撤销不符合要求的偏离从而使其投标成为实质性响应</w:t>
      </w:r>
      <w:r>
        <w:rPr>
          <w:rFonts w:hint="default" w:ascii="Times New Roman" w:hAnsi="Times New Roman" w:cs="Times New Roman"/>
          <w:bCs/>
          <w:color w:val="auto"/>
          <w:szCs w:val="21"/>
          <w:highlight w:val="none"/>
        </w:rPr>
        <w:t>。如发现下列情况之一的，将视为无效投标：</w:t>
      </w:r>
    </w:p>
    <w:p w14:paraId="7F66755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（1）未按照招标文件规定要求密封、签署、盖章的；</w:t>
      </w:r>
    </w:p>
    <w:p w14:paraId="66C3370B">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（2）投标有效期不足的；</w:t>
      </w:r>
    </w:p>
    <w:p w14:paraId="744F6575">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（3）不同供应商的投标文件由同一单位或者个人编制；</w:t>
      </w:r>
    </w:p>
    <w:p w14:paraId="10AED905">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（4）不同供应商委托同一单位或者个人办理投标事宜；</w:t>
      </w:r>
    </w:p>
    <w:p w14:paraId="0C7CABDB">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（5）不同供应商的投标文件载明的项目管理成员或者联系人员为同一人；</w:t>
      </w:r>
    </w:p>
    <w:p w14:paraId="4BF134B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（6）不同供应商的投标文件异常一致或者投标报价呈规律性差异；</w:t>
      </w:r>
    </w:p>
    <w:p w14:paraId="2C94FD0A">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（7）不同供应商的投标文件相互混装；</w:t>
      </w:r>
    </w:p>
    <w:p w14:paraId="649731E1">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（8）不同供应商的投标保证金从同一单位或者个人的账户转出；</w:t>
      </w:r>
    </w:p>
    <w:p w14:paraId="3CA888E1">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（9）报价超过招标文件中规定的项目预算或者最高限价的；</w:t>
      </w:r>
    </w:p>
    <w:p w14:paraId="219DCEC9">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（10）投标文件含有采购人不能接受的附加条件的；</w:t>
      </w:r>
    </w:p>
    <w:p w14:paraId="73396DA4">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（11）不同供应商的负责人为同一人或者存在控股、管理关系的；</w:t>
      </w:r>
    </w:p>
    <w:p w14:paraId="233337C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（12）法律、法规和招标文件规定的其他无效情形。</w:t>
      </w:r>
    </w:p>
    <w:p w14:paraId="78576EC1">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20.4评标委员会在初审中，对明显的文字和算术错误的修正原则如下：</w:t>
      </w:r>
    </w:p>
    <w:p w14:paraId="2B5F71B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（1）《开标一览表》（报价表）内容与投标文件中相应内容不一致的，以《开标一览表》（报价表）为准；</w:t>
      </w:r>
    </w:p>
    <w:p w14:paraId="235BF30B">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（2）投标文件的大写金额与小写金额不一致的，以大写金额为准；</w:t>
      </w:r>
    </w:p>
    <w:p w14:paraId="2F1300D3">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（3）总价金额与单价金额不一致的，以单价金额计算结果为准；</w:t>
      </w:r>
    </w:p>
    <w:p w14:paraId="7AC4386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（4）单价金额小数点有明显错位的，以总价金额为准，并修改单价金额；</w:t>
      </w:r>
    </w:p>
    <w:p w14:paraId="42F9E84A">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（5）对不同文字文本投标文件的解释发生异议的，以中文文本为准；如果正本投标文件和副本投标文件之间有差异，则以正本投标文件为准。</w:t>
      </w:r>
    </w:p>
    <w:p w14:paraId="2D6112C9">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同时出现两种以上不一致的，按照前款规定的顺序修正。修正后的报价由法定代表人或其授权的代表签字确认后产生约束力，供应商不确认的，投标无效。</w:t>
      </w:r>
    </w:p>
    <w:p w14:paraId="36449186">
      <w:pPr>
        <w:spacing w:line="360" w:lineRule="auto"/>
        <w:ind w:firstLine="422" w:firstLineChars="200"/>
        <w:rPr>
          <w:rFonts w:hint="default" w:ascii="Times New Roman" w:hAnsi="Times New Roman" w:cs="Times New Roman"/>
          <w:b/>
          <w:color w:val="auto"/>
          <w:kern w:val="0"/>
          <w:szCs w:val="21"/>
          <w:highlight w:val="none"/>
        </w:rPr>
      </w:pPr>
      <w:r>
        <w:rPr>
          <w:rFonts w:hint="default" w:ascii="Times New Roman" w:hAnsi="Times New Roman" w:cs="Times New Roman"/>
          <w:b/>
          <w:color w:val="auto"/>
          <w:szCs w:val="21"/>
          <w:highlight w:val="none"/>
        </w:rPr>
        <w:t>20.5招标文件中标注“★”的内容为实质性要求，有一项不符合的，作无效投标处理；标注</w:t>
      </w:r>
      <w:r>
        <w:rPr>
          <w:rFonts w:hint="default" w:ascii="Times New Roman" w:hAnsi="Times New Roman" w:cs="Times New Roman"/>
          <w:b/>
          <w:bCs/>
          <w:color w:val="auto"/>
          <w:szCs w:val="21"/>
          <w:highlight w:val="none"/>
        </w:rPr>
        <w:t>“▲”</w:t>
      </w:r>
      <w:r>
        <w:rPr>
          <w:rFonts w:hint="default" w:ascii="Times New Roman" w:hAnsi="Times New Roman" w:cs="Times New Roman"/>
          <w:b/>
          <w:color w:val="auto"/>
          <w:szCs w:val="21"/>
          <w:highlight w:val="none"/>
        </w:rPr>
        <w:t>的为重要参数；标注“★”及</w:t>
      </w:r>
      <w:r>
        <w:rPr>
          <w:rFonts w:hint="default" w:ascii="Times New Roman" w:hAnsi="Times New Roman" w:cs="Times New Roman"/>
          <w:b/>
          <w:bCs/>
          <w:color w:val="auto"/>
          <w:szCs w:val="21"/>
          <w:highlight w:val="none"/>
        </w:rPr>
        <w:t>“▲”</w:t>
      </w:r>
      <w:r>
        <w:rPr>
          <w:rFonts w:hint="default" w:ascii="Times New Roman" w:hAnsi="Times New Roman" w:cs="Times New Roman"/>
          <w:b/>
          <w:color w:val="auto"/>
          <w:szCs w:val="21"/>
          <w:highlight w:val="none"/>
        </w:rPr>
        <w:t>的内容，供应商必须在投标文件内提供技术支持资料（具体以第三章评标标准要求为准）。</w:t>
      </w:r>
    </w:p>
    <w:p w14:paraId="05CCD833">
      <w:pPr>
        <w:shd w:val="clear" w:color="auto" w:fill="auto"/>
        <w:spacing w:line="440" w:lineRule="exact"/>
        <w:ind w:firstLine="420" w:firstLineChars="200"/>
        <w:rPr>
          <w:rFonts w:hint="default" w:ascii="Times New Roman" w:hAnsi="Times New Roman" w:eastAsia="宋体" w:cs="Times New Roman"/>
          <w:b w:val="0"/>
          <w:bCs/>
          <w:color w:val="auto"/>
          <w:szCs w:val="21"/>
          <w:highlight w:val="none"/>
        </w:rPr>
      </w:pPr>
      <w:r>
        <w:rPr>
          <w:rFonts w:hint="default" w:ascii="Times New Roman" w:hAnsi="Times New Roman" w:eastAsia="宋体" w:cs="Times New Roman"/>
          <w:b w:val="0"/>
          <w:bCs/>
          <w:color w:val="auto"/>
          <w:szCs w:val="21"/>
          <w:highlight w:val="none"/>
        </w:rPr>
        <w:t>20.6供应商递交的投标（响应）文件，所有内容均应真实有效；供应商所提供的产品或服务，必须满足国家相关强制性规定要求</w:t>
      </w:r>
      <w:r>
        <w:rPr>
          <w:rFonts w:hint="default" w:ascii="Times New Roman" w:hAnsi="Times New Roman" w:eastAsia="宋体" w:cs="Times New Roman"/>
          <w:b w:val="0"/>
          <w:bCs/>
          <w:color w:val="auto"/>
          <w:szCs w:val="21"/>
          <w:highlight w:val="none"/>
          <w:lang w:eastAsia="zh-CN"/>
        </w:rPr>
        <w:t>（</w:t>
      </w:r>
      <w:r>
        <w:rPr>
          <w:rFonts w:hint="default" w:ascii="Times New Roman" w:hAnsi="Times New Roman" w:eastAsia="宋体" w:cs="Times New Roman"/>
          <w:b w:val="0"/>
          <w:bCs/>
          <w:color w:val="auto"/>
          <w:szCs w:val="21"/>
          <w:highlight w:val="none"/>
        </w:rPr>
        <w:t>如 CCC 认证、医疗器械注册证</w:t>
      </w:r>
      <w:r>
        <w:rPr>
          <w:rFonts w:hint="default" w:ascii="Times New Roman" w:hAnsi="Times New Roman" w:eastAsia="宋体" w:cs="Times New Roman"/>
          <w:b w:val="0"/>
          <w:bCs/>
          <w:color w:val="auto"/>
          <w:szCs w:val="21"/>
          <w:highlight w:val="none"/>
          <w:lang w:eastAsia="zh-CN"/>
        </w:rPr>
        <w:t>、</w:t>
      </w:r>
      <w:r>
        <w:rPr>
          <w:rFonts w:hint="default" w:ascii="Times New Roman" w:hAnsi="Times New Roman" w:eastAsia="宋体" w:cs="Times New Roman"/>
          <w:b w:val="0"/>
          <w:bCs/>
          <w:color w:val="auto"/>
          <w:szCs w:val="21"/>
          <w:highlight w:val="none"/>
        </w:rPr>
        <w:t>电器电子产品有害物质限制使用标识等</w:t>
      </w:r>
      <w:r>
        <w:rPr>
          <w:rFonts w:hint="default" w:ascii="Times New Roman" w:hAnsi="Times New Roman" w:eastAsia="宋体" w:cs="Times New Roman"/>
          <w:b w:val="0"/>
          <w:bCs/>
          <w:color w:val="auto"/>
          <w:szCs w:val="21"/>
          <w:highlight w:val="none"/>
          <w:lang w:eastAsia="zh-CN"/>
        </w:rPr>
        <w:t>）</w:t>
      </w:r>
      <w:r>
        <w:rPr>
          <w:rFonts w:hint="default" w:ascii="Times New Roman" w:hAnsi="Times New Roman" w:eastAsia="宋体" w:cs="Times New Roman"/>
          <w:b w:val="0"/>
          <w:bCs/>
          <w:color w:val="auto"/>
          <w:szCs w:val="21"/>
          <w:highlight w:val="none"/>
        </w:rPr>
        <w:t>， 由于供应商违反国家相关强制性规定给采购人造成损失，一切责任和后果均由供应商承担。</w:t>
      </w:r>
    </w:p>
    <w:p w14:paraId="157E4436">
      <w:pPr>
        <w:spacing w:line="440" w:lineRule="exact"/>
        <w:ind w:firstLine="422" w:firstLineChars="200"/>
        <w:rPr>
          <w:rFonts w:hint="eastAsia"/>
          <w:b/>
          <w:color w:val="auto"/>
          <w:szCs w:val="21"/>
          <w:highlight w:val="none"/>
        </w:rPr>
      </w:pPr>
      <w:r>
        <w:rPr>
          <w:rFonts w:hint="eastAsia" w:ascii="Times New Roman" w:eastAsia="宋体"/>
          <w:b/>
          <w:bCs/>
          <w:color w:val="auto"/>
          <w:sz w:val="21"/>
          <w:szCs w:val="21"/>
          <w:highlight w:val="none"/>
        </w:rPr>
        <w:t>20.7</w:t>
      </w:r>
      <w:r>
        <w:rPr>
          <w:rFonts w:hint="eastAsia"/>
          <w:b/>
          <w:color w:val="auto"/>
          <w:szCs w:val="21"/>
          <w:highlight w:val="none"/>
        </w:rPr>
        <w:t>在评审过程中，若出现下列情形之一的，评审委员会将启动异常低价响应审查程序，要求相关供应商在规定时间内对响应价格作出解释，提供项目具体成本测算等与报价合理性相关的书面说明及必要的证明材料，包括但不限于原材料成本、人工成本、制造费用等。如供应商不能提供书面说明、证明材料，或者提供的书面说明、证明材料不能证明其报价合理性，未能获得评审委员会认可的，其响应文件将作响应无效处理：</w:t>
      </w:r>
    </w:p>
    <w:p w14:paraId="5D288124">
      <w:pPr>
        <w:spacing w:line="440" w:lineRule="exact"/>
        <w:ind w:firstLine="422" w:firstLineChars="200"/>
        <w:rPr>
          <w:rFonts w:hint="eastAsia"/>
          <w:b/>
          <w:color w:val="auto"/>
          <w:szCs w:val="21"/>
          <w:highlight w:val="none"/>
        </w:rPr>
      </w:pPr>
      <w:r>
        <w:rPr>
          <w:rFonts w:hint="eastAsia"/>
          <w:b/>
          <w:color w:val="auto"/>
          <w:szCs w:val="21"/>
          <w:highlight w:val="none"/>
        </w:rPr>
        <w:t>（1）响应报价低于全部通过符合性审查供应商响应报价平均值50%的，即响应报价&lt;全部通过符合性审查供应商响应报价平均值×50%；</w:t>
      </w:r>
    </w:p>
    <w:p w14:paraId="63A65424">
      <w:pPr>
        <w:spacing w:line="440" w:lineRule="exact"/>
        <w:ind w:firstLine="422" w:firstLineChars="200"/>
        <w:rPr>
          <w:rFonts w:hint="eastAsia"/>
          <w:b/>
          <w:color w:val="auto"/>
          <w:szCs w:val="21"/>
          <w:highlight w:val="none"/>
        </w:rPr>
      </w:pPr>
      <w:r>
        <w:rPr>
          <w:rFonts w:hint="eastAsia"/>
          <w:b/>
          <w:color w:val="auto"/>
          <w:szCs w:val="21"/>
          <w:highlight w:val="none"/>
        </w:rPr>
        <w:t>（2）响应报价低于通过符合性审查的次低报价供应商响应报价50%的，即响应报价&lt;通过符合性审查的次低报价供应商响应报价×50%；</w:t>
      </w:r>
    </w:p>
    <w:p w14:paraId="351F9CCC">
      <w:pPr>
        <w:spacing w:line="440" w:lineRule="exact"/>
        <w:ind w:firstLine="422" w:firstLineChars="200"/>
        <w:rPr>
          <w:rFonts w:hint="eastAsia"/>
          <w:b/>
          <w:color w:val="auto"/>
          <w:szCs w:val="21"/>
          <w:highlight w:val="none"/>
        </w:rPr>
      </w:pPr>
      <w:r>
        <w:rPr>
          <w:rFonts w:hint="eastAsia"/>
          <w:b/>
          <w:color w:val="auto"/>
          <w:szCs w:val="21"/>
          <w:highlight w:val="none"/>
        </w:rPr>
        <w:t>（3）响应报价低于采购项目最高限价45%的，即响应报价&lt;采购项目最高限价×45%（属于该情形，且供应商已随响应文件一并提交相关书面说明及必要的证明材料的，在评审现场可不再重复提交）；</w:t>
      </w:r>
    </w:p>
    <w:p w14:paraId="57374672">
      <w:pPr>
        <w:spacing w:line="360" w:lineRule="auto"/>
        <w:ind w:firstLine="422" w:firstLineChars="200"/>
        <w:rPr>
          <w:rFonts w:hint="default" w:ascii="Times New Roman" w:hAnsi="Times New Roman" w:cs="Times New Roman"/>
          <w:b/>
          <w:color w:val="auto"/>
          <w:szCs w:val="21"/>
          <w:highlight w:val="none"/>
        </w:rPr>
      </w:pPr>
      <w:r>
        <w:rPr>
          <w:rFonts w:hint="eastAsia"/>
          <w:b/>
          <w:color w:val="auto"/>
          <w:szCs w:val="21"/>
          <w:highlight w:val="none"/>
        </w:rPr>
        <w:t>（4）评审委员会基于专业判断，认为供应商报价过低，有可能影响产品质量或者不能诚信履约的其他情形</w:t>
      </w:r>
      <w:r>
        <w:rPr>
          <w:b/>
          <w:color w:val="auto"/>
          <w:szCs w:val="21"/>
          <w:highlight w:val="none"/>
        </w:rPr>
        <w:t>。</w:t>
      </w:r>
    </w:p>
    <w:bookmarkEnd w:id="155"/>
    <w:p w14:paraId="33FDFC7F">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56" w:name="_Toc25188"/>
      <w:bookmarkStart w:id="157" w:name="_Toc11391"/>
      <w:bookmarkStart w:id="158" w:name="_Toc13685"/>
      <w:r>
        <w:rPr>
          <w:rFonts w:hint="default" w:ascii="Times New Roman" w:hAnsi="Times New Roman" w:eastAsia="宋体" w:cs="Times New Roman"/>
          <w:b/>
          <w:bCs/>
          <w:color w:val="auto"/>
          <w:sz w:val="21"/>
          <w:szCs w:val="21"/>
          <w:highlight w:val="none"/>
        </w:rPr>
        <w:t>21.投标文件的澄清</w:t>
      </w:r>
      <w:bookmarkEnd w:id="156"/>
      <w:bookmarkEnd w:id="157"/>
    </w:p>
    <w:p w14:paraId="5A037D00">
      <w:pPr>
        <w:spacing w:line="360" w:lineRule="auto"/>
        <w:ind w:firstLine="42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21.1 在评标期间，评标委员会有权要求供应商对投标文件中含义不明确、对同类问题表述不一致或者有明显文字和计算错误等内容作必要的澄清、说明或者补正。该要求应当采用书面形式，并由评标委员会成员签字。如果供应商出现同类问题，评标委员会应当给予供应商均等的澄清机会。</w:t>
      </w:r>
    </w:p>
    <w:p w14:paraId="2FF12180">
      <w:pPr>
        <w:spacing w:line="360" w:lineRule="auto"/>
        <w:ind w:firstLine="42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21.2 评标委员会应当给供应商以足够合理的时间作出澄清、说明或者补正，供应商必须按照评标委员会通知的内容和时间做出书面答复，该答复经法定代表人或其授权代表的签字，或者加盖公章认可，将作为投标文件内容的一部分。</w:t>
      </w:r>
    </w:p>
    <w:p w14:paraId="63DF8444">
      <w:pPr>
        <w:spacing w:line="360" w:lineRule="auto"/>
        <w:ind w:firstLine="42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21.3供应商澄清、说明或者补正不得超出投标文件的范围或者改变投标文件的实质性内容。供应商拒不按照要求对投标文件进行澄清、说明或者补正的，视其放弃该项权利。</w:t>
      </w:r>
    </w:p>
    <w:p w14:paraId="7A88D132">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59" w:name="_Toc438"/>
      <w:bookmarkStart w:id="160" w:name="_Toc16438"/>
      <w:r>
        <w:rPr>
          <w:rFonts w:hint="default" w:ascii="Times New Roman" w:hAnsi="Times New Roman" w:eastAsia="宋体" w:cs="Times New Roman"/>
          <w:b/>
          <w:bCs/>
          <w:color w:val="auto"/>
          <w:sz w:val="21"/>
          <w:szCs w:val="21"/>
          <w:highlight w:val="none"/>
        </w:rPr>
        <w:t>22.对投标文件的详细评审</w:t>
      </w:r>
      <w:bookmarkEnd w:id="159"/>
      <w:bookmarkEnd w:id="160"/>
    </w:p>
    <w:p w14:paraId="7B9C42E5">
      <w:pPr>
        <w:spacing w:line="360" w:lineRule="auto"/>
        <w:ind w:firstLine="42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22.1评标委员会应当按照招标文件中规定的评标方法和标准，对符合性审查合格的投标文件进行商务和技术评估，综合比较与评价。</w:t>
      </w:r>
    </w:p>
    <w:p w14:paraId="1675135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22.2</w:t>
      </w:r>
      <w:r>
        <w:rPr>
          <w:rFonts w:hint="default" w:ascii="Times New Roman" w:hAnsi="Times New Roman" w:cs="Times New Roman"/>
          <w:b/>
          <w:color w:val="auto"/>
          <w:szCs w:val="21"/>
          <w:highlight w:val="none"/>
        </w:rPr>
        <w:t>评标委员会决定投标的响应性只根据投标本身的内容，而不寻求外部的证据</w:t>
      </w:r>
      <w:r>
        <w:rPr>
          <w:rFonts w:hint="default" w:ascii="Times New Roman" w:hAnsi="Times New Roman" w:cs="Times New Roman"/>
          <w:bCs/>
          <w:color w:val="auto"/>
          <w:szCs w:val="21"/>
          <w:highlight w:val="none"/>
        </w:rPr>
        <w:t>。</w:t>
      </w:r>
    </w:p>
    <w:p w14:paraId="167C4B54">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22.3采用最低评标价法的采购项目，提供相同品牌产品的不同投标人参加同一合同项下投标的，以其中通过资格审查、符合性审查且报价最低的参加评标；报价相同的，由评标委员会按照招标文件规定的方式（招标文件未规定的通过随机抽取的方式）确定一个参加评标的投标人，其他投标无效。</w:t>
      </w:r>
    </w:p>
    <w:p w14:paraId="5058897B">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使用综合评分法的采购项目，提供相同品牌产品且通过资格审查、符合性审查的不同投标人参加同一合同项下投标的，按一家投标人计算，评审后得分最高的同品牌投标人获得中标供应商推荐资格；评审得分相同的，由评标委员会根据招标文件规定的方式（招标文件未规定的采取随机抽取的方式）确定一个中标候选人，其他同品牌投标人不作为中标候选人。</w:t>
      </w:r>
    </w:p>
    <w:p w14:paraId="32DBFDDF">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非单一产品采购项目，招标文件中将载明其中的核心产品。多家投标人提供的核心产品品牌相同的，按前两款规定处理。</w:t>
      </w:r>
    </w:p>
    <w:p w14:paraId="3CDE0C1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22.4除评标方法和评标标准另有规定外，评标采用综合评分法。即投标文件满足招标文件全部实质性要求，且按照评审因素的量化指标评审得分最高的供应商为中标候选供应商的评标方法。评审因素包括投标报价、技术或者服务水平、履约能力、售后服务等</w:t>
      </w:r>
    </w:p>
    <w:p w14:paraId="5E263836">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22.5评标标准详见文件第三章。</w:t>
      </w:r>
    </w:p>
    <w:bookmarkEnd w:id="158"/>
    <w:p w14:paraId="0AFEEC04">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61" w:name="_Toc28875"/>
      <w:bookmarkStart w:id="162" w:name="_Toc12358"/>
      <w:bookmarkStart w:id="163" w:name="_Toc21985"/>
      <w:bookmarkStart w:id="164" w:name="_Toc25774"/>
      <w:bookmarkStart w:id="165" w:name="_Toc26838"/>
      <w:r>
        <w:rPr>
          <w:rFonts w:hint="default" w:ascii="Times New Roman" w:hAnsi="Times New Roman" w:eastAsia="宋体" w:cs="Times New Roman"/>
          <w:b/>
          <w:bCs/>
          <w:color w:val="auto"/>
          <w:sz w:val="21"/>
          <w:szCs w:val="21"/>
          <w:highlight w:val="none"/>
        </w:rPr>
        <w:t>23.评标过程的保密与公正</w:t>
      </w:r>
      <w:bookmarkEnd w:id="161"/>
      <w:bookmarkEnd w:id="162"/>
      <w:bookmarkEnd w:id="163"/>
      <w:bookmarkEnd w:id="164"/>
    </w:p>
    <w:bookmarkEnd w:id="165"/>
    <w:p w14:paraId="64AB8A77">
      <w:pPr>
        <w:spacing w:line="360" w:lineRule="auto"/>
        <w:ind w:firstLine="420" w:firstLineChars="200"/>
        <w:rPr>
          <w:rFonts w:hint="default" w:ascii="Times New Roman" w:hAnsi="Times New Roman" w:cs="Times New Roman"/>
          <w:bCs/>
          <w:color w:val="auto"/>
          <w:szCs w:val="21"/>
          <w:highlight w:val="none"/>
        </w:rPr>
      </w:pPr>
      <w:bookmarkStart w:id="166" w:name="_Toc26041"/>
      <w:bookmarkStart w:id="167" w:name="_Toc30824"/>
      <w:bookmarkStart w:id="168" w:name="_Toc18327"/>
      <w:r>
        <w:rPr>
          <w:rFonts w:hint="default" w:ascii="Times New Roman" w:hAnsi="Times New Roman" w:cs="Times New Roman"/>
          <w:bCs/>
          <w:color w:val="auto"/>
          <w:szCs w:val="21"/>
          <w:highlight w:val="none"/>
        </w:rPr>
        <w:t>23.1公开开标后，直至向中标的供应商授予合同时止，凡是与审查、澄清、评价和比较投标的有关资料以及授标建议等，采购人、评委、采购代理机构均不得向供应商或与评标无关的其他人员透露。</w:t>
      </w:r>
    </w:p>
    <w:p w14:paraId="452014F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23.2在评标过程中，供应商不得以任何行为影响评标过程，否则其投标文件将被作为无效投标文件。</w:t>
      </w:r>
    </w:p>
    <w:p w14:paraId="2A0C24A4">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23.3 采购代理机构和评标委员会不得向落标的供应商解释未中标原因，也不公布评标过程中的相关细节。</w:t>
      </w:r>
    </w:p>
    <w:p w14:paraId="57B2B525">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23.4 在评标期间，采购代理机构将指定联络员与供应商进行联络。</w:t>
      </w:r>
    </w:p>
    <w:p w14:paraId="561827A8">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69" w:name="_Toc21168"/>
      <w:bookmarkStart w:id="170" w:name="_Toc25891"/>
      <w:r>
        <w:rPr>
          <w:rFonts w:hint="default" w:ascii="Times New Roman" w:hAnsi="Times New Roman" w:eastAsia="宋体" w:cs="Times New Roman"/>
          <w:b/>
          <w:bCs/>
          <w:color w:val="auto"/>
          <w:sz w:val="21"/>
          <w:szCs w:val="21"/>
          <w:highlight w:val="none"/>
        </w:rPr>
        <w:t>24.无效投标条款和废标条款</w:t>
      </w:r>
      <w:bookmarkEnd w:id="166"/>
      <w:bookmarkEnd w:id="167"/>
      <w:bookmarkEnd w:id="169"/>
      <w:bookmarkEnd w:id="170"/>
    </w:p>
    <w:p w14:paraId="28E13DC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24.1无效投标条款</w:t>
      </w:r>
    </w:p>
    <w:p w14:paraId="43F8AAC1">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（1）未按要求交纳投标保证金的；</w:t>
      </w:r>
    </w:p>
    <w:p w14:paraId="3F6F875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（2）未按照招标文件规定要求密封、签署、盖章的；</w:t>
      </w:r>
    </w:p>
    <w:p w14:paraId="5F20F5D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（3）供应商在报价时采用选择性报价；</w:t>
      </w:r>
    </w:p>
    <w:p w14:paraId="5E40159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（4）供应商不具备招标文件中规定资格要求的；</w:t>
      </w:r>
    </w:p>
    <w:p w14:paraId="456002C0">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（5）供应商的报价超过了采购预算的；</w:t>
      </w:r>
    </w:p>
    <w:p w14:paraId="1245AB6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（6）未通过符合性检查的；</w:t>
      </w:r>
    </w:p>
    <w:p w14:paraId="5E92816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（7）不符合招标文件中规定的其他实质性要求和条件的；</w:t>
      </w:r>
    </w:p>
    <w:p w14:paraId="2C5AB96E">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（8）其他法律、法规及本招标文件规定的属无效投标的情形。</w:t>
      </w:r>
    </w:p>
    <w:p w14:paraId="34E7461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24.2废标条款：</w:t>
      </w:r>
    </w:p>
    <w:p w14:paraId="1326A211">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（1）符合专业条件的供应商或者对招标文件作实质响应的供应商不足三家的；</w:t>
      </w:r>
    </w:p>
    <w:p w14:paraId="6F379929">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（2）出现影响采购公正的违法、违规行为的；</w:t>
      </w:r>
    </w:p>
    <w:p w14:paraId="221DFD45">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（3）因重大变故，采购任务取消的；</w:t>
      </w:r>
    </w:p>
    <w:p w14:paraId="4255635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（4）评标委员会认定投标文件存在歧义、重大缺陷导致评审工作无法进行的，或者招标文件内容违反国家有关强制性规定的。</w:t>
      </w:r>
    </w:p>
    <w:p w14:paraId="6CEB4878">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71" w:name="_Toc323"/>
      <w:bookmarkStart w:id="172" w:name="_Toc13337"/>
      <w:r>
        <w:rPr>
          <w:rFonts w:hint="default" w:ascii="Times New Roman" w:hAnsi="Times New Roman" w:eastAsia="宋体" w:cs="Times New Roman"/>
          <w:b/>
          <w:bCs/>
          <w:color w:val="auto"/>
          <w:sz w:val="21"/>
          <w:szCs w:val="21"/>
          <w:highlight w:val="none"/>
        </w:rPr>
        <w:t>25.投标截止时间结束参加投标的供应商不足三家的处理</w:t>
      </w:r>
      <w:bookmarkEnd w:id="171"/>
      <w:bookmarkEnd w:id="172"/>
    </w:p>
    <w:p w14:paraId="0F388B7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25.1如出现投标截止时间结束后参加投标的供应商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2B5594EA">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25.2在评标期间，出现符合专业条件的供应商或者对招标文件做出实质响应的供应商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EF38BA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25.3供应商若不接受采购方式的改变，应在规定的时间内书面向评标委员会说明，未在规定时间内提交书面说明的视为接受采购方式的改变。</w:t>
      </w:r>
    </w:p>
    <w:p w14:paraId="1F6A917E">
      <w:pPr>
        <w:widowControl/>
        <w:shd w:val="clear" w:color="auto" w:fill="FFFFFF"/>
        <w:spacing w:line="360" w:lineRule="auto"/>
        <w:outlineLvl w:val="1"/>
        <w:rPr>
          <w:rFonts w:hint="default" w:ascii="Times New Roman" w:hAnsi="Times New Roman" w:cs="Times New Roman"/>
          <w:b/>
          <w:bCs/>
          <w:color w:val="auto"/>
          <w:kern w:val="0"/>
          <w:szCs w:val="21"/>
          <w:highlight w:val="none"/>
        </w:rPr>
      </w:pPr>
      <w:bookmarkStart w:id="173" w:name="_Toc5044"/>
      <w:bookmarkStart w:id="174" w:name="_Toc18531"/>
      <w:r>
        <w:rPr>
          <w:rFonts w:hint="default" w:ascii="Times New Roman" w:hAnsi="Times New Roman" w:cs="Times New Roman"/>
          <w:b/>
          <w:bCs/>
          <w:color w:val="auto"/>
          <w:kern w:val="0"/>
          <w:szCs w:val="21"/>
          <w:highlight w:val="none"/>
        </w:rPr>
        <w:t>六、授标</w:t>
      </w:r>
      <w:bookmarkEnd w:id="168"/>
      <w:bookmarkEnd w:id="173"/>
      <w:bookmarkEnd w:id="174"/>
    </w:p>
    <w:p w14:paraId="05C5982B">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75" w:name="_Toc28693"/>
      <w:bookmarkStart w:id="176" w:name="_Toc6735"/>
      <w:bookmarkStart w:id="177" w:name="_Toc29041"/>
      <w:r>
        <w:rPr>
          <w:rFonts w:hint="default" w:ascii="Times New Roman" w:hAnsi="Times New Roman" w:eastAsia="宋体" w:cs="Times New Roman"/>
          <w:b/>
          <w:bCs/>
          <w:color w:val="auto"/>
          <w:sz w:val="21"/>
          <w:szCs w:val="21"/>
          <w:highlight w:val="none"/>
        </w:rPr>
        <w:t>26.确定中标</w:t>
      </w:r>
      <w:bookmarkEnd w:id="175"/>
      <w:r>
        <w:rPr>
          <w:rFonts w:hint="default" w:ascii="Times New Roman" w:hAnsi="Times New Roman" w:eastAsia="宋体" w:cs="Times New Roman"/>
          <w:b/>
          <w:bCs/>
          <w:color w:val="auto"/>
          <w:sz w:val="21"/>
          <w:szCs w:val="21"/>
          <w:highlight w:val="none"/>
        </w:rPr>
        <w:t>供应商</w:t>
      </w:r>
      <w:bookmarkEnd w:id="176"/>
      <w:bookmarkEnd w:id="177"/>
    </w:p>
    <w:p w14:paraId="768BE774">
      <w:pPr>
        <w:spacing w:line="360" w:lineRule="auto"/>
        <w:ind w:firstLine="420" w:firstLineChars="200"/>
        <w:rPr>
          <w:rFonts w:hint="default" w:ascii="Times New Roman" w:hAnsi="Times New Roman" w:cs="Times New Roman"/>
          <w:color w:val="auto"/>
          <w:szCs w:val="21"/>
          <w:highlight w:val="none"/>
        </w:rPr>
      </w:pPr>
      <w:bookmarkStart w:id="178" w:name="_Toc7377"/>
      <w:r>
        <w:rPr>
          <w:rFonts w:hint="default" w:ascii="Times New Roman" w:hAnsi="Times New Roman" w:cs="Times New Roman"/>
          <w:color w:val="auto"/>
          <w:kern w:val="0"/>
          <w:szCs w:val="21"/>
          <w:highlight w:val="none"/>
        </w:rPr>
        <w:t>26.1评标委员会根据招标文件规定的评分办法与评分标准的各项因素综合评价每份投标文件，综合比较与评价后按照得分高低顺序对供应商进行排列。得分相同的，按投标报价由低到高顺序排列。得分且投标报价相同的，按技术指标优劣顺序排列。评标委员会根据最终排名向采购人推荐中标候选供应商。最低投标价等任何单项因素的最优不是中标的必要条件。</w:t>
      </w:r>
    </w:p>
    <w:p w14:paraId="7B8DC5FD">
      <w:pPr>
        <w:widowControl/>
        <w:shd w:val="clear" w:color="auto" w:fill="FFFFFF"/>
        <w:spacing w:line="360" w:lineRule="auto"/>
        <w:ind w:firstLine="42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26.2 采购人应根据评标委员会推荐的中标候选供应商确定中标供应商。</w:t>
      </w:r>
    </w:p>
    <w:p w14:paraId="02C7F70E">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26.3评标委员会根据全体评标成员签字的原始评标记录和评标结果编写评标报告。</w:t>
      </w:r>
    </w:p>
    <w:p w14:paraId="0159BE2B">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26.4评审结束后，采购代理机构应当自评审结束之日起2个工作日内将评审报告送交采购人。采购人应当自收到评审报告之日起5个工作日内在评审报告推荐的中标或者成交候选供应商中按顺序确定中标或者成交供应商。采购代理机构应当自中标、成交供应商确定之日起2个工作日内，发出中标、成交通知书，并在省级以上人民政府财政部门指定的媒体上公告中标、成交结果，招标文件、竞争性谈判文件、询价通知书随中标、成交结果同时公告。</w:t>
      </w:r>
    </w:p>
    <w:p w14:paraId="0871692B">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26.5 中标供应商因不可抗力或者自身原因不能履行采购合同的，采购人可以与排位在中标供应商之后第一位的中标候选供应商签订采购合同，以此类推；采购人也可以重新开展采购活动。</w:t>
      </w:r>
    </w:p>
    <w:p w14:paraId="5548CFDC">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26.6 若评标委员会发现供应商的投标文件中有弄虚作假行为，则该供应商将失去中标资格。</w:t>
      </w:r>
    </w:p>
    <w:p w14:paraId="491D9E41">
      <w:pPr>
        <w:spacing w:line="360" w:lineRule="auto"/>
        <w:ind w:firstLine="420" w:firstLineChars="20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26.7 所有投标文件都将作为档案保存，不论中标与否，代理机构均不退回。</w:t>
      </w:r>
    </w:p>
    <w:bookmarkEnd w:id="178"/>
    <w:p w14:paraId="54760E58">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79" w:name="_Toc17252"/>
      <w:bookmarkStart w:id="180" w:name="_Toc32182"/>
      <w:bookmarkStart w:id="181" w:name="_Toc19713"/>
      <w:bookmarkStart w:id="182" w:name="_Toc21169"/>
      <w:bookmarkStart w:id="183" w:name="_Toc18480"/>
      <w:bookmarkStart w:id="184" w:name="_Toc4684"/>
      <w:r>
        <w:rPr>
          <w:rFonts w:hint="default" w:ascii="Times New Roman" w:hAnsi="Times New Roman" w:eastAsia="宋体" w:cs="Times New Roman"/>
          <w:b/>
          <w:bCs/>
          <w:color w:val="auto"/>
          <w:sz w:val="21"/>
          <w:szCs w:val="21"/>
          <w:highlight w:val="none"/>
        </w:rPr>
        <w:t>27.中标的通知</w:t>
      </w:r>
      <w:bookmarkEnd w:id="179"/>
      <w:bookmarkEnd w:id="180"/>
      <w:bookmarkEnd w:id="181"/>
      <w:bookmarkEnd w:id="182"/>
      <w:bookmarkEnd w:id="183"/>
    </w:p>
    <w:p w14:paraId="7EBFF2BC">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27.1定标后，采购代理机构将定标结果通知所有的供应商，并向中标供应商发出中标通知书。</w:t>
      </w:r>
    </w:p>
    <w:p w14:paraId="74D97C6E">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27.2中标供应商在收到中标通知书后，应郑重保证履行中标供应商应履行的，含招标代理服务费在内的一切义务和责任。</w:t>
      </w:r>
    </w:p>
    <w:p w14:paraId="322254F1">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27.3中标通知书是合同的组成部分。</w:t>
      </w:r>
    </w:p>
    <w:bookmarkEnd w:id="184"/>
    <w:p w14:paraId="0FC9FF59">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85" w:name="_Toc15484"/>
      <w:bookmarkStart w:id="186" w:name="_Toc28003"/>
      <w:bookmarkStart w:id="187" w:name="_Toc2049"/>
      <w:bookmarkStart w:id="188" w:name="_Toc811"/>
      <w:bookmarkStart w:id="189" w:name="_Toc24788"/>
      <w:r>
        <w:rPr>
          <w:rFonts w:hint="default" w:ascii="Times New Roman" w:hAnsi="Times New Roman" w:eastAsia="宋体" w:cs="Times New Roman"/>
          <w:b/>
          <w:bCs/>
          <w:color w:val="auto"/>
          <w:sz w:val="21"/>
          <w:szCs w:val="21"/>
          <w:highlight w:val="none"/>
        </w:rPr>
        <w:t>28.签订合同</w:t>
      </w:r>
      <w:bookmarkEnd w:id="185"/>
      <w:bookmarkEnd w:id="186"/>
      <w:bookmarkEnd w:id="187"/>
      <w:bookmarkEnd w:id="188"/>
    </w:p>
    <w:p w14:paraId="1ECDBBEA">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28.1中标供应商应当自中标通知书发出之日起三十日内，按照招标文件和投标文件的约定与采购人签订采购合同，所签订的合同不得对招标文件和投标文件作实质性修改。</w:t>
      </w:r>
    </w:p>
    <w:p w14:paraId="43CCD44A">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28.2招标文件、中标供应商的投标文件及评标过程中有关澄清、说明或者补正文件均应作为合同附件。</w:t>
      </w:r>
    </w:p>
    <w:p w14:paraId="78B2235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28.3若中标供应商未能按规定签约，中标将被撤销及投标保证金被没收，在这种情况下采购人可以另选中标供应商或重新招标。</w:t>
      </w:r>
    </w:p>
    <w:p w14:paraId="5DD8185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28.4 采购合同履行中，采购人需追加与合同标的相同的货物的，在不改变合同其他条款的前提下，可以与供应商协商签订补充合同，但所有补充合同的采购金额不得超过原合同采购金额的百分之十。</w:t>
      </w:r>
    </w:p>
    <w:bookmarkEnd w:id="189"/>
    <w:p w14:paraId="7E159AA7">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90" w:name="_Toc22298"/>
      <w:bookmarkStart w:id="191" w:name="_Toc11230"/>
      <w:bookmarkStart w:id="192" w:name="_Toc15509"/>
      <w:bookmarkStart w:id="193" w:name="_Toc13765"/>
      <w:bookmarkStart w:id="194" w:name="_Toc20112"/>
      <w:r>
        <w:rPr>
          <w:rFonts w:hint="default" w:ascii="Times New Roman" w:hAnsi="Times New Roman" w:eastAsia="宋体" w:cs="Times New Roman"/>
          <w:b/>
          <w:bCs/>
          <w:color w:val="auto"/>
          <w:sz w:val="21"/>
          <w:szCs w:val="21"/>
          <w:highlight w:val="none"/>
        </w:rPr>
        <w:t>29.</w:t>
      </w:r>
      <w:bookmarkEnd w:id="190"/>
      <w:r>
        <w:rPr>
          <w:rFonts w:hint="default" w:ascii="Times New Roman" w:hAnsi="Times New Roman" w:eastAsia="宋体" w:cs="Times New Roman"/>
          <w:b/>
          <w:bCs/>
          <w:color w:val="auto"/>
          <w:sz w:val="21"/>
          <w:szCs w:val="21"/>
          <w:highlight w:val="none"/>
        </w:rPr>
        <w:t>招标代理服务费</w:t>
      </w:r>
      <w:bookmarkEnd w:id="191"/>
      <w:bookmarkEnd w:id="192"/>
      <w:bookmarkEnd w:id="193"/>
    </w:p>
    <w:p w14:paraId="34BDB448">
      <w:pPr>
        <w:widowControl/>
        <w:shd w:val="clear" w:color="auto" w:fill="FFFFFF"/>
        <w:spacing w:line="360" w:lineRule="auto"/>
        <w:ind w:firstLine="420"/>
        <w:rPr>
          <w:rFonts w:hint="default" w:ascii="Times New Roman" w:hAnsi="Times New Roman" w:cs="Times New Roman"/>
          <w:bCs/>
          <w:color w:val="auto"/>
          <w:szCs w:val="21"/>
          <w:highlight w:val="none"/>
        </w:rPr>
      </w:pPr>
      <w:bookmarkStart w:id="195" w:name="_Toc30326"/>
      <w:r>
        <w:rPr>
          <w:rFonts w:hint="default" w:ascii="Times New Roman" w:hAnsi="Times New Roman" w:cs="Times New Roman"/>
          <w:bCs/>
          <w:color w:val="auto"/>
          <w:szCs w:val="21"/>
          <w:highlight w:val="none"/>
        </w:rPr>
        <w:t>详见投标人须知前附表。</w:t>
      </w:r>
    </w:p>
    <w:p w14:paraId="16BA0343">
      <w:pPr>
        <w:widowControl/>
        <w:shd w:val="clear" w:color="auto" w:fill="FFFFFF"/>
        <w:spacing w:line="360" w:lineRule="auto"/>
        <w:outlineLvl w:val="1"/>
        <w:rPr>
          <w:rFonts w:hint="default" w:ascii="Times New Roman" w:hAnsi="Times New Roman" w:cs="Times New Roman"/>
          <w:b/>
          <w:bCs/>
          <w:color w:val="auto"/>
          <w:kern w:val="0"/>
          <w:szCs w:val="21"/>
          <w:highlight w:val="none"/>
        </w:rPr>
      </w:pPr>
      <w:bookmarkStart w:id="196" w:name="_Toc20418"/>
      <w:r>
        <w:rPr>
          <w:rFonts w:hint="default" w:ascii="Times New Roman" w:hAnsi="Times New Roman" w:cs="Times New Roman"/>
          <w:b/>
          <w:bCs/>
          <w:color w:val="auto"/>
          <w:kern w:val="0"/>
          <w:szCs w:val="21"/>
          <w:highlight w:val="none"/>
        </w:rPr>
        <w:t>七、质疑</w:t>
      </w:r>
      <w:bookmarkEnd w:id="194"/>
      <w:bookmarkEnd w:id="195"/>
      <w:bookmarkEnd w:id="196"/>
    </w:p>
    <w:p w14:paraId="6BA5943A">
      <w:pPr>
        <w:pStyle w:val="5"/>
        <w:spacing w:line="360" w:lineRule="auto"/>
        <w:ind w:left="0" w:firstLine="422" w:firstLineChars="200"/>
        <w:jc w:val="both"/>
        <w:rPr>
          <w:rFonts w:hint="default" w:ascii="Times New Roman" w:hAnsi="Times New Roman" w:eastAsia="宋体" w:cs="Times New Roman"/>
          <w:b/>
          <w:bCs/>
          <w:color w:val="auto"/>
          <w:sz w:val="21"/>
          <w:szCs w:val="21"/>
          <w:highlight w:val="none"/>
        </w:rPr>
      </w:pPr>
      <w:bookmarkStart w:id="197" w:name="_Toc4679"/>
      <w:bookmarkStart w:id="198" w:name="_Toc19917"/>
      <w:bookmarkStart w:id="199" w:name="_Toc29529"/>
      <w:bookmarkStart w:id="200" w:name="_Toc16085"/>
      <w:bookmarkStart w:id="201" w:name="_Toc5916"/>
      <w:r>
        <w:rPr>
          <w:rFonts w:hint="default" w:ascii="Times New Roman" w:hAnsi="Times New Roman" w:eastAsia="宋体" w:cs="Times New Roman"/>
          <w:b/>
          <w:bCs/>
          <w:color w:val="auto"/>
          <w:sz w:val="21"/>
          <w:szCs w:val="21"/>
          <w:highlight w:val="none"/>
        </w:rPr>
        <w:t>30、质疑</w:t>
      </w:r>
      <w:bookmarkEnd w:id="197"/>
      <w:bookmarkEnd w:id="198"/>
      <w:bookmarkEnd w:id="199"/>
      <w:bookmarkEnd w:id="200"/>
      <w:bookmarkEnd w:id="201"/>
    </w:p>
    <w:p w14:paraId="248E256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30.1供应商对招标活动事项有疑问的，可以向采购代理机构提出询问，采购代理机构将依法作出答复，但答复的内容不涉及商业秘密。</w:t>
      </w:r>
    </w:p>
    <w:p w14:paraId="0CAAD1CB">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30.2供应商认为采购文件、采购过程和中标结果使自己的合法权益受到损害的，可以在知道或者应当知道其权益受到损害之日起七个工作日内，将质疑函以</w:t>
      </w:r>
      <w:r>
        <w:rPr>
          <w:rFonts w:hint="default" w:ascii="Times New Roman" w:hAnsi="Times New Roman" w:cs="Times New Roman"/>
          <w:b/>
          <w:color w:val="auto"/>
          <w:szCs w:val="21"/>
          <w:highlight w:val="none"/>
        </w:rPr>
        <w:t>书面形式（原件）</w:t>
      </w:r>
      <w:r>
        <w:rPr>
          <w:rFonts w:hint="default" w:ascii="Times New Roman" w:hAnsi="Times New Roman" w:cs="Times New Roman"/>
          <w:bCs/>
          <w:color w:val="auto"/>
          <w:szCs w:val="21"/>
          <w:highlight w:val="none"/>
        </w:rPr>
        <w:t>送达代理机构，质疑期外提出的质疑，采购代理机构将不予受理。</w:t>
      </w:r>
    </w:p>
    <w:p w14:paraId="64F119D2">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30.3供应商须在法定质疑期内</w:t>
      </w:r>
      <w:r>
        <w:rPr>
          <w:rFonts w:hint="default" w:ascii="Times New Roman" w:hAnsi="Times New Roman" w:cs="Times New Roman"/>
          <w:b/>
          <w:color w:val="auto"/>
          <w:szCs w:val="21"/>
          <w:highlight w:val="none"/>
        </w:rPr>
        <w:t>一次性提出</w:t>
      </w:r>
      <w:r>
        <w:rPr>
          <w:rFonts w:hint="default" w:ascii="Times New Roman" w:hAnsi="Times New Roman" w:cs="Times New Roman"/>
          <w:bCs/>
          <w:color w:val="auto"/>
          <w:szCs w:val="21"/>
          <w:highlight w:val="none"/>
        </w:rPr>
        <w:t>针对本项目同一采购程序环节的质疑。</w:t>
      </w:r>
    </w:p>
    <w:p w14:paraId="3FF4CAD6">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30.4质疑供应商若委托代理人进行质疑的，质疑函应按招标文件要求列明“授权代表”的有关内容，并在附件中提交由质疑供应商签署的授权委托书。授权委托书应载明代理人的姓名或者名称、代理事项、具体权限、期限和相关事项。</w:t>
      </w:r>
    </w:p>
    <w:p w14:paraId="28DED194">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30.5质疑供应商若对项目的某一分包进行质疑，质疑函中应列明具体分包号。</w:t>
      </w:r>
    </w:p>
    <w:p w14:paraId="41FC2AA8">
      <w:pPr>
        <w:snapToGrid w:val="0"/>
        <w:spacing w:line="360" w:lineRule="auto"/>
        <w:ind w:firstLine="409" w:firstLineChars="195"/>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30.6质疑函应包括以下主要内容，并按照“谁主张、谁举证”的原则，附上相关证明材料。质疑函的质疑事项应具体、明确，并有必要的事实依据和法律依据。质疑函的质疑请求应与质疑事项相关。否则，代理机构不予受理：</w:t>
      </w:r>
    </w:p>
    <w:p w14:paraId="6C00FC5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（1）供应商的姓名或者名称、地址、邮编、联系人及联系电话；</w:t>
      </w:r>
    </w:p>
    <w:p w14:paraId="6361E8F4">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（2）质疑项目的名称、编号；</w:t>
      </w:r>
    </w:p>
    <w:p w14:paraId="511D3D9A">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（3）具体、明确的质疑事项和与质疑事项相关的请求；</w:t>
      </w:r>
    </w:p>
    <w:p w14:paraId="5DA10DD3">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（4）事实依据；</w:t>
      </w:r>
    </w:p>
    <w:p w14:paraId="4F6188A0">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（5）必要的法律依据</w:t>
      </w:r>
    </w:p>
    <w:p w14:paraId="49A136CD">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（6）提出质疑的日期</w:t>
      </w:r>
    </w:p>
    <w:p w14:paraId="22C669F7">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质疑人为自然人的，应当由本人签字并附有效身份证明；质疑人为法人或其他组织的，应当由法定代表人、主要负责人，或者其授权代表签署本人姓名或印盖本人姓名章并加盖单位公章。</w:t>
      </w:r>
    </w:p>
    <w:p w14:paraId="0C0D2DF6">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30.7质疑人是指直接参加本项目采购活动的供应商，未参加投标活动的供应商或在投标活动中自身权益未受到损害的供应商所提出的质疑不予受理。对采购文件提出质疑的，为供应商收到招标文件之日起或招标文件公告期限届满之日计算；对采购过程提出质疑的，自采购程序环节结束之日起计算；对中标或者成交结果提出质疑的，为中标或者成交结果公告期限届满之日。</w:t>
      </w:r>
    </w:p>
    <w:p w14:paraId="63D19863">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30.8 供应商不得虚假质疑和恶意质疑，并对质疑内容的真实性承担责任。供应商或者其他利害关系人通过捏造事实、伪造证明材料等方式提出异议或投诉，阻碍招投标活动正常进行的，属于严重不良行为，代理机构将提请财政部门将其列入不良行为记录名单，并依法予以处罚。</w:t>
      </w:r>
    </w:p>
    <w:p w14:paraId="193D6D7B">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30.9</w:t>
      </w:r>
      <w:r>
        <w:rPr>
          <w:rFonts w:hint="default" w:ascii="Times New Roman" w:hAnsi="Times New Roman" w:cs="Times New Roman"/>
          <w:b/>
          <w:color w:val="auto"/>
          <w:szCs w:val="21"/>
          <w:highlight w:val="none"/>
        </w:rPr>
        <w:t>本项目质疑函的联系部门、联系电话和通讯地址详见第二章投标人须知前附表</w:t>
      </w:r>
      <w:r>
        <w:rPr>
          <w:rFonts w:hint="default" w:ascii="Times New Roman" w:hAnsi="Times New Roman" w:cs="Times New Roman"/>
          <w:bCs/>
          <w:color w:val="auto"/>
          <w:szCs w:val="21"/>
          <w:highlight w:val="none"/>
        </w:rPr>
        <w:t>。</w:t>
      </w:r>
    </w:p>
    <w:p w14:paraId="503B64EA">
      <w:pPr>
        <w:spacing w:line="360" w:lineRule="auto"/>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30.10采购代理机构在收到书面质疑后七个工作日内作出答复，并以书面形式通知质疑供应商和其他有关供应商，答复的内容不涉及商业秘密。</w:t>
      </w:r>
    </w:p>
    <w:p w14:paraId="18CEF426">
      <w:pPr>
        <w:spacing w:line="360" w:lineRule="auto"/>
        <w:jc w:val="center"/>
        <w:outlineLvl w:val="0"/>
        <w:rPr>
          <w:rFonts w:hint="default" w:ascii="Times New Roman" w:hAnsi="Times New Roman" w:cs="Times New Roman"/>
          <w:b/>
          <w:color w:val="auto"/>
          <w:sz w:val="28"/>
          <w:szCs w:val="28"/>
          <w:highlight w:val="none"/>
        </w:rPr>
      </w:pPr>
      <w:bookmarkStart w:id="202" w:name="_Toc522347554"/>
      <w:bookmarkEnd w:id="202"/>
      <w:bookmarkStart w:id="203" w:name="_Toc142623417"/>
      <w:bookmarkEnd w:id="203"/>
      <w:bookmarkStart w:id="204" w:name="_Toc189726853"/>
      <w:bookmarkEnd w:id="204"/>
      <w:bookmarkStart w:id="205" w:name="_Toc25032666"/>
      <w:bookmarkEnd w:id="205"/>
      <w:bookmarkStart w:id="206" w:name="_Toc163629751"/>
      <w:bookmarkEnd w:id="206"/>
      <w:bookmarkStart w:id="207" w:name="_Hlk297273538"/>
      <w:bookmarkEnd w:id="207"/>
      <w:bookmarkStart w:id="208" w:name="_Toc521839351"/>
      <w:bookmarkEnd w:id="208"/>
      <w:bookmarkStart w:id="209" w:name="_Toc16918"/>
      <w:bookmarkStart w:id="210" w:name="_Toc12622"/>
      <w:r>
        <w:rPr>
          <w:rFonts w:hint="default" w:ascii="Times New Roman" w:hAnsi="Times New Roman" w:cs="Times New Roman"/>
          <w:b/>
          <w:color w:val="auto"/>
          <w:sz w:val="28"/>
          <w:szCs w:val="28"/>
          <w:highlight w:val="none"/>
        </w:rPr>
        <w:br w:type="page"/>
      </w:r>
      <w:bookmarkStart w:id="211" w:name="_Toc16655"/>
      <w:r>
        <w:rPr>
          <w:rFonts w:hint="default" w:ascii="Times New Roman" w:hAnsi="Times New Roman" w:cs="Times New Roman"/>
          <w:b/>
          <w:color w:val="auto"/>
          <w:sz w:val="28"/>
          <w:szCs w:val="28"/>
          <w:highlight w:val="none"/>
        </w:rPr>
        <w:t>第三章 评标标准</w:t>
      </w:r>
      <w:bookmarkEnd w:id="209"/>
      <w:bookmarkEnd w:id="210"/>
      <w:bookmarkEnd w:id="211"/>
    </w:p>
    <w:p w14:paraId="1D52FC10">
      <w:pPr>
        <w:widowControl/>
        <w:spacing w:line="360" w:lineRule="auto"/>
        <w:ind w:left="632" w:hanging="632" w:hangingChars="300"/>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（一）评标方法</w:t>
      </w:r>
    </w:p>
    <w:p w14:paraId="581F4B74">
      <w:pPr>
        <w:spacing w:line="360" w:lineRule="auto"/>
        <w:ind w:firstLine="422" w:firstLineChars="20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本项目采用综合评分法。</w:t>
      </w:r>
    </w:p>
    <w:p w14:paraId="372FDF22">
      <w:pPr>
        <w:spacing w:line="360" w:lineRule="auto"/>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（二）评标标准</w:t>
      </w:r>
    </w:p>
    <w:p w14:paraId="46D325C6">
      <w:pPr>
        <w:spacing w:line="360" w:lineRule="auto"/>
        <w:ind w:firstLine="210" w:firstLineChars="100"/>
        <w:rPr>
          <w:rFonts w:hint="default" w:ascii="Times New Roman" w:hAnsi="Times New Roman" w:cs="Times New Roman"/>
          <w:color w:val="auto"/>
          <w:kern w:val="0"/>
          <w:szCs w:val="21"/>
          <w:highlight w:val="none"/>
        </w:rPr>
      </w:pPr>
      <w:r>
        <w:rPr>
          <w:color w:val="auto"/>
          <w:kern w:val="0"/>
          <w:sz w:val="21"/>
          <w:szCs w:val="21"/>
          <w:highlight w:val="none"/>
        </w:rPr>
        <w:t>本项目总分为100分，</w:t>
      </w:r>
      <w:r>
        <w:rPr>
          <w:color w:val="auto"/>
          <w:sz w:val="21"/>
          <w:szCs w:val="21"/>
          <w:highlight w:val="none"/>
        </w:rPr>
        <w:t>小数点后保留2位。</w:t>
      </w:r>
      <w:r>
        <w:rPr>
          <w:color w:val="auto"/>
          <w:kern w:val="0"/>
          <w:sz w:val="21"/>
          <w:szCs w:val="21"/>
          <w:highlight w:val="none"/>
        </w:rPr>
        <w:t>按评审后得分由高到低顺序排列，得分相同的，按投标报价由低到高顺序排列，得分且投标报价相同的，按技术指标优劣顺序排列，评标委员会根据最终排名向采购人推荐中标候选供应商。最低投标价等任何单项因素的最优不是中标的必要条件</w:t>
      </w:r>
      <w:r>
        <w:rPr>
          <w:rFonts w:hint="default" w:ascii="Times New Roman" w:hAnsi="Times New Roman" w:cs="Times New Roman"/>
          <w:color w:val="auto"/>
          <w:kern w:val="0"/>
          <w:szCs w:val="21"/>
          <w:highlight w:val="none"/>
        </w:rPr>
        <w:t>。</w:t>
      </w:r>
    </w:p>
    <w:p w14:paraId="20D5D274">
      <w:pPr>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kern w:val="0"/>
          <w:szCs w:val="21"/>
          <w:highlight w:val="none"/>
        </w:rPr>
        <w:t>具体打分方法如下：</w:t>
      </w:r>
    </w:p>
    <w:tbl>
      <w:tblPr>
        <w:tblStyle w:val="47"/>
        <w:tblW w:w="11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113"/>
        <w:gridCol w:w="850"/>
        <w:gridCol w:w="8104"/>
        <w:gridCol w:w="690"/>
      </w:tblGrid>
      <w:tr w14:paraId="4E62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670" w:type="dxa"/>
            <w:vAlign w:val="center"/>
          </w:tcPr>
          <w:p w14:paraId="44994E0D">
            <w:pPr>
              <w:widowControl/>
              <w:spacing w:line="360" w:lineRule="auto"/>
              <w:jc w:val="center"/>
              <w:rPr>
                <w:rFonts w:hint="default" w:ascii="Times New Roman" w:hAnsi="Times New Roman" w:cs="Times New Roman"/>
                <w:b/>
                <w:color w:val="auto"/>
                <w:szCs w:val="21"/>
                <w:highlight w:val="none"/>
              </w:rPr>
            </w:pPr>
            <w:bookmarkStart w:id="212" w:name="_Toc24977"/>
            <w:bookmarkStart w:id="213" w:name="_Toc252"/>
            <w:bookmarkStart w:id="214" w:name="_Toc17106"/>
            <w:r>
              <w:rPr>
                <w:rFonts w:hint="default" w:ascii="Times New Roman" w:hAnsi="Times New Roman" w:cs="Times New Roman"/>
                <w:b/>
                <w:color w:val="auto"/>
                <w:szCs w:val="21"/>
                <w:highlight w:val="none"/>
              </w:rPr>
              <w:t>序号</w:t>
            </w:r>
          </w:p>
        </w:tc>
        <w:tc>
          <w:tcPr>
            <w:tcW w:w="1963" w:type="dxa"/>
            <w:gridSpan w:val="2"/>
            <w:vAlign w:val="center"/>
          </w:tcPr>
          <w:p w14:paraId="47D91687">
            <w:pPr>
              <w:widowControl/>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评审因素</w:t>
            </w:r>
          </w:p>
        </w:tc>
        <w:tc>
          <w:tcPr>
            <w:tcW w:w="8104" w:type="dxa"/>
            <w:vAlign w:val="center"/>
          </w:tcPr>
          <w:p w14:paraId="6597F5F0">
            <w:pPr>
              <w:widowControl/>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评审标准</w:t>
            </w:r>
          </w:p>
        </w:tc>
        <w:tc>
          <w:tcPr>
            <w:tcW w:w="690" w:type="dxa"/>
            <w:vAlign w:val="center"/>
          </w:tcPr>
          <w:p w14:paraId="3B60B472">
            <w:pPr>
              <w:widowControl/>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分值</w:t>
            </w:r>
          </w:p>
        </w:tc>
      </w:tr>
      <w:tr w14:paraId="7C53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670" w:type="dxa"/>
            <w:vAlign w:val="center"/>
          </w:tcPr>
          <w:p w14:paraId="4D7BEAEC">
            <w:pPr>
              <w:widowControl/>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1</w:t>
            </w:r>
          </w:p>
        </w:tc>
        <w:tc>
          <w:tcPr>
            <w:tcW w:w="1963" w:type="dxa"/>
            <w:gridSpan w:val="2"/>
            <w:vAlign w:val="center"/>
          </w:tcPr>
          <w:p w14:paraId="21B91EBF">
            <w:pPr>
              <w:widowControl/>
              <w:spacing w:line="360" w:lineRule="auto"/>
              <w:jc w:val="center"/>
              <w:rPr>
                <w:rFonts w:hint="eastAsia" w:ascii="Times New Roman" w:hAnsi="Times New Roman" w:eastAsia="宋体" w:cs="Times New Roman"/>
                <w:b/>
                <w:color w:val="auto"/>
                <w:szCs w:val="21"/>
                <w:highlight w:val="none"/>
                <w:lang w:val="en-US" w:eastAsia="zh-CN"/>
              </w:rPr>
            </w:pPr>
            <w:r>
              <w:rPr>
                <w:rFonts w:hint="default" w:ascii="Times New Roman" w:hAnsi="Times New Roman" w:cs="Times New Roman"/>
                <w:b/>
                <w:color w:val="auto"/>
                <w:szCs w:val="21"/>
                <w:highlight w:val="none"/>
              </w:rPr>
              <w:t>价格</w:t>
            </w:r>
            <w:r>
              <w:rPr>
                <w:rFonts w:hint="eastAsia" w:ascii="Times New Roman" w:hAnsi="Times New Roman" w:cs="Times New Roman"/>
                <w:b/>
                <w:color w:val="auto"/>
                <w:szCs w:val="21"/>
                <w:highlight w:val="none"/>
                <w:lang w:val="en-US" w:eastAsia="zh-CN"/>
              </w:rPr>
              <w:t>分值（30分）</w:t>
            </w:r>
          </w:p>
        </w:tc>
        <w:tc>
          <w:tcPr>
            <w:tcW w:w="8104" w:type="dxa"/>
            <w:vAlign w:val="center"/>
          </w:tcPr>
          <w:p w14:paraId="21DBD072">
            <w:pPr>
              <w:spacing w:line="360" w:lineRule="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满足招标文件要求且投标价格最低的投标报价为评标基准价，其价格分为满分。其他供应商的价格分统一按照下列公式计算：</w:t>
            </w:r>
          </w:p>
          <w:p w14:paraId="4B9736D2">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投标报价得分=(评标基准价／投标报价)×30</w:t>
            </w:r>
          </w:p>
        </w:tc>
        <w:tc>
          <w:tcPr>
            <w:tcW w:w="690" w:type="dxa"/>
            <w:vAlign w:val="center"/>
          </w:tcPr>
          <w:p w14:paraId="6E9DBABC">
            <w:pPr>
              <w:widowControl/>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30</w:t>
            </w:r>
          </w:p>
        </w:tc>
      </w:tr>
      <w:tr w14:paraId="1665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70" w:type="dxa"/>
            <w:vAlign w:val="center"/>
          </w:tcPr>
          <w:p w14:paraId="33CE5BA2">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2.1</w:t>
            </w:r>
          </w:p>
        </w:tc>
        <w:tc>
          <w:tcPr>
            <w:tcW w:w="1113" w:type="dxa"/>
            <w:vMerge w:val="restart"/>
            <w:vAlign w:val="center"/>
          </w:tcPr>
          <w:p w14:paraId="438FA70B">
            <w:pPr>
              <w:spacing w:line="360" w:lineRule="auto"/>
              <w:jc w:val="center"/>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技术</w:t>
            </w:r>
            <w:r>
              <w:rPr>
                <w:rFonts w:hint="eastAsia" w:ascii="Times New Roman" w:hAnsi="Times New Roman" w:cs="Times New Roman"/>
                <w:b/>
                <w:color w:val="auto"/>
                <w:szCs w:val="21"/>
                <w:highlight w:val="none"/>
                <w:lang w:val="en-US" w:eastAsia="zh-CN"/>
              </w:rPr>
              <w:t>分值</w:t>
            </w:r>
          </w:p>
          <w:p w14:paraId="5DAEA16F">
            <w:pPr>
              <w:spacing w:line="360" w:lineRule="auto"/>
              <w:jc w:val="center"/>
              <w:rPr>
                <w:rFonts w:hint="default" w:ascii="Times New Roman" w:hAnsi="Times New Roman" w:eastAsia="宋体" w:cs="Times New Roman"/>
                <w:b/>
                <w:color w:val="auto"/>
                <w:szCs w:val="21"/>
                <w:highlight w:val="none"/>
                <w:lang w:val="en-US" w:eastAsia="zh-CN"/>
              </w:rPr>
            </w:pPr>
            <w:r>
              <w:rPr>
                <w:rFonts w:hint="default" w:ascii="Times New Roman" w:hAnsi="Times New Roman" w:eastAsia="宋体" w:cs="Times New Roman"/>
                <w:b/>
                <w:color w:val="auto"/>
                <w:szCs w:val="21"/>
                <w:highlight w:val="none"/>
                <w:lang w:val="en-US" w:eastAsia="zh-CN"/>
              </w:rPr>
              <w:t>（5</w:t>
            </w:r>
            <w:r>
              <w:rPr>
                <w:rFonts w:hint="eastAsia" w:ascii="Times New Roman" w:hAnsi="Times New Roman" w:cs="Times New Roman"/>
                <w:b/>
                <w:color w:val="auto"/>
                <w:szCs w:val="21"/>
                <w:highlight w:val="none"/>
                <w:lang w:val="en-US" w:eastAsia="zh-CN"/>
              </w:rPr>
              <w:t>1分</w:t>
            </w:r>
            <w:r>
              <w:rPr>
                <w:rFonts w:hint="default" w:ascii="Times New Roman" w:hAnsi="Times New Roman" w:eastAsia="宋体" w:cs="Times New Roman"/>
                <w:b/>
                <w:color w:val="auto"/>
                <w:szCs w:val="21"/>
                <w:highlight w:val="none"/>
                <w:lang w:val="en-US" w:eastAsia="zh-CN"/>
              </w:rPr>
              <w:t>）</w:t>
            </w:r>
          </w:p>
        </w:tc>
        <w:tc>
          <w:tcPr>
            <w:tcW w:w="850" w:type="dxa"/>
            <w:vMerge w:val="restart"/>
            <w:vAlign w:val="center"/>
          </w:tcPr>
          <w:p w14:paraId="7245E784">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技术响应</w:t>
            </w:r>
          </w:p>
        </w:tc>
        <w:tc>
          <w:tcPr>
            <w:tcW w:w="8104" w:type="dxa"/>
            <w:vAlign w:val="center"/>
          </w:tcPr>
          <w:p w14:paraId="33C5A3D4">
            <w:pPr>
              <w:spacing w:line="360" w:lineRule="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设备技术要求全部满足招标要求的得满分</w:t>
            </w:r>
            <w:r>
              <w:rPr>
                <w:rFonts w:hint="eastAsia" w:ascii="Times New Roman" w:hAnsi="Times New Roman" w:eastAsia="宋体" w:cs="Times New Roman"/>
                <w:color w:val="auto"/>
                <w:szCs w:val="21"/>
                <w:highlight w:val="none"/>
                <w:lang w:val="en-US" w:eastAsia="zh-CN"/>
              </w:rPr>
              <w:t>4</w:t>
            </w:r>
            <w:r>
              <w:rPr>
                <w:rFonts w:hint="eastAsia" w:cs="Times New Roman"/>
                <w:color w:val="auto"/>
                <w:szCs w:val="21"/>
                <w:highlight w:val="none"/>
                <w:lang w:val="en-US" w:eastAsia="zh-CN"/>
              </w:rPr>
              <w:t>8</w:t>
            </w:r>
            <w:r>
              <w:rPr>
                <w:rFonts w:hint="default" w:ascii="Times New Roman" w:hAnsi="Times New Roman" w:eastAsia="宋体" w:cs="Times New Roman"/>
                <w:color w:val="auto"/>
                <w:szCs w:val="21"/>
                <w:highlight w:val="none"/>
              </w:rPr>
              <w:t>分；在此基础上，招标文件中标注“★”的内容为实质性要求，有一项负偏离的，作无效投标处理；招标文件中标注“▲”的为重要参数，对这些重要参数负偏离或响应不充分的，则每项扣</w:t>
            </w:r>
            <w:r>
              <w:rPr>
                <w:rFonts w:hint="eastAsia" w:cs="Times New Roman"/>
                <w:color w:val="auto"/>
                <w:szCs w:val="21"/>
                <w:highlight w:val="none"/>
                <w:lang w:val="en-US" w:eastAsia="zh-CN"/>
              </w:rPr>
              <w:t>4</w:t>
            </w:r>
            <w:r>
              <w:rPr>
                <w:rFonts w:hint="default" w:ascii="Times New Roman" w:hAnsi="Times New Roman" w:eastAsia="宋体" w:cs="Times New Roman"/>
                <w:color w:val="auto"/>
                <w:szCs w:val="21"/>
                <w:highlight w:val="none"/>
              </w:rPr>
              <w:t>分，其他非重要参数负偏离或响应不充分的，则每项扣</w:t>
            </w:r>
            <w:r>
              <w:rPr>
                <w:rFonts w:hint="eastAsia" w:cs="Times New Roman"/>
                <w:color w:val="auto"/>
                <w:szCs w:val="21"/>
                <w:highlight w:val="none"/>
                <w:lang w:val="en-US" w:eastAsia="zh-CN"/>
              </w:rPr>
              <w:t>1.4</w:t>
            </w:r>
            <w:r>
              <w:rPr>
                <w:rFonts w:hint="default" w:ascii="Times New Roman" w:hAnsi="Times New Roman" w:eastAsia="宋体" w:cs="Times New Roman"/>
                <w:color w:val="auto"/>
                <w:szCs w:val="21"/>
                <w:highlight w:val="none"/>
              </w:rPr>
              <w:t>分，扣完为止。</w:t>
            </w:r>
          </w:p>
          <w:p w14:paraId="323E7516">
            <w:pPr>
              <w:spacing w:line="360" w:lineRule="auto"/>
              <w:rPr>
                <w:rFonts w:hint="default" w:ascii="Times New Roman" w:hAnsi="Times New Roman" w:cs="Times New Roman"/>
                <w:b/>
                <w:color w:val="auto"/>
                <w:szCs w:val="21"/>
                <w:highlight w:val="none"/>
              </w:rPr>
            </w:pPr>
            <w:r>
              <w:rPr>
                <w:rFonts w:hint="default" w:ascii="Times New Roman" w:hAnsi="Times New Roman" w:eastAsia="宋体" w:cs="Times New Roman"/>
                <w:b/>
                <w:bCs/>
                <w:color w:val="auto"/>
                <w:szCs w:val="21"/>
                <w:highlight w:val="none"/>
              </w:rPr>
              <w:t>注：</w:t>
            </w:r>
            <w:r>
              <w:rPr>
                <w:rFonts w:hint="default" w:ascii="Times New Roman" w:hAnsi="Times New Roman" w:eastAsia="宋体" w:cs="Times New Roman"/>
                <w:b/>
                <w:bCs/>
                <w:color w:val="auto"/>
                <w:sz w:val="21"/>
                <w:szCs w:val="21"/>
                <w:highlight w:val="none"/>
                <w:lang w:eastAsia="zh-CN"/>
              </w:rPr>
              <w:t>标注“★”和“▲”的均必须在投标文件内提供技术支持资料（第</w:t>
            </w:r>
            <w:r>
              <w:rPr>
                <w:rFonts w:hint="eastAsia" w:ascii="Times New Roman" w:hAnsi="Times New Roman" w:eastAsia="宋体" w:cs="Times New Roman"/>
                <w:b/>
                <w:bCs/>
                <w:color w:val="auto"/>
                <w:sz w:val="21"/>
                <w:szCs w:val="21"/>
                <w:highlight w:val="none"/>
                <w:lang w:val="en-US" w:eastAsia="zh-CN"/>
              </w:rPr>
              <w:t>四</w:t>
            </w:r>
            <w:r>
              <w:rPr>
                <w:rFonts w:hint="default" w:ascii="Times New Roman" w:hAnsi="Times New Roman" w:eastAsia="宋体" w:cs="Times New Roman"/>
                <w:b/>
                <w:bCs/>
                <w:color w:val="auto"/>
                <w:sz w:val="21"/>
                <w:szCs w:val="21"/>
                <w:highlight w:val="none"/>
                <w:lang w:eastAsia="zh-CN"/>
              </w:rPr>
              <w:t>章</w:t>
            </w:r>
            <w:r>
              <w:rPr>
                <w:rFonts w:hint="eastAsia" w:ascii="Times New Roman" w:hAnsi="Times New Roman" w:eastAsia="宋体" w:cs="Times New Roman"/>
                <w:b/>
                <w:bCs/>
                <w:color w:val="auto"/>
                <w:sz w:val="21"/>
                <w:szCs w:val="21"/>
                <w:highlight w:val="none"/>
                <w:lang w:val="en-US" w:eastAsia="zh-CN"/>
              </w:rPr>
              <w:t>招标</w:t>
            </w:r>
            <w:r>
              <w:rPr>
                <w:rFonts w:hint="default" w:ascii="Times New Roman" w:hAnsi="Times New Roman" w:eastAsia="宋体" w:cs="Times New Roman"/>
                <w:b/>
                <w:bCs/>
                <w:color w:val="auto"/>
                <w:sz w:val="21"/>
                <w:szCs w:val="21"/>
                <w:highlight w:val="none"/>
                <w:lang w:eastAsia="zh-CN"/>
              </w:rPr>
              <w:t>技术规格及要求中“</w:t>
            </w:r>
            <w:r>
              <w:rPr>
                <w:rFonts w:hint="eastAsia" w:ascii="Times New Roman" w:hAnsi="Times New Roman" w:eastAsia="宋体" w:cs="Times New Roman"/>
                <w:b/>
                <w:bCs/>
                <w:color w:val="auto"/>
                <w:sz w:val="21"/>
                <w:szCs w:val="21"/>
                <w:highlight w:val="none"/>
                <w:lang w:val="en-US" w:eastAsia="zh-CN"/>
              </w:rPr>
              <w:t>技术要求</w:t>
            </w:r>
            <w:r>
              <w:rPr>
                <w:rFonts w:hint="default" w:ascii="Times New Roman" w:hAnsi="Times New Roman" w:eastAsia="宋体" w:cs="Times New Roman"/>
                <w:b/>
                <w:bCs/>
                <w:color w:val="auto"/>
                <w:sz w:val="21"/>
                <w:szCs w:val="21"/>
                <w:highlight w:val="none"/>
                <w:lang w:eastAsia="zh-CN"/>
              </w:rPr>
              <w:t>”内有明确要求的根据要求提供；未要求的，提供明确说明该技术内容的公开发行的产品彩页或产品说明书或由国家认可的认证（检测）机构出具的检测报告</w:t>
            </w:r>
            <w:r>
              <w:rPr>
                <w:rFonts w:hint="default" w:ascii="Times New Roman" w:hAnsi="Times New Roman" w:cs="Times New Roman"/>
                <w:b/>
                <w:bCs/>
                <w:color w:val="auto"/>
                <w:kern w:val="0"/>
                <w:szCs w:val="21"/>
                <w:highlight w:val="none"/>
              </w:rPr>
              <w:t>等</w:t>
            </w:r>
            <w:r>
              <w:rPr>
                <w:rFonts w:hint="default" w:ascii="Times New Roman" w:hAnsi="Times New Roman" w:eastAsia="宋体" w:cs="Times New Roman"/>
                <w:b/>
                <w:bCs/>
                <w:color w:val="auto"/>
                <w:sz w:val="21"/>
                <w:szCs w:val="21"/>
                <w:highlight w:val="none"/>
                <w:lang w:eastAsia="zh-CN"/>
              </w:rPr>
              <w:t>），未提供技术支持资料的，评审时不予认可</w:t>
            </w:r>
            <w:r>
              <w:rPr>
                <w:rFonts w:hint="default" w:ascii="Times New Roman" w:hAnsi="Times New Roman" w:eastAsia="宋体" w:cs="Times New Roman"/>
                <w:b/>
                <w:bCs/>
                <w:color w:val="auto"/>
                <w:kern w:val="0"/>
                <w:sz w:val="21"/>
                <w:szCs w:val="21"/>
                <w:highlight w:val="none"/>
              </w:rPr>
              <w:t>。</w:t>
            </w:r>
          </w:p>
        </w:tc>
        <w:tc>
          <w:tcPr>
            <w:tcW w:w="690" w:type="dxa"/>
            <w:vAlign w:val="center"/>
          </w:tcPr>
          <w:p w14:paraId="1F30B254">
            <w:pPr>
              <w:spacing w:line="360" w:lineRule="auto"/>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kern w:val="0"/>
                <w:szCs w:val="21"/>
                <w:highlight w:val="none"/>
                <w:lang w:val="en-US" w:eastAsia="zh-CN"/>
              </w:rPr>
              <w:t>4</w:t>
            </w:r>
            <w:r>
              <w:rPr>
                <w:rFonts w:hint="eastAsia" w:cs="Times New Roman"/>
                <w:color w:val="auto"/>
                <w:kern w:val="0"/>
                <w:szCs w:val="21"/>
                <w:highlight w:val="none"/>
                <w:lang w:val="en-US" w:eastAsia="zh-CN"/>
              </w:rPr>
              <w:t>8</w:t>
            </w:r>
          </w:p>
        </w:tc>
      </w:tr>
      <w:tr w14:paraId="09F3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70" w:type="dxa"/>
            <w:vAlign w:val="center"/>
          </w:tcPr>
          <w:p w14:paraId="3D0891DC">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2.2</w:t>
            </w:r>
          </w:p>
        </w:tc>
        <w:tc>
          <w:tcPr>
            <w:tcW w:w="1113" w:type="dxa"/>
            <w:vMerge w:val="continue"/>
            <w:vAlign w:val="center"/>
          </w:tcPr>
          <w:p w14:paraId="6F585B5D">
            <w:pPr>
              <w:spacing w:line="360" w:lineRule="auto"/>
              <w:jc w:val="center"/>
              <w:rPr>
                <w:rFonts w:hint="default" w:ascii="Times New Roman" w:hAnsi="Times New Roman" w:cs="Times New Roman"/>
                <w:b/>
                <w:color w:val="auto"/>
                <w:szCs w:val="21"/>
                <w:highlight w:val="none"/>
              </w:rPr>
            </w:pPr>
          </w:p>
        </w:tc>
        <w:tc>
          <w:tcPr>
            <w:tcW w:w="850" w:type="dxa"/>
            <w:vMerge w:val="continue"/>
            <w:vAlign w:val="center"/>
          </w:tcPr>
          <w:p w14:paraId="04FB10B8">
            <w:pPr>
              <w:spacing w:line="360" w:lineRule="auto"/>
              <w:jc w:val="center"/>
              <w:rPr>
                <w:rFonts w:hint="default" w:ascii="Times New Roman" w:hAnsi="Times New Roman" w:cs="Times New Roman"/>
                <w:b/>
                <w:color w:val="auto"/>
                <w:szCs w:val="21"/>
                <w:highlight w:val="none"/>
              </w:rPr>
            </w:pPr>
          </w:p>
        </w:tc>
        <w:tc>
          <w:tcPr>
            <w:tcW w:w="8104" w:type="dxa"/>
            <w:vAlign w:val="center"/>
          </w:tcPr>
          <w:p w14:paraId="60C35D85">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根据供应商提供的产品的技术功能要求、适用性、可靠性、稳定性等综合评价：产品先进、稳定、可靠性高实用性强，优于招标文件要求得</w:t>
            </w:r>
            <w:r>
              <w:rPr>
                <w:rFonts w:hint="eastAsia" w:cs="Times New Roman"/>
                <w:bCs/>
                <w:color w:val="auto"/>
                <w:szCs w:val="21"/>
                <w:highlight w:val="none"/>
                <w:lang w:val="en-US" w:eastAsia="zh-CN"/>
              </w:rPr>
              <w:t>3</w:t>
            </w:r>
            <w:r>
              <w:rPr>
                <w:rFonts w:hint="default" w:ascii="Times New Roman" w:hAnsi="Times New Roman" w:cs="Times New Roman"/>
                <w:bCs/>
                <w:color w:val="auto"/>
                <w:szCs w:val="21"/>
                <w:highlight w:val="none"/>
              </w:rPr>
              <w:t>分；</w:t>
            </w:r>
          </w:p>
          <w:p w14:paraId="63CF70F3">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产品先进度、可靠度一般，仅满足招标文件要求得</w:t>
            </w:r>
            <w:r>
              <w:rPr>
                <w:rFonts w:hint="eastAsia" w:cs="Times New Roman"/>
                <w:bCs/>
                <w:color w:val="auto"/>
                <w:szCs w:val="21"/>
                <w:highlight w:val="none"/>
                <w:lang w:val="en-US" w:eastAsia="zh-CN"/>
              </w:rPr>
              <w:t>2</w:t>
            </w:r>
            <w:r>
              <w:rPr>
                <w:rFonts w:hint="default" w:ascii="Times New Roman" w:hAnsi="Times New Roman" w:cs="Times New Roman"/>
                <w:bCs/>
                <w:color w:val="auto"/>
                <w:szCs w:val="21"/>
                <w:highlight w:val="none"/>
              </w:rPr>
              <w:t>分；</w:t>
            </w:r>
          </w:p>
          <w:p w14:paraId="2134836A">
            <w:pPr>
              <w:spacing w:line="360" w:lineRule="auto"/>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产品先进度不高、低于招标文件要求得</w:t>
            </w:r>
            <w:r>
              <w:rPr>
                <w:rFonts w:hint="eastAsia" w:cs="Times New Roman"/>
                <w:bCs/>
                <w:color w:val="auto"/>
                <w:szCs w:val="21"/>
                <w:highlight w:val="none"/>
                <w:lang w:val="en-US" w:eastAsia="zh-CN"/>
              </w:rPr>
              <w:t>1</w:t>
            </w:r>
            <w:r>
              <w:rPr>
                <w:rFonts w:hint="default" w:ascii="Times New Roman" w:hAnsi="Times New Roman" w:cs="Times New Roman"/>
                <w:bCs/>
                <w:color w:val="auto"/>
                <w:szCs w:val="21"/>
                <w:highlight w:val="none"/>
              </w:rPr>
              <w:t>分。</w:t>
            </w:r>
            <w:r>
              <w:rPr>
                <w:rFonts w:hint="eastAsia" w:cs="Times New Roman"/>
                <w:bCs/>
                <w:color w:val="auto"/>
                <w:szCs w:val="21"/>
                <w:highlight w:val="none"/>
                <w:lang w:val="en-US" w:eastAsia="zh-CN"/>
              </w:rPr>
              <w:t>未描述不得分。</w:t>
            </w:r>
          </w:p>
        </w:tc>
        <w:tc>
          <w:tcPr>
            <w:tcW w:w="690" w:type="dxa"/>
            <w:vAlign w:val="center"/>
          </w:tcPr>
          <w:p w14:paraId="5313DC12">
            <w:pPr>
              <w:spacing w:line="360" w:lineRule="auto"/>
              <w:jc w:val="center"/>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3</w:t>
            </w:r>
          </w:p>
        </w:tc>
      </w:tr>
      <w:tr w14:paraId="6129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4" w:hRule="atLeast"/>
          <w:jc w:val="center"/>
        </w:trPr>
        <w:tc>
          <w:tcPr>
            <w:tcW w:w="670" w:type="dxa"/>
            <w:vAlign w:val="center"/>
          </w:tcPr>
          <w:p w14:paraId="78F55264">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3.1</w:t>
            </w:r>
          </w:p>
        </w:tc>
        <w:tc>
          <w:tcPr>
            <w:tcW w:w="1113" w:type="dxa"/>
            <w:vMerge w:val="restart"/>
            <w:vAlign w:val="center"/>
          </w:tcPr>
          <w:p w14:paraId="0E054EBE">
            <w:pPr>
              <w:spacing w:line="360" w:lineRule="auto"/>
              <w:jc w:val="center"/>
              <w:rPr>
                <w:rFonts w:hint="eastAsia" w:ascii="Times New Roman" w:hAnsi="Times New Roman" w:cs="Times New Roman"/>
                <w:b/>
                <w:color w:val="auto"/>
                <w:szCs w:val="21"/>
                <w:highlight w:val="none"/>
                <w:lang w:val="en-US" w:eastAsia="zh-CN"/>
              </w:rPr>
            </w:pPr>
            <w:r>
              <w:rPr>
                <w:rFonts w:hint="eastAsia" w:ascii="Times New Roman" w:hAnsi="Times New Roman" w:cs="Times New Roman"/>
                <w:b/>
                <w:color w:val="auto"/>
                <w:szCs w:val="21"/>
                <w:highlight w:val="none"/>
                <w:lang w:val="en-US" w:eastAsia="zh-CN"/>
              </w:rPr>
              <w:t>商务分值</w:t>
            </w:r>
          </w:p>
          <w:p w14:paraId="6B2FB673">
            <w:pPr>
              <w:spacing w:line="360" w:lineRule="auto"/>
              <w:jc w:val="center"/>
              <w:rPr>
                <w:rFonts w:hint="default" w:ascii="Times New Roman" w:hAnsi="Times New Roman" w:eastAsia="宋体" w:cs="Times New Roman"/>
                <w:b/>
                <w:color w:val="auto"/>
                <w:szCs w:val="21"/>
                <w:highlight w:val="none"/>
                <w:lang w:val="en-US" w:eastAsia="zh-CN"/>
              </w:rPr>
            </w:pPr>
            <w:r>
              <w:rPr>
                <w:rFonts w:hint="eastAsia" w:ascii="Times New Roman" w:hAnsi="Times New Roman" w:cs="Times New Roman"/>
                <w:b/>
                <w:color w:val="auto"/>
                <w:szCs w:val="21"/>
                <w:highlight w:val="none"/>
                <w:lang w:val="en-US" w:eastAsia="zh-CN"/>
              </w:rPr>
              <w:t>（19分）</w:t>
            </w:r>
          </w:p>
        </w:tc>
        <w:tc>
          <w:tcPr>
            <w:tcW w:w="850" w:type="dxa"/>
            <w:vMerge w:val="restart"/>
            <w:vAlign w:val="center"/>
          </w:tcPr>
          <w:p w14:paraId="13CB4211">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b/>
                <w:color w:val="auto"/>
                <w:szCs w:val="21"/>
                <w:highlight w:val="none"/>
              </w:rPr>
              <w:t>售后服务</w:t>
            </w:r>
          </w:p>
        </w:tc>
        <w:tc>
          <w:tcPr>
            <w:tcW w:w="8104" w:type="dxa"/>
            <w:vAlign w:val="center"/>
          </w:tcPr>
          <w:p w14:paraId="140B35D6">
            <w:pPr>
              <w:widowControl/>
              <w:snapToGrid w:val="0"/>
              <w:spacing w:line="440" w:lineRule="exac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highlight w:val="none"/>
              </w:rPr>
              <w:t>根据供应商提供的售后服务方案</w:t>
            </w:r>
            <w:r>
              <w:rPr>
                <w:rFonts w:hint="default" w:ascii="Times New Roman" w:hAnsi="Times New Roman" w:cs="Times New Roman"/>
                <w:color w:val="auto"/>
                <w:szCs w:val="21"/>
                <w:highlight w:val="none"/>
              </w:rPr>
              <w:t>包括但不限于①</w:t>
            </w:r>
            <w:r>
              <w:rPr>
                <w:rFonts w:hint="default" w:ascii="Times New Roman" w:hAnsi="Times New Roman" w:cs="Times New Roman"/>
                <w:color w:val="auto"/>
                <w:highlight w:val="none"/>
              </w:rPr>
              <w:t>服务体系及服务内容、</w:t>
            </w:r>
            <w:r>
              <w:rPr>
                <w:rFonts w:hint="default" w:ascii="Times New Roman" w:hAnsi="Times New Roman" w:cs="Times New Roman"/>
                <w:color w:val="auto"/>
                <w:szCs w:val="21"/>
                <w:highlight w:val="none"/>
              </w:rPr>
              <w:t>②</w:t>
            </w:r>
            <w:r>
              <w:rPr>
                <w:rFonts w:hint="default" w:ascii="Times New Roman" w:hAnsi="Times New Roman" w:cs="Times New Roman"/>
                <w:color w:val="auto"/>
                <w:highlight w:val="none"/>
              </w:rPr>
              <w:t>故障解决方案及响应时间、</w:t>
            </w:r>
            <w:r>
              <w:rPr>
                <w:rFonts w:hint="default" w:ascii="Times New Roman" w:hAnsi="Times New Roman" w:cs="Times New Roman"/>
                <w:color w:val="auto"/>
                <w:szCs w:val="21"/>
                <w:highlight w:val="none"/>
              </w:rPr>
              <w:t>③</w:t>
            </w:r>
            <w:r>
              <w:rPr>
                <w:rFonts w:hint="default" w:ascii="Times New Roman" w:hAnsi="Times New Roman" w:cs="Times New Roman"/>
                <w:color w:val="auto"/>
                <w:highlight w:val="none"/>
              </w:rPr>
              <w:t>专业技术人员及服务保障、④培训方案等</w:t>
            </w:r>
            <w:r>
              <w:rPr>
                <w:rFonts w:hint="default" w:ascii="Times New Roman" w:hAnsi="Times New Roman" w:cs="Times New Roman"/>
                <w:color w:val="auto"/>
                <w:szCs w:val="21"/>
                <w:highlight w:val="none"/>
              </w:rPr>
              <w:t>进行综合评价。对于每一点，方案科学合理得2分，基本合理略有瑕疵得1分，</w:t>
            </w:r>
            <w:r>
              <w:rPr>
                <w:rFonts w:hint="eastAsia" w:cs="Times New Roman"/>
                <w:bCs/>
                <w:color w:val="auto"/>
                <w:szCs w:val="21"/>
                <w:highlight w:val="none"/>
                <w:lang w:val="en-US" w:eastAsia="zh-CN"/>
              </w:rPr>
              <w:t>未描述不得分</w:t>
            </w:r>
            <w:r>
              <w:rPr>
                <w:rFonts w:hint="default" w:ascii="Times New Roman" w:hAnsi="Times New Roman" w:cs="Times New Roman"/>
                <w:color w:val="auto"/>
                <w:szCs w:val="21"/>
                <w:highlight w:val="none"/>
              </w:rPr>
              <w:t>。本大项满分8分。</w:t>
            </w:r>
          </w:p>
        </w:tc>
        <w:tc>
          <w:tcPr>
            <w:tcW w:w="690" w:type="dxa"/>
            <w:vAlign w:val="center"/>
          </w:tcPr>
          <w:p w14:paraId="5297F7B9">
            <w:pPr>
              <w:autoSpaceDE w:val="0"/>
              <w:autoSpaceDN w:val="0"/>
              <w:adjustRightIn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8</w:t>
            </w:r>
          </w:p>
        </w:tc>
      </w:tr>
      <w:tr w14:paraId="4738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0" w:type="dxa"/>
            <w:vAlign w:val="center"/>
          </w:tcPr>
          <w:p w14:paraId="5AB020C7">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3.2</w:t>
            </w:r>
          </w:p>
        </w:tc>
        <w:tc>
          <w:tcPr>
            <w:tcW w:w="1113" w:type="dxa"/>
            <w:vMerge w:val="continue"/>
            <w:vAlign w:val="center"/>
          </w:tcPr>
          <w:p w14:paraId="5EEA40E5">
            <w:pPr>
              <w:spacing w:line="360" w:lineRule="auto"/>
              <w:jc w:val="center"/>
              <w:rPr>
                <w:rFonts w:hint="default" w:ascii="Times New Roman" w:hAnsi="Times New Roman" w:cs="Times New Roman"/>
                <w:b/>
                <w:color w:val="auto"/>
                <w:szCs w:val="21"/>
                <w:highlight w:val="none"/>
              </w:rPr>
            </w:pPr>
          </w:p>
        </w:tc>
        <w:tc>
          <w:tcPr>
            <w:tcW w:w="850" w:type="dxa"/>
            <w:vMerge w:val="continue"/>
            <w:vAlign w:val="center"/>
          </w:tcPr>
          <w:p w14:paraId="00569AF1">
            <w:pPr>
              <w:spacing w:line="360" w:lineRule="auto"/>
              <w:jc w:val="center"/>
              <w:rPr>
                <w:rFonts w:hint="default" w:ascii="Times New Roman" w:hAnsi="Times New Roman" w:cs="Times New Roman"/>
                <w:b/>
                <w:color w:val="auto"/>
                <w:szCs w:val="21"/>
                <w:highlight w:val="none"/>
              </w:rPr>
            </w:pPr>
          </w:p>
        </w:tc>
        <w:tc>
          <w:tcPr>
            <w:tcW w:w="8104" w:type="dxa"/>
            <w:vAlign w:val="center"/>
          </w:tcPr>
          <w:p w14:paraId="72449C1F">
            <w:pPr>
              <w:widowControl/>
              <w:snapToGrid w:val="0"/>
              <w:spacing w:line="440" w:lineRule="exact"/>
              <w:jc w:val="left"/>
              <w:rPr>
                <w:rFonts w:hint="default" w:ascii="Times New Roman" w:hAnsi="Times New Roman" w:cs="Times New Roman"/>
                <w:color w:val="auto"/>
                <w:highlight w:val="none"/>
              </w:rPr>
            </w:pPr>
            <w:r>
              <w:rPr>
                <w:rFonts w:hint="default" w:ascii="Times New Roman" w:hAnsi="Times New Roman" w:cs="Times New Roman"/>
                <w:color w:val="auto"/>
                <w:kern w:val="0"/>
                <w:szCs w:val="21"/>
                <w:highlight w:val="none"/>
              </w:rPr>
              <w:t>项目整体及所有设备满足招标文件免费质保期要求的不得分；在此基础上免费质保每增加1年加1分，本项最高得</w:t>
            </w:r>
            <w:r>
              <w:rPr>
                <w:rFonts w:hint="eastAsia" w:cs="Times New Roman"/>
                <w:color w:val="auto"/>
                <w:kern w:val="0"/>
                <w:szCs w:val="21"/>
                <w:highlight w:val="none"/>
                <w:lang w:val="en-US" w:eastAsia="zh-CN"/>
              </w:rPr>
              <w:t>2</w:t>
            </w:r>
            <w:r>
              <w:rPr>
                <w:rFonts w:hint="default" w:ascii="Times New Roman" w:hAnsi="Times New Roman" w:cs="Times New Roman"/>
                <w:color w:val="auto"/>
                <w:kern w:val="0"/>
                <w:szCs w:val="21"/>
                <w:highlight w:val="none"/>
              </w:rPr>
              <w:t>分。需提供制造厂商出具的售后服务承诺书（原件）（若投标文件中出现前后不一致的情况，以最低免费质保期作为评分依据）。</w:t>
            </w:r>
          </w:p>
        </w:tc>
        <w:tc>
          <w:tcPr>
            <w:tcW w:w="690" w:type="dxa"/>
            <w:vAlign w:val="center"/>
          </w:tcPr>
          <w:p w14:paraId="3A0C03ED">
            <w:pPr>
              <w:autoSpaceDE w:val="0"/>
              <w:autoSpaceDN w:val="0"/>
              <w:adjustRightInd w:val="0"/>
              <w:spacing w:line="360" w:lineRule="auto"/>
              <w:jc w:val="center"/>
              <w:rPr>
                <w:rFonts w:hint="eastAsia" w:ascii="Times New Roman" w:hAnsi="Times New Roman" w:eastAsia="宋体" w:cs="Times New Roman"/>
                <w:color w:val="auto"/>
                <w:kern w:val="0"/>
                <w:szCs w:val="21"/>
                <w:highlight w:val="none"/>
                <w:lang w:eastAsia="zh-CN"/>
              </w:rPr>
            </w:pPr>
            <w:r>
              <w:rPr>
                <w:rFonts w:hint="eastAsia" w:cs="Times New Roman"/>
                <w:color w:val="auto"/>
                <w:kern w:val="0"/>
                <w:szCs w:val="21"/>
                <w:highlight w:val="none"/>
                <w:lang w:val="en-US" w:eastAsia="zh-CN"/>
              </w:rPr>
              <w:t>2</w:t>
            </w:r>
          </w:p>
        </w:tc>
      </w:tr>
      <w:tr w14:paraId="71C7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70" w:type="dxa"/>
            <w:vAlign w:val="center"/>
          </w:tcPr>
          <w:p w14:paraId="20FFA6EB">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4</w:t>
            </w:r>
          </w:p>
        </w:tc>
        <w:tc>
          <w:tcPr>
            <w:tcW w:w="1113" w:type="dxa"/>
            <w:vMerge w:val="continue"/>
            <w:vAlign w:val="center"/>
          </w:tcPr>
          <w:p w14:paraId="20A4306C">
            <w:pPr>
              <w:spacing w:line="440" w:lineRule="exact"/>
              <w:jc w:val="center"/>
              <w:rPr>
                <w:rFonts w:hint="default" w:ascii="Times New Roman" w:hAnsi="Times New Roman" w:cs="Times New Roman"/>
                <w:b/>
                <w:color w:val="auto"/>
                <w:szCs w:val="21"/>
                <w:highlight w:val="none"/>
              </w:rPr>
            </w:pPr>
          </w:p>
        </w:tc>
        <w:tc>
          <w:tcPr>
            <w:tcW w:w="850" w:type="dxa"/>
            <w:vAlign w:val="center"/>
          </w:tcPr>
          <w:p w14:paraId="44CD33A9">
            <w:pPr>
              <w:spacing w:line="440" w:lineRule="exac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业绩</w:t>
            </w:r>
          </w:p>
        </w:tc>
        <w:tc>
          <w:tcPr>
            <w:tcW w:w="8104" w:type="dxa"/>
            <w:vAlign w:val="center"/>
          </w:tcPr>
          <w:p w14:paraId="57A1C63D">
            <w:pPr>
              <w:spacing w:line="440" w:lineRule="exact"/>
              <w:rPr>
                <w:rFonts w:hint="default" w:ascii="Times New Roman" w:hAnsi="Times New Roman" w:cs="Times New Roman"/>
                <w:color w:val="auto"/>
                <w:highlight w:val="none"/>
              </w:rPr>
            </w:pPr>
            <w:r>
              <w:rPr>
                <w:rFonts w:hint="default" w:ascii="Times New Roman" w:hAnsi="Times New Roman" w:cs="Times New Roman"/>
                <w:color w:val="auto"/>
                <w:kern w:val="0"/>
                <w:szCs w:val="21"/>
                <w:highlight w:val="none"/>
              </w:rPr>
              <w:t>202</w:t>
            </w:r>
            <w:r>
              <w:rPr>
                <w:rFonts w:hint="eastAsia" w:ascii="Times New Roman" w:hAnsi="Times New Roman" w:cs="Times New Roman"/>
                <w:color w:val="auto"/>
                <w:kern w:val="0"/>
                <w:szCs w:val="21"/>
                <w:highlight w:val="none"/>
                <w:lang w:val="en-US" w:eastAsia="zh-CN"/>
              </w:rPr>
              <w:t>1</w:t>
            </w:r>
            <w:r>
              <w:rPr>
                <w:rFonts w:hint="default" w:ascii="Times New Roman" w:hAnsi="Times New Roman" w:cs="Times New Roman"/>
                <w:color w:val="auto"/>
                <w:highlight w:val="none"/>
              </w:rPr>
              <w:t>年</w:t>
            </w:r>
            <w:r>
              <w:rPr>
                <w:rFonts w:hint="default" w:ascii="Times New Roman" w:hAnsi="Times New Roman" w:cs="Times New Roman"/>
                <w:color w:val="auto"/>
                <w:kern w:val="0"/>
                <w:szCs w:val="21"/>
                <w:highlight w:val="none"/>
              </w:rPr>
              <w:t>1</w:t>
            </w:r>
            <w:r>
              <w:rPr>
                <w:rFonts w:hint="default" w:ascii="Times New Roman" w:hAnsi="Times New Roman" w:cs="Times New Roman"/>
                <w:color w:val="auto"/>
                <w:highlight w:val="none"/>
              </w:rPr>
              <w:t>月</w:t>
            </w:r>
            <w:r>
              <w:rPr>
                <w:rFonts w:hint="default" w:ascii="Times New Roman" w:hAnsi="Times New Roman" w:cs="Times New Roman"/>
                <w:color w:val="auto"/>
                <w:kern w:val="0"/>
                <w:szCs w:val="21"/>
                <w:highlight w:val="none"/>
              </w:rPr>
              <w:t>1</w:t>
            </w:r>
            <w:r>
              <w:rPr>
                <w:rFonts w:hint="default" w:ascii="Times New Roman" w:hAnsi="Times New Roman" w:cs="Times New Roman"/>
                <w:color w:val="auto"/>
                <w:highlight w:val="none"/>
              </w:rPr>
              <w:t>日至今投标人或制造商有过类似项目成功案例（成功案例中的产品须与所投产品一致）（提供合同复印件，以合同签订时间为准，原件备查），提供一个得</w:t>
            </w:r>
            <w:r>
              <w:rPr>
                <w:rFonts w:hint="eastAsia" w:cs="Times New Roman"/>
                <w:color w:val="auto"/>
                <w:highlight w:val="none"/>
                <w:lang w:val="en-US" w:eastAsia="zh-CN"/>
              </w:rPr>
              <w:t>2</w:t>
            </w:r>
            <w:r>
              <w:rPr>
                <w:rFonts w:hint="default" w:ascii="Times New Roman" w:hAnsi="Times New Roman" w:cs="Times New Roman"/>
                <w:color w:val="auto"/>
                <w:highlight w:val="none"/>
              </w:rPr>
              <w:t>分，最高</w:t>
            </w:r>
            <w:r>
              <w:rPr>
                <w:rFonts w:hint="eastAsia" w:cs="Times New Roman"/>
                <w:color w:val="auto"/>
                <w:highlight w:val="none"/>
                <w:lang w:val="en-US" w:eastAsia="zh-CN"/>
              </w:rPr>
              <w:t>8</w:t>
            </w:r>
            <w:r>
              <w:rPr>
                <w:rFonts w:hint="default" w:ascii="Times New Roman" w:hAnsi="Times New Roman" w:cs="Times New Roman"/>
                <w:color w:val="auto"/>
                <w:highlight w:val="none"/>
              </w:rPr>
              <w:t>分。</w:t>
            </w:r>
          </w:p>
        </w:tc>
        <w:tc>
          <w:tcPr>
            <w:tcW w:w="690" w:type="dxa"/>
            <w:vAlign w:val="center"/>
          </w:tcPr>
          <w:p w14:paraId="3D0C2A33">
            <w:pPr>
              <w:widowControl/>
              <w:spacing w:line="360" w:lineRule="auto"/>
              <w:jc w:val="center"/>
              <w:rPr>
                <w:rFonts w:hint="default" w:ascii="Times New Roman" w:hAnsi="Times New Roman" w:cs="Times New Roman"/>
                <w:color w:val="auto"/>
                <w:szCs w:val="21"/>
                <w:highlight w:val="none"/>
              </w:rPr>
            </w:pPr>
            <w:r>
              <w:rPr>
                <w:rFonts w:hint="eastAsia" w:cs="Times New Roman"/>
                <w:color w:val="auto"/>
                <w:kern w:val="0"/>
                <w:szCs w:val="21"/>
                <w:highlight w:val="none"/>
                <w:lang w:val="en-US" w:eastAsia="zh-CN"/>
              </w:rPr>
              <w:t>8</w:t>
            </w:r>
          </w:p>
        </w:tc>
      </w:tr>
      <w:tr w14:paraId="307F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70" w:type="dxa"/>
            <w:vAlign w:val="center"/>
          </w:tcPr>
          <w:p w14:paraId="3627AF66">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5</w:t>
            </w:r>
          </w:p>
        </w:tc>
        <w:tc>
          <w:tcPr>
            <w:tcW w:w="1113" w:type="dxa"/>
            <w:vMerge w:val="continue"/>
            <w:vAlign w:val="center"/>
          </w:tcPr>
          <w:p w14:paraId="0B6F55A9">
            <w:pPr>
              <w:spacing w:line="440" w:lineRule="exact"/>
              <w:jc w:val="center"/>
              <w:rPr>
                <w:rFonts w:hint="default" w:ascii="Times New Roman" w:hAnsi="Times New Roman" w:cs="Times New Roman"/>
                <w:b/>
                <w:color w:val="auto"/>
                <w:szCs w:val="21"/>
                <w:highlight w:val="none"/>
              </w:rPr>
            </w:pPr>
          </w:p>
        </w:tc>
        <w:tc>
          <w:tcPr>
            <w:tcW w:w="850" w:type="dxa"/>
            <w:vAlign w:val="center"/>
          </w:tcPr>
          <w:p w14:paraId="5FDE4678">
            <w:pPr>
              <w:spacing w:line="440" w:lineRule="exact"/>
              <w:jc w:val="center"/>
              <w:rPr>
                <w:rFonts w:hint="default" w:ascii="Times New Roman" w:hAnsi="Times New Roman" w:cs="Times New Roman"/>
                <w:color w:val="auto"/>
                <w:kern w:val="0"/>
                <w:szCs w:val="21"/>
                <w:highlight w:val="none"/>
              </w:rPr>
            </w:pPr>
            <w:r>
              <w:rPr>
                <w:rFonts w:hint="default" w:ascii="Times New Roman" w:hAnsi="Times New Roman" w:cs="Times New Roman"/>
                <w:b/>
                <w:color w:val="auto"/>
                <w:szCs w:val="21"/>
                <w:highlight w:val="none"/>
              </w:rPr>
              <w:t>国家政策导向</w:t>
            </w:r>
          </w:p>
        </w:tc>
        <w:tc>
          <w:tcPr>
            <w:tcW w:w="8104" w:type="dxa"/>
            <w:vAlign w:val="center"/>
          </w:tcPr>
          <w:p w14:paraId="09F05DE6">
            <w:pPr>
              <w:spacing w:line="440" w:lineRule="exac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1、投标产品属于财政部、生态环境部公布的《环境标志产品政府采购品目清单》内的产品且具有国家确定的认证机构出具的、处于有效期之内的环境标志产品认证证书的，每有一类产品加</w:t>
            </w:r>
            <w:r>
              <w:rPr>
                <w:rFonts w:hint="eastAsia" w:cs="Times New Roman"/>
                <w:color w:val="auto"/>
                <w:kern w:val="0"/>
                <w:szCs w:val="21"/>
                <w:highlight w:val="none"/>
                <w:lang w:val="en-US" w:eastAsia="zh-CN"/>
              </w:rPr>
              <w:t>0.5</w:t>
            </w:r>
            <w:r>
              <w:rPr>
                <w:rFonts w:hint="default" w:ascii="Times New Roman" w:hAnsi="Times New Roman" w:cs="Times New Roman"/>
                <w:color w:val="auto"/>
                <w:kern w:val="0"/>
                <w:szCs w:val="21"/>
                <w:highlight w:val="none"/>
              </w:rPr>
              <w:t>分，最高得</w:t>
            </w:r>
            <w:r>
              <w:rPr>
                <w:rFonts w:hint="eastAsia" w:cs="Times New Roman"/>
                <w:color w:val="auto"/>
                <w:kern w:val="0"/>
                <w:szCs w:val="21"/>
                <w:highlight w:val="none"/>
                <w:lang w:val="en-US" w:eastAsia="zh-CN"/>
              </w:rPr>
              <w:t>0.5</w:t>
            </w:r>
            <w:r>
              <w:rPr>
                <w:rFonts w:hint="default" w:ascii="Times New Roman" w:hAnsi="Times New Roman" w:cs="Times New Roman"/>
                <w:color w:val="auto"/>
                <w:kern w:val="0"/>
                <w:szCs w:val="21"/>
                <w:highlight w:val="none"/>
              </w:rPr>
              <w:t>分。提供认证证书复印件，否则不得分。</w:t>
            </w:r>
          </w:p>
          <w:p w14:paraId="28CF7763">
            <w:pPr>
              <w:spacing w:line="440" w:lineRule="exac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2、投标产品属于财政部、发展改革委公布的《节能产品政府采购品目清单》内的产品且具有国家确定的认证机构出具的、处于有效期之内的环境标志产品认证证书的，每有一类产品加</w:t>
            </w:r>
            <w:r>
              <w:rPr>
                <w:rFonts w:hint="eastAsia" w:cs="Times New Roman"/>
                <w:color w:val="auto"/>
                <w:kern w:val="0"/>
                <w:szCs w:val="21"/>
                <w:highlight w:val="none"/>
                <w:lang w:val="en-US" w:eastAsia="zh-CN"/>
              </w:rPr>
              <w:t>0.5</w:t>
            </w:r>
            <w:r>
              <w:rPr>
                <w:rFonts w:hint="default" w:ascii="Times New Roman" w:hAnsi="Times New Roman" w:cs="Times New Roman"/>
                <w:color w:val="auto"/>
                <w:kern w:val="0"/>
                <w:szCs w:val="21"/>
                <w:highlight w:val="none"/>
              </w:rPr>
              <w:t>分，最高得</w:t>
            </w:r>
            <w:r>
              <w:rPr>
                <w:rFonts w:hint="eastAsia" w:cs="Times New Roman"/>
                <w:color w:val="auto"/>
                <w:kern w:val="0"/>
                <w:szCs w:val="21"/>
                <w:highlight w:val="none"/>
                <w:lang w:val="en-US" w:eastAsia="zh-CN"/>
              </w:rPr>
              <w:t>0.5</w:t>
            </w:r>
            <w:r>
              <w:rPr>
                <w:rFonts w:hint="default" w:ascii="Times New Roman" w:hAnsi="Times New Roman" w:cs="Times New Roman"/>
                <w:color w:val="auto"/>
                <w:kern w:val="0"/>
                <w:szCs w:val="21"/>
                <w:highlight w:val="none"/>
              </w:rPr>
              <w:t>分。提供认证证书复印件，否则不得分。</w:t>
            </w:r>
          </w:p>
        </w:tc>
        <w:tc>
          <w:tcPr>
            <w:tcW w:w="690" w:type="dxa"/>
            <w:vAlign w:val="center"/>
          </w:tcPr>
          <w:p w14:paraId="570C1F3E">
            <w:pPr>
              <w:widowControl/>
              <w:spacing w:line="360" w:lineRule="auto"/>
              <w:jc w:val="center"/>
              <w:rPr>
                <w:rFonts w:hint="default" w:ascii="Times New Roman" w:hAnsi="Times New Roman" w:cs="Times New Roman"/>
                <w:color w:val="auto"/>
                <w:szCs w:val="21"/>
                <w:highlight w:val="none"/>
              </w:rPr>
            </w:pPr>
            <w:r>
              <w:rPr>
                <w:rFonts w:hint="eastAsia" w:cs="Times New Roman"/>
                <w:color w:val="auto"/>
                <w:kern w:val="0"/>
                <w:szCs w:val="21"/>
                <w:highlight w:val="none"/>
                <w:lang w:val="en-US" w:eastAsia="zh-CN"/>
              </w:rPr>
              <w:t>1</w:t>
            </w:r>
          </w:p>
        </w:tc>
      </w:tr>
      <w:bookmarkEnd w:id="212"/>
    </w:tbl>
    <w:p w14:paraId="0CFB6BC9">
      <w:pPr>
        <w:widowControl/>
        <w:spacing w:line="360" w:lineRule="auto"/>
        <w:jc w:val="left"/>
        <w:rPr>
          <w:rFonts w:hint="default" w:ascii="Times New Roman" w:hAnsi="Times New Roman" w:cs="Times New Roman"/>
          <w:b/>
          <w:bCs/>
          <w:color w:val="auto"/>
          <w:kern w:val="0"/>
          <w:szCs w:val="21"/>
          <w:highlight w:val="none"/>
        </w:rPr>
      </w:pPr>
      <w:r>
        <w:rPr>
          <w:rFonts w:hint="default" w:ascii="Times New Roman" w:hAnsi="Times New Roman" w:cs="Times New Roman"/>
          <w:b/>
          <w:bCs/>
          <w:color w:val="auto"/>
          <w:kern w:val="0"/>
          <w:szCs w:val="21"/>
          <w:highlight w:val="none"/>
        </w:rPr>
        <w:t>注：</w:t>
      </w:r>
      <w:r>
        <w:rPr>
          <w:rFonts w:hint="default" w:ascii="Times New Roman" w:hAnsi="Times New Roman" w:cs="Times New Roman"/>
          <w:b/>
          <w:color w:val="auto"/>
          <w:highlight w:val="none"/>
        </w:rPr>
        <w:t>评审标准中涉及的</w:t>
      </w:r>
      <w:r>
        <w:rPr>
          <w:rFonts w:hint="default" w:ascii="Times New Roman" w:hAnsi="Times New Roman" w:cs="Times New Roman"/>
          <w:b/>
          <w:bCs/>
          <w:color w:val="auto"/>
          <w:kern w:val="0"/>
          <w:szCs w:val="21"/>
          <w:highlight w:val="none"/>
        </w:rPr>
        <w:t>证明材料均需附入投标文件内（复印件加盖公章）</w:t>
      </w:r>
      <w:r>
        <w:rPr>
          <w:rFonts w:hint="default" w:ascii="Times New Roman" w:hAnsi="Times New Roman" w:cs="Times New Roman"/>
          <w:b/>
          <w:color w:val="auto"/>
          <w:highlight w:val="none"/>
        </w:rPr>
        <w:t>。</w:t>
      </w:r>
    </w:p>
    <w:p w14:paraId="323118F8">
      <w:pPr>
        <w:pStyle w:val="19"/>
        <w:spacing w:line="360" w:lineRule="auto"/>
        <w:rPr>
          <w:rFonts w:hint="default" w:ascii="Times New Roman" w:hAnsi="Times New Roman" w:cs="Times New Roman"/>
          <w:b/>
          <w:bCs/>
          <w:color w:val="auto"/>
          <w:kern w:val="0"/>
          <w:sz w:val="21"/>
          <w:szCs w:val="21"/>
          <w:highlight w:val="none"/>
        </w:rPr>
        <w:sectPr>
          <w:footerReference r:id="rId10" w:type="first"/>
          <w:footerReference r:id="rId9" w:type="default"/>
          <w:pgSz w:w="11906" w:h="16838"/>
          <w:pgMar w:top="1134" w:right="1134" w:bottom="1134" w:left="1134" w:header="851" w:footer="992" w:gutter="0"/>
          <w:cols w:space="720" w:num="1"/>
          <w:titlePg/>
          <w:docGrid w:type="lines" w:linePitch="312" w:charSpace="0"/>
        </w:sectPr>
      </w:pPr>
    </w:p>
    <w:p w14:paraId="1E5B2F0E">
      <w:pPr>
        <w:spacing w:line="360" w:lineRule="auto"/>
        <w:jc w:val="center"/>
        <w:outlineLvl w:val="0"/>
        <w:rPr>
          <w:rFonts w:hint="default" w:ascii="Times New Roman" w:hAnsi="Times New Roman" w:cs="Times New Roman"/>
          <w:b/>
          <w:color w:val="auto"/>
          <w:sz w:val="28"/>
          <w:szCs w:val="28"/>
          <w:highlight w:val="none"/>
        </w:rPr>
      </w:pPr>
      <w:bookmarkStart w:id="215" w:name="_Toc17249"/>
      <w:r>
        <w:rPr>
          <w:rFonts w:hint="default" w:ascii="Times New Roman" w:hAnsi="Times New Roman" w:cs="Times New Roman"/>
          <w:b/>
          <w:color w:val="auto"/>
          <w:sz w:val="28"/>
          <w:szCs w:val="28"/>
          <w:highlight w:val="none"/>
        </w:rPr>
        <w:t>第四章 招标</w:t>
      </w:r>
      <w:bookmarkEnd w:id="213"/>
      <w:bookmarkEnd w:id="214"/>
      <w:r>
        <w:rPr>
          <w:rFonts w:hint="default" w:ascii="Times New Roman" w:hAnsi="Times New Roman" w:cs="Times New Roman"/>
          <w:b/>
          <w:color w:val="auto"/>
          <w:sz w:val="28"/>
          <w:szCs w:val="28"/>
          <w:highlight w:val="none"/>
        </w:rPr>
        <w:t>技术规格及要求</w:t>
      </w:r>
      <w:bookmarkEnd w:id="215"/>
    </w:p>
    <w:p w14:paraId="2178B243">
      <w:pPr>
        <w:spacing w:line="400" w:lineRule="exact"/>
        <w:rPr>
          <w:rFonts w:hint="default" w:ascii="Times New Roman" w:hAnsi="Times New Roman" w:cs="Times New Roman"/>
          <w:b/>
          <w:color w:val="auto"/>
          <w:kern w:val="0"/>
          <w:szCs w:val="21"/>
          <w:highlight w:val="none"/>
          <w:lang w:bidi="ar"/>
        </w:rPr>
      </w:pPr>
      <w:r>
        <w:rPr>
          <w:rFonts w:hint="default" w:ascii="Times New Roman" w:hAnsi="Times New Roman" w:cs="Times New Roman"/>
          <w:b/>
          <w:bCs/>
          <w:color w:val="auto"/>
          <w:szCs w:val="21"/>
          <w:highlight w:val="none"/>
        </w:rPr>
        <w:t>一、招标项目简要说明</w:t>
      </w:r>
    </w:p>
    <w:tbl>
      <w:tblPr>
        <w:tblStyle w:val="47"/>
        <w:tblW w:w="51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
        <w:gridCol w:w="1314"/>
        <w:gridCol w:w="626"/>
        <w:gridCol w:w="1352"/>
        <w:gridCol w:w="1663"/>
        <w:gridCol w:w="3573"/>
        <w:gridCol w:w="1056"/>
      </w:tblGrid>
      <w:tr w14:paraId="6AD7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 w:type="pct"/>
            <w:vAlign w:val="center"/>
          </w:tcPr>
          <w:p w14:paraId="4C4506C6">
            <w:pPr>
              <w:jc w:val="center"/>
              <w:rPr>
                <w:b/>
                <w:bCs/>
                <w:color w:val="auto"/>
                <w:szCs w:val="21"/>
                <w:highlight w:val="none"/>
              </w:rPr>
            </w:pPr>
            <w:r>
              <w:rPr>
                <w:b/>
                <w:bCs/>
                <w:color w:val="auto"/>
                <w:szCs w:val="21"/>
                <w:highlight w:val="none"/>
              </w:rPr>
              <w:t>包号</w:t>
            </w:r>
          </w:p>
        </w:tc>
        <w:tc>
          <w:tcPr>
            <w:tcW w:w="651" w:type="pct"/>
            <w:vAlign w:val="center"/>
          </w:tcPr>
          <w:p w14:paraId="68899044">
            <w:pPr>
              <w:jc w:val="center"/>
              <w:rPr>
                <w:b/>
                <w:bCs/>
                <w:color w:val="auto"/>
                <w:szCs w:val="21"/>
                <w:highlight w:val="none"/>
              </w:rPr>
            </w:pPr>
            <w:r>
              <w:rPr>
                <w:b/>
                <w:bCs/>
                <w:color w:val="auto"/>
                <w:szCs w:val="21"/>
                <w:highlight w:val="none"/>
              </w:rPr>
              <w:t>产品名称</w:t>
            </w:r>
          </w:p>
        </w:tc>
        <w:tc>
          <w:tcPr>
            <w:tcW w:w="310" w:type="pct"/>
            <w:vAlign w:val="center"/>
          </w:tcPr>
          <w:p w14:paraId="52D6C0AF">
            <w:pPr>
              <w:jc w:val="center"/>
              <w:rPr>
                <w:b/>
                <w:bCs/>
                <w:color w:val="auto"/>
                <w:szCs w:val="21"/>
                <w:highlight w:val="none"/>
              </w:rPr>
            </w:pPr>
            <w:r>
              <w:rPr>
                <w:b/>
                <w:bCs/>
                <w:color w:val="auto"/>
                <w:szCs w:val="21"/>
                <w:highlight w:val="none"/>
              </w:rPr>
              <w:t>数量</w:t>
            </w:r>
          </w:p>
        </w:tc>
        <w:tc>
          <w:tcPr>
            <w:tcW w:w="670" w:type="pct"/>
            <w:vAlign w:val="center"/>
          </w:tcPr>
          <w:p w14:paraId="6CED04AE">
            <w:pPr>
              <w:jc w:val="center"/>
              <w:rPr>
                <w:b/>
                <w:bCs/>
                <w:color w:val="auto"/>
                <w:szCs w:val="21"/>
                <w:highlight w:val="none"/>
              </w:rPr>
            </w:pPr>
            <w:r>
              <w:rPr>
                <w:b/>
                <w:bCs/>
                <w:color w:val="auto"/>
                <w:szCs w:val="21"/>
                <w:highlight w:val="none"/>
              </w:rPr>
              <w:t>是否接受进口</w:t>
            </w:r>
            <w:r>
              <w:rPr>
                <w:rFonts w:hint="eastAsia"/>
                <w:b/>
                <w:bCs/>
                <w:color w:val="auto"/>
                <w:szCs w:val="21"/>
                <w:highlight w:val="none"/>
              </w:rPr>
              <w:t>（</w:t>
            </w:r>
            <w:r>
              <w:rPr>
                <w:b/>
                <w:bCs/>
                <w:color w:val="auto"/>
                <w:szCs w:val="21"/>
                <w:highlight w:val="none"/>
              </w:rPr>
              <w:t>是/否</w:t>
            </w:r>
            <w:r>
              <w:rPr>
                <w:rFonts w:hint="eastAsia"/>
                <w:b/>
                <w:bCs/>
                <w:color w:val="auto"/>
                <w:szCs w:val="21"/>
                <w:highlight w:val="none"/>
              </w:rPr>
              <w:t>）</w:t>
            </w:r>
          </w:p>
        </w:tc>
        <w:tc>
          <w:tcPr>
            <w:tcW w:w="824" w:type="pct"/>
            <w:vAlign w:val="center"/>
          </w:tcPr>
          <w:p w14:paraId="476BF0D4">
            <w:pPr>
              <w:jc w:val="center"/>
              <w:rPr>
                <w:b/>
                <w:bCs/>
                <w:color w:val="auto"/>
                <w:szCs w:val="21"/>
                <w:highlight w:val="none"/>
              </w:rPr>
            </w:pPr>
            <w:r>
              <w:rPr>
                <w:b/>
                <w:bCs/>
                <w:color w:val="auto"/>
                <w:szCs w:val="21"/>
                <w:highlight w:val="none"/>
              </w:rPr>
              <w:t>预算金额</w:t>
            </w:r>
          </w:p>
          <w:p w14:paraId="0E1D8686">
            <w:pPr>
              <w:jc w:val="center"/>
              <w:rPr>
                <w:b/>
                <w:bCs/>
                <w:color w:val="auto"/>
                <w:szCs w:val="21"/>
                <w:highlight w:val="none"/>
              </w:rPr>
            </w:pPr>
            <w:r>
              <w:rPr>
                <w:b/>
                <w:bCs/>
                <w:color w:val="auto"/>
                <w:szCs w:val="21"/>
                <w:highlight w:val="none"/>
              </w:rPr>
              <w:t>（万元/人民币）</w:t>
            </w:r>
          </w:p>
        </w:tc>
        <w:tc>
          <w:tcPr>
            <w:tcW w:w="1770" w:type="pct"/>
            <w:vAlign w:val="center"/>
          </w:tcPr>
          <w:p w14:paraId="124BDD38">
            <w:pPr>
              <w:jc w:val="center"/>
              <w:rPr>
                <w:b/>
                <w:bCs/>
                <w:color w:val="auto"/>
                <w:szCs w:val="21"/>
                <w:highlight w:val="none"/>
              </w:rPr>
            </w:pPr>
            <w:r>
              <w:rPr>
                <w:b/>
                <w:bCs/>
                <w:color w:val="auto"/>
                <w:szCs w:val="21"/>
                <w:highlight w:val="none"/>
              </w:rPr>
              <w:t>★合同履行期限（交货期）</w:t>
            </w:r>
          </w:p>
        </w:tc>
        <w:tc>
          <w:tcPr>
            <w:tcW w:w="523" w:type="pct"/>
            <w:vAlign w:val="center"/>
          </w:tcPr>
          <w:p w14:paraId="34C4A014">
            <w:pPr>
              <w:jc w:val="center"/>
              <w:rPr>
                <w:b/>
                <w:bCs/>
                <w:color w:val="auto"/>
                <w:szCs w:val="21"/>
                <w:highlight w:val="none"/>
              </w:rPr>
            </w:pPr>
            <w:r>
              <w:rPr>
                <w:b/>
                <w:bCs/>
                <w:color w:val="auto"/>
                <w:kern w:val="0"/>
                <w:szCs w:val="21"/>
                <w:highlight w:val="none"/>
              </w:rPr>
              <w:t>免费质保期</w:t>
            </w:r>
          </w:p>
        </w:tc>
      </w:tr>
      <w:tr w14:paraId="3217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250" w:type="pct"/>
            <w:vAlign w:val="center"/>
          </w:tcPr>
          <w:p w14:paraId="4B5588DF">
            <w:pPr>
              <w:spacing w:line="360" w:lineRule="auto"/>
              <w:jc w:val="center"/>
              <w:rPr>
                <w:color w:val="auto"/>
                <w:szCs w:val="21"/>
                <w:highlight w:val="none"/>
              </w:rPr>
            </w:pPr>
            <w:r>
              <w:rPr>
                <w:rFonts w:hint="eastAsia"/>
                <w:color w:val="auto"/>
                <w:szCs w:val="21"/>
                <w:highlight w:val="none"/>
              </w:rPr>
              <w:t>1</w:t>
            </w:r>
          </w:p>
        </w:tc>
        <w:tc>
          <w:tcPr>
            <w:tcW w:w="651" w:type="pct"/>
            <w:vAlign w:val="center"/>
          </w:tcPr>
          <w:p w14:paraId="1AED1CE5">
            <w:pPr>
              <w:spacing w:line="360" w:lineRule="auto"/>
              <w:jc w:val="center"/>
              <w:rPr>
                <w:color w:val="auto"/>
                <w:szCs w:val="21"/>
                <w:highlight w:val="none"/>
              </w:rPr>
            </w:pPr>
            <w:r>
              <w:rPr>
                <w:rFonts w:hint="eastAsia"/>
                <w:color w:val="auto"/>
                <w:szCs w:val="21"/>
                <w:highlight w:val="none"/>
                <w:lang w:val="en-US" w:eastAsia="zh-CN"/>
              </w:rPr>
              <w:t>空气净化消毒器</w:t>
            </w:r>
          </w:p>
        </w:tc>
        <w:tc>
          <w:tcPr>
            <w:tcW w:w="310" w:type="pct"/>
            <w:vAlign w:val="center"/>
          </w:tcPr>
          <w:p w14:paraId="1FD23FE6">
            <w:pPr>
              <w:spacing w:line="360" w:lineRule="auto"/>
              <w:jc w:val="center"/>
              <w:rPr>
                <w:color w:val="auto"/>
                <w:szCs w:val="21"/>
                <w:highlight w:val="none"/>
              </w:rPr>
            </w:pPr>
            <w:r>
              <w:rPr>
                <w:rFonts w:hint="eastAsia"/>
                <w:color w:val="auto"/>
                <w:szCs w:val="21"/>
                <w:highlight w:val="none"/>
              </w:rPr>
              <w:t>1</w:t>
            </w:r>
            <w:r>
              <w:rPr>
                <w:rFonts w:hint="eastAsia"/>
                <w:color w:val="auto"/>
                <w:szCs w:val="21"/>
                <w:highlight w:val="none"/>
                <w:lang w:val="en-US" w:eastAsia="zh-CN"/>
              </w:rPr>
              <w:t>5套</w:t>
            </w:r>
          </w:p>
        </w:tc>
        <w:tc>
          <w:tcPr>
            <w:tcW w:w="670" w:type="pct"/>
            <w:vAlign w:val="center"/>
          </w:tcPr>
          <w:p w14:paraId="2ABE6510">
            <w:pPr>
              <w:spacing w:line="360" w:lineRule="auto"/>
              <w:jc w:val="center"/>
              <w:rPr>
                <w:rFonts w:hint="eastAsia" w:eastAsia="宋体"/>
                <w:color w:val="auto"/>
                <w:szCs w:val="21"/>
                <w:highlight w:val="none"/>
                <w:lang w:eastAsia="zh-CN"/>
              </w:rPr>
            </w:pPr>
            <w:r>
              <w:rPr>
                <w:rFonts w:hint="eastAsia"/>
                <w:color w:val="auto"/>
                <w:szCs w:val="21"/>
                <w:highlight w:val="none"/>
                <w:lang w:val="en-US" w:eastAsia="zh-CN"/>
              </w:rPr>
              <w:t>否</w:t>
            </w:r>
          </w:p>
        </w:tc>
        <w:tc>
          <w:tcPr>
            <w:tcW w:w="824" w:type="pct"/>
            <w:vAlign w:val="center"/>
          </w:tcPr>
          <w:p w14:paraId="3E3A4DE4">
            <w:pPr>
              <w:spacing w:line="360" w:lineRule="auto"/>
              <w:jc w:val="center"/>
              <w:rPr>
                <w:color w:val="auto"/>
                <w:szCs w:val="21"/>
                <w:highlight w:val="none"/>
              </w:rPr>
            </w:pPr>
            <w:r>
              <w:rPr>
                <w:rFonts w:hint="eastAsia"/>
                <w:color w:val="auto"/>
                <w:szCs w:val="21"/>
                <w:highlight w:val="none"/>
                <w:lang w:val="en-US" w:eastAsia="zh-CN"/>
              </w:rPr>
              <w:t>24.00</w:t>
            </w:r>
          </w:p>
        </w:tc>
        <w:tc>
          <w:tcPr>
            <w:tcW w:w="1770" w:type="pct"/>
            <w:vAlign w:val="center"/>
          </w:tcPr>
          <w:p w14:paraId="4AB62508">
            <w:pPr>
              <w:spacing w:line="360" w:lineRule="auto"/>
              <w:rPr>
                <w:rFonts w:hint="eastAsia"/>
                <w:color w:val="auto"/>
                <w:szCs w:val="21"/>
                <w:highlight w:val="none"/>
              </w:rPr>
            </w:pPr>
            <w:r>
              <w:rPr>
                <w:color w:val="auto"/>
                <w:szCs w:val="21"/>
                <w:highlight w:val="none"/>
              </w:rPr>
              <w:t>合同签订后30日内完成供货及安装调试，并具备验收条件。</w:t>
            </w:r>
          </w:p>
        </w:tc>
        <w:tc>
          <w:tcPr>
            <w:tcW w:w="523" w:type="pct"/>
            <w:vAlign w:val="center"/>
          </w:tcPr>
          <w:p w14:paraId="215DAAE9">
            <w:pPr>
              <w:spacing w:line="360" w:lineRule="auto"/>
              <w:jc w:val="center"/>
              <w:rPr>
                <w:rFonts w:hint="eastAsia"/>
                <w:color w:val="auto"/>
                <w:szCs w:val="21"/>
                <w:highlight w:val="none"/>
              </w:rPr>
            </w:pPr>
            <w:r>
              <w:rPr>
                <w:rFonts w:hint="eastAsia" w:cs="Times New Roman"/>
                <w:b w:val="0"/>
                <w:bCs/>
                <w:color w:val="auto"/>
                <w:kern w:val="2"/>
                <w:sz w:val="21"/>
                <w:szCs w:val="21"/>
                <w:highlight w:val="none"/>
                <w:lang w:val="en-US" w:eastAsia="zh-CN" w:bidi="ar-SA"/>
              </w:rPr>
              <w:t>5年</w:t>
            </w:r>
          </w:p>
        </w:tc>
      </w:tr>
    </w:tbl>
    <w:p w14:paraId="49E5272D">
      <w:pPr>
        <w:spacing w:line="360" w:lineRule="auto"/>
        <w:rPr>
          <w:rFonts w:hint="default" w:ascii="Times New Roman" w:hAnsi="Times New Roman" w:cs="Times New Roman"/>
          <w:b/>
          <w:bCs/>
          <w:color w:val="auto"/>
          <w:szCs w:val="21"/>
          <w:highlight w:val="none"/>
          <w:lang w:bidi="ar"/>
        </w:rPr>
      </w:pPr>
      <w:r>
        <w:rPr>
          <w:rFonts w:hint="default" w:ascii="Times New Roman" w:hAnsi="Times New Roman" w:cs="Times New Roman"/>
          <w:b/>
          <w:color w:val="auto"/>
          <w:kern w:val="0"/>
          <w:szCs w:val="21"/>
          <w:highlight w:val="none"/>
          <w:lang w:bidi="ar"/>
        </w:rPr>
        <w:t>注：</w:t>
      </w:r>
      <w:r>
        <w:rPr>
          <w:rFonts w:hint="default" w:ascii="Times New Roman" w:hAnsi="Times New Roman" w:cs="Times New Roman"/>
          <w:b/>
          <w:bCs/>
          <w:color w:val="auto"/>
          <w:szCs w:val="21"/>
          <w:highlight w:val="none"/>
          <w:lang w:bidi="ar"/>
        </w:rPr>
        <w:t>1.供应商所投的报价不得超过预算金额，否则将作无效投标处理。</w:t>
      </w:r>
    </w:p>
    <w:p w14:paraId="38F88B8C">
      <w:pPr>
        <w:spacing w:line="360" w:lineRule="auto"/>
        <w:ind w:firstLine="422" w:firstLineChars="200"/>
        <w:rPr>
          <w:rFonts w:hint="default" w:ascii="Times New Roman" w:hAnsi="Times New Roman" w:cs="Times New Roman"/>
          <w:color w:val="auto"/>
          <w:highlight w:val="none"/>
        </w:rPr>
      </w:pPr>
      <w:r>
        <w:rPr>
          <w:rFonts w:hint="default" w:ascii="Times New Roman" w:hAnsi="Times New Roman" w:cs="Times New Roman"/>
          <w:b/>
          <w:bCs/>
          <w:color w:val="auto"/>
          <w:szCs w:val="21"/>
          <w:highlight w:val="none"/>
          <w:lang w:bidi="ar"/>
        </w:rPr>
        <w:t>2.标注“★”的为实质性要求，有一项负偏离作无效投标处理。</w:t>
      </w:r>
    </w:p>
    <w:p w14:paraId="5EB4891F">
      <w:pPr>
        <w:spacing w:line="360" w:lineRule="auto"/>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二、技术要求（本技术要求提出的是最低限度的技术条件。供应商应注意在技术要求中如果出现了参考品牌或规格型号，其目的是为了方便供应商直观和准确地把握相应材料和设备的技术标准，不具指定或唯一的意思表示，供应商应当参考所列品牌的材料和设备，提供相当于或高于所列品牌技术标准的材料和设备。）</w:t>
      </w:r>
    </w:p>
    <w:p w14:paraId="69E80B0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宋体" w:cs="Times New Roman"/>
          <w:bCs/>
          <w:color w:val="auto"/>
          <w:szCs w:val="21"/>
          <w:highlight w:val="none"/>
          <w:lang w:val="en-US" w:eastAsia="zh-CN"/>
        </w:rPr>
      </w:pPr>
      <w:bookmarkStart w:id="216" w:name="_Toc14021"/>
      <w:bookmarkStart w:id="217" w:name="_Toc18894"/>
      <w:bookmarkStart w:id="218" w:name="_Toc2946"/>
      <w:bookmarkStart w:id="219" w:name="_Toc19691"/>
      <w:r>
        <w:rPr>
          <w:rFonts w:hint="eastAsia" w:cs="Times New Roman"/>
          <w:bCs/>
          <w:color w:val="auto"/>
          <w:szCs w:val="21"/>
          <w:highlight w:val="none"/>
          <w:lang w:val="en-US" w:eastAsia="zh-CN"/>
        </w:rPr>
        <w:t>（一）</w:t>
      </w:r>
      <w:r>
        <w:rPr>
          <w:rFonts w:hint="eastAsia" w:ascii="Times New Roman" w:hAnsi="Times New Roman" w:eastAsia="宋体" w:cs="Times New Roman"/>
          <w:bCs/>
          <w:color w:val="auto"/>
          <w:szCs w:val="21"/>
          <w:highlight w:val="none"/>
          <w:lang w:val="en-US" w:eastAsia="zh-CN"/>
        </w:rPr>
        <w:t>用途</w:t>
      </w:r>
    </w:p>
    <w:p w14:paraId="7C136F7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用于手术室空气净化消毒，除尘除菌，人机共存，满足手术期间房间空气环境要求。</w:t>
      </w:r>
    </w:p>
    <w:p w14:paraId="132365A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（二）</w:t>
      </w:r>
      <w:r>
        <w:rPr>
          <w:rFonts w:hint="eastAsia" w:ascii="Times New Roman" w:hAnsi="Times New Roman" w:eastAsia="宋体" w:cs="Times New Roman"/>
          <w:bCs/>
          <w:color w:val="auto"/>
          <w:szCs w:val="21"/>
          <w:highlight w:val="none"/>
          <w:lang w:val="en-US" w:eastAsia="zh-CN"/>
        </w:rPr>
        <w:t>工作条件</w:t>
      </w:r>
    </w:p>
    <w:p w14:paraId="4481D25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电源：220V               电压：50HZ</w:t>
      </w:r>
    </w:p>
    <w:p w14:paraId="5074804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（三）</w:t>
      </w:r>
      <w:r>
        <w:rPr>
          <w:rFonts w:hint="eastAsia" w:ascii="Times New Roman" w:hAnsi="Times New Roman" w:eastAsia="宋体" w:cs="Times New Roman"/>
          <w:bCs/>
          <w:color w:val="auto"/>
          <w:szCs w:val="21"/>
          <w:highlight w:val="none"/>
          <w:lang w:val="en-US" w:eastAsia="zh-CN"/>
        </w:rPr>
        <w:t>配置要求</w:t>
      </w:r>
    </w:p>
    <w:tbl>
      <w:tblPr>
        <w:tblStyle w:val="4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6119"/>
        <w:gridCol w:w="2884"/>
      </w:tblGrid>
      <w:tr w14:paraId="35CC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31" w:type="pct"/>
            <w:tcBorders>
              <w:top w:val="single" w:color="auto" w:sz="4" w:space="0"/>
              <w:left w:val="single" w:color="auto" w:sz="4" w:space="0"/>
              <w:bottom w:val="single" w:color="auto" w:sz="4" w:space="0"/>
              <w:right w:val="single" w:color="auto" w:sz="4" w:space="0"/>
            </w:tcBorders>
            <w:noWrap w:val="0"/>
            <w:vAlign w:val="center"/>
          </w:tcPr>
          <w:p w14:paraId="349226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序号</w:t>
            </w:r>
          </w:p>
        </w:tc>
        <w:tc>
          <w:tcPr>
            <w:tcW w:w="3104" w:type="pct"/>
            <w:tcBorders>
              <w:top w:val="single" w:color="auto" w:sz="4" w:space="0"/>
              <w:left w:val="nil"/>
              <w:bottom w:val="single" w:color="auto" w:sz="4" w:space="0"/>
              <w:right w:val="single" w:color="auto" w:sz="4" w:space="0"/>
            </w:tcBorders>
            <w:noWrap w:val="0"/>
            <w:vAlign w:val="center"/>
          </w:tcPr>
          <w:p w14:paraId="301190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lang w:eastAsia="zh-CN"/>
              </w:rPr>
              <w:t>配置</w:t>
            </w:r>
            <w:r>
              <w:rPr>
                <w:rFonts w:hint="eastAsia" w:ascii="Times New Roman" w:hAnsi="Times New Roman" w:eastAsia="宋体" w:cs="Times New Roman"/>
                <w:bCs/>
                <w:color w:val="auto"/>
                <w:szCs w:val="21"/>
                <w:highlight w:val="none"/>
              </w:rPr>
              <w:t>设备名称</w:t>
            </w:r>
          </w:p>
        </w:tc>
        <w:tc>
          <w:tcPr>
            <w:tcW w:w="1463" w:type="pct"/>
            <w:tcBorders>
              <w:top w:val="single" w:color="auto" w:sz="4" w:space="0"/>
              <w:left w:val="nil"/>
              <w:bottom w:val="single" w:color="auto" w:sz="4" w:space="0"/>
              <w:right w:val="single" w:color="auto" w:sz="4" w:space="0"/>
            </w:tcBorders>
            <w:noWrap w:val="0"/>
            <w:vAlign w:val="center"/>
          </w:tcPr>
          <w:p w14:paraId="6BBDC0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数量（单位）</w:t>
            </w:r>
          </w:p>
        </w:tc>
      </w:tr>
      <w:tr w14:paraId="466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1" w:type="pct"/>
            <w:tcBorders>
              <w:top w:val="single" w:color="auto" w:sz="4" w:space="0"/>
              <w:left w:val="single" w:color="auto" w:sz="4" w:space="0"/>
              <w:bottom w:val="single" w:color="auto" w:sz="4" w:space="0"/>
              <w:right w:val="single" w:color="auto" w:sz="4" w:space="0"/>
            </w:tcBorders>
            <w:noWrap w:val="0"/>
            <w:vAlign w:val="center"/>
          </w:tcPr>
          <w:p w14:paraId="63716D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p>
        </w:tc>
        <w:tc>
          <w:tcPr>
            <w:tcW w:w="3104" w:type="pct"/>
            <w:tcBorders>
              <w:top w:val="single" w:color="auto" w:sz="4" w:space="0"/>
              <w:left w:val="nil"/>
              <w:bottom w:val="single" w:color="auto" w:sz="4" w:space="0"/>
              <w:right w:val="single" w:color="auto" w:sz="4" w:space="0"/>
            </w:tcBorders>
            <w:noWrap w:val="0"/>
            <w:vAlign w:val="center"/>
          </w:tcPr>
          <w:p w14:paraId="339008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空气净化消毒器移动式</w:t>
            </w:r>
          </w:p>
        </w:tc>
        <w:tc>
          <w:tcPr>
            <w:tcW w:w="1463" w:type="pct"/>
            <w:tcBorders>
              <w:top w:val="single" w:color="auto" w:sz="4" w:space="0"/>
              <w:left w:val="nil"/>
              <w:bottom w:val="single" w:color="auto" w:sz="4" w:space="0"/>
              <w:right w:val="single" w:color="auto" w:sz="4" w:space="0"/>
            </w:tcBorders>
            <w:noWrap w:val="0"/>
            <w:vAlign w:val="center"/>
          </w:tcPr>
          <w:p w14:paraId="564774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9台</w:t>
            </w:r>
          </w:p>
        </w:tc>
      </w:tr>
      <w:tr w14:paraId="739A1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 w:type="pct"/>
            <w:tcBorders>
              <w:top w:val="single" w:color="auto" w:sz="4" w:space="0"/>
              <w:left w:val="single" w:color="auto" w:sz="4" w:space="0"/>
              <w:bottom w:val="single" w:color="auto" w:sz="4" w:space="0"/>
              <w:right w:val="single" w:color="auto" w:sz="4" w:space="0"/>
            </w:tcBorders>
            <w:noWrap w:val="0"/>
            <w:vAlign w:val="center"/>
          </w:tcPr>
          <w:p w14:paraId="07698D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2</w:t>
            </w:r>
          </w:p>
        </w:tc>
        <w:tc>
          <w:tcPr>
            <w:tcW w:w="3104" w:type="pct"/>
            <w:tcBorders>
              <w:top w:val="single" w:color="auto" w:sz="4" w:space="0"/>
              <w:left w:val="nil"/>
              <w:bottom w:val="single" w:color="auto" w:sz="4" w:space="0"/>
              <w:right w:val="single" w:color="auto" w:sz="4" w:space="0"/>
            </w:tcBorders>
            <w:noWrap w:val="0"/>
            <w:vAlign w:val="center"/>
          </w:tcPr>
          <w:p w14:paraId="07934D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空气净化消毒器壁挂式</w:t>
            </w:r>
          </w:p>
        </w:tc>
        <w:tc>
          <w:tcPr>
            <w:tcW w:w="1463" w:type="pct"/>
            <w:tcBorders>
              <w:top w:val="single" w:color="auto" w:sz="4" w:space="0"/>
              <w:left w:val="nil"/>
              <w:bottom w:val="single" w:color="auto" w:sz="4" w:space="0"/>
              <w:right w:val="single" w:color="auto" w:sz="4" w:space="0"/>
            </w:tcBorders>
            <w:noWrap w:val="0"/>
            <w:vAlign w:val="center"/>
          </w:tcPr>
          <w:p w14:paraId="437E99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2台</w:t>
            </w:r>
          </w:p>
        </w:tc>
      </w:tr>
      <w:tr w14:paraId="2BE9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1" w:type="pct"/>
            <w:tcBorders>
              <w:top w:val="single" w:color="auto" w:sz="4" w:space="0"/>
              <w:left w:val="single" w:color="auto" w:sz="4" w:space="0"/>
              <w:bottom w:val="single" w:color="auto" w:sz="4" w:space="0"/>
              <w:right w:val="single" w:color="auto" w:sz="4" w:space="0"/>
            </w:tcBorders>
            <w:noWrap w:val="0"/>
            <w:vAlign w:val="center"/>
          </w:tcPr>
          <w:p w14:paraId="571313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3</w:t>
            </w:r>
          </w:p>
        </w:tc>
        <w:tc>
          <w:tcPr>
            <w:tcW w:w="3104" w:type="pct"/>
            <w:tcBorders>
              <w:top w:val="single" w:color="auto" w:sz="4" w:space="0"/>
              <w:left w:val="nil"/>
              <w:bottom w:val="single" w:color="auto" w:sz="4" w:space="0"/>
              <w:right w:val="single" w:color="auto" w:sz="4" w:space="0"/>
            </w:tcBorders>
            <w:noWrap w:val="0"/>
            <w:vAlign w:val="center"/>
          </w:tcPr>
          <w:p w14:paraId="43F889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空气净化消毒器吸顶式</w:t>
            </w:r>
          </w:p>
        </w:tc>
        <w:tc>
          <w:tcPr>
            <w:tcW w:w="1463" w:type="pct"/>
            <w:tcBorders>
              <w:top w:val="single" w:color="auto" w:sz="4" w:space="0"/>
              <w:left w:val="nil"/>
              <w:bottom w:val="single" w:color="auto" w:sz="4" w:space="0"/>
              <w:right w:val="single" w:color="auto" w:sz="4" w:space="0"/>
            </w:tcBorders>
            <w:noWrap w:val="0"/>
            <w:vAlign w:val="center"/>
          </w:tcPr>
          <w:p w14:paraId="593C2E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4台</w:t>
            </w:r>
          </w:p>
        </w:tc>
      </w:tr>
    </w:tbl>
    <w:p w14:paraId="4C263575">
      <w:pPr>
        <w:numPr>
          <w:ilvl w:val="0"/>
          <w:numId w:val="0"/>
        </w:numPr>
        <w:spacing w:line="360" w:lineRule="auto"/>
        <w:rPr>
          <w:rFonts w:hint="default"/>
          <w:b/>
          <w:bCs w:val="0"/>
          <w:color w:val="auto"/>
          <w:szCs w:val="21"/>
          <w:highlight w:val="none"/>
          <w:lang w:val="en-US" w:eastAsia="zh-CN"/>
        </w:rPr>
      </w:pPr>
      <w:r>
        <w:rPr>
          <w:rFonts w:hint="eastAsia" w:cs="Times New Roman"/>
          <w:bCs/>
          <w:color w:val="auto"/>
          <w:kern w:val="2"/>
          <w:sz w:val="21"/>
          <w:szCs w:val="21"/>
          <w:highlight w:val="none"/>
          <w:lang w:val="en-US" w:eastAsia="zh-CN" w:bidi="ar-SA"/>
        </w:rPr>
        <w:t>（四）</w:t>
      </w:r>
      <w:r>
        <w:rPr>
          <w:bCs/>
          <w:color w:val="auto"/>
          <w:szCs w:val="21"/>
          <w:highlight w:val="none"/>
        </w:rPr>
        <w:t>技术要求</w:t>
      </w:r>
      <w:r>
        <w:rPr>
          <w:rFonts w:hint="eastAsia"/>
          <w:b/>
          <w:bCs w:val="0"/>
          <w:color w:val="auto"/>
          <w:szCs w:val="21"/>
          <w:highlight w:val="none"/>
        </w:rPr>
        <w:t>（技术响应评审项）</w:t>
      </w:r>
    </w:p>
    <w:tbl>
      <w:tblPr>
        <w:tblStyle w:val="4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540"/>
        <w:gridCol w:w="7609"/>
      </w:tblGrid>
      <w:tr w14:paraId="422A1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353" w:type="pct"/>
            <w:vAlign w:val="center"/>
          </w:tcPr>
          <w:p w14:paraId="3D612950">
            <w:pPr>
              <w:adjustRightInd w:val="0"/>
              <w:snapToGrid w:val="0"/>
              <w:spacing w:line="36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kern w:val="0"/>
                <w:sz w:val="21"/>
                <w:szCs w:val="21"/>
                <w:highlight w:val="none"/>
              </w:rPr>
              <w:t>序号</w:t>
            </w:r>
          </w:p>
        </w:tc>
        <w:tc>
          <w:tcPr>
            <w:tcW w:w="782" w:type="pct"/>
            <w:vAlign w:val="center"/>
          </w:tcPr>
          <w:p w14:paraId="5D36228F">
            <w:pPr>
              <w:adjustRightInd w:val="0"/>
              <w:snapToGrid w:val="0"/>
              <w:spacing w:line="36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kern w:val="0"/>
                <w:sz w:val="21"/>
                <w:szCs w:val="21"/>
                <w:highlight w:val="none"/>
              </w:rPr>
              <w:t>采购标的名称</w:t>
            </w:r>
          </w:p>
        </w:tc>
        <w:tc>
          <w:tcPr>
            <w:tcW w:w="3863" w:type="pct"/>
            <w:vAlign w:val="center"/>
          </w:tcPr>
          <w:p w14:paraId="47FDE448">
            <w:pPr>
              <w:adjustRightInd w:val="0"/>
              <w:snapToGrid w:val="0"/>
              <w:spacing w:line="36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质量、安全、技术规格、物理特性</w:t>
            </w:r>
            <w:r>
              <w:rPr>
                <w:rFonts w:hint="default" w:ascii="Times New Roman" w:hAnsi="Times New Roman" w:eastAsia="宋体" w:cs="Times New Roman"/>
                <w:b w:val="0"/>
                <w:bCs w:val="0"/>
                <w:color w:val="auto"/>
                <w:kern w:val="0"/>
                <w:sz w:val="21"/>
                <w:szCs w:val="21"/>
                <w:highlight w:val="none"/>
              </w:rPr>
              <w:t>要求</w:t>
            </w:r>
          </w:p>
        </w:tc>
      </w:tr>
      <w:tr w14:paraId="0DED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3" w:type="pct"/>
            <w:vAlign w:val="center"/>
          </w:tcPr>
          <w:p w14:paraId="5E9B4342">
            <w:pPr>
              <w:adjustRightInd w:val="0"/>
              <w:snapToGrid w:val="0"/>
              <w:spacing w:line="360" w:lineRule="auto"/>
              <w:jc w:val="center"/>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1</w:t>
            </w:r>
          </w:p>
        </w:tc>
        <w:tc>
          <w:tcPr>
            <w:tcW w:w="782" w:type="pct"/>
            <w:vAlign w:val="center"/>
          </w:tcPr>
          <w:p w14:paraId="5A0B38F1">
            <w:pPr>
              <w:adjustRightInd w:val="0"/>
              <w:snapToGrid w:val="0"/>
              <w:spacing w:before="62" w:beforeLines="20" w:after="62" w:afterLines="20" w:line="360" w:lineRule="auto"/>
              <w:jc w:val="center"/>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空气净化消毒器</w:t>
            </w:r>
          </w:p>
        </w:tc>
        <w:tc>
          <w:tcPr>
            <w:tcW w:w="3863" w:type="pct"/>
            <w:vAlign w:val="bottom"/>
          </w:tcPr>
          <w:p w14:paraId="409E01BF">
            <w:pPr>
              <w:spacing w:line="360" w:lineRule="auto"/>
              <w:rPr>
                <w:rFonts w:hint="default" w:ascii="Times New Roman" w:hAnsi="Times New Roman" w:eastAsia="宋体" w:cs="Times New Roman"/>
                <w:b w:val="0"/>
                <w:bCs w:val="0"/>
                <w:color w:val="auto"/>
                <w:sz w:val="21"/>
                <w:szCs w:val="21"/>
                <w:highlight w:val="none"/>
              </w:rPr>
            </w:pPr>
            <w:bookmarkStart w:id="220" w:name="_Hlk213570814"/>
            <w:r>
              <w:rPr>
                <w:rFonts w:hint="default" w:ascii="Times New Roman" w:hAnsi="Times New Roman" w:eastAsia="宋体" w:cs="Times New Roman"/>
                <w:b w:val="0"/>
                <w:bCs w:val="0"/>
                <w:color w:val="auto"/>
                <w:sz w:val="21"/>
                <w:szCs w:val="21"/>
                <w:highlight w:val="none"/>
              </w:rPr>
              <w:t>（1）洁净区内的各病区及洁净辅助用房和非洁净辅助用房中的部分空间需根据功能空间面积设置不同功率吸顶式、壁挂式和移动式。</w:t>
            </w:r>
          </w:p>
          <w:p w14:paraId="59023504">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（2）产品根据洁净区内的各病区及洁净辅助用房的空间大小进行设置。</w:t>
            </w:r>
          </w:p>
          <w:p w14:paraId="4AC0A9A0">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（3）技术要求：</w:t>
            </w:r>
          </w:p>
          <w:p w14:paraId="5EEBFCDD">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rPr>
              <w:t>.▲净化方式：采用初效、中效、HEPA高效、溶菌酶HEPA高效四级过滤器过滤，除尘除菌；</w:t>
            </w:r>
          </w:p>
          <w:p w14:paraId="797E99FF">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rPr>
              <w:t>．▲杀菌方式：采用生物环保材料溶菌酶过滤器杀菌；</w:t>
            </w:r>
          </w:p>
          <w:p w14:paraId="0AB8FEB3">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rPr>
              <w:t>．内置数据端口：设备预置数据接口，支持空气净化消毒数字化管理平台通讯对接；</w:t>
            </w:r>
          </w:p>
          <w:p w14:paraId="15BA3FC7">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．数字化管理平台须提供软件著作权证书；</w:t>
            </w:r>
          </w:p>
          <w:p w14:paraId="2129D518">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rPr>
              <w:t>．无副作用：整个净化过程无静电场效应，不会产生氮氧化物、臭氧、电子电荷等二次污染的有害气体；</w:t>
            </w:r>
          </w:p>
          <w:p w14:paraId="0562A3B4">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6</w:t>
            </w: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 xml:space="preserve"> </w:t>
            </w:r>
            <w:r>
              <w:rPr>
                <w:rFonts w:hint="default" w:ascii="Times New Roman" w:hAnsi="Times New Roman" w:eastAsia="宋体" w:cs="Times New Roman"/>
                <w:b w:val="0"/>
                <w:bCs w:val="0"/>
                <w:color w:val="auto"/>
                <w:sz w:val="21"/>
                <w:szCs w:val="21"/>
                <w:highlight w:val="none"/>
                <w:lang w:val="en-US" w:eastAsia="zh-CN"/>
              </w:rPr>
              <w:t>使用</w:t>
            </w:r>
            <w:r>
              <w:rPr>
                <w:rFonts w:hint="default" w:ascii="Times New Roman" w:hAnsi="Times New Roman" w:eastAsia="宋体" w:cs="Times New Roman"/>
                <w:b w:val="0"/>
                <w:bCs w:val="0"/>
                <w:color w:val="auto"/>
                <w:sz w:val="21"/>
                <w:szCs w:val="21"/>
                <w:highlight w:val="none"/>
              </w:rPr>
              <w:t>大功率循环风动系统；</w:t>
            </w:r>
          </w:p>
          <w:p w14:paraId="1F5C5F5C">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7</w:t>
            </w:r>
            <w:r>
              <w:rPr>
                <w:rFonts w:hint="default" w:ascii="Times New Roman" w:hAnsi="Times New Roman" w:eastAsia="宋体" w:cs="Times New Roman"/>
                <w:b w:val="0"/>
                <w:bCs w:val="0"/>
                <w:color w:val="auto"/>
                <w:sz w:val="21"/>
                <w:szCs w:val="21"/>
                <w:highlight w:val="none"/>
              </w:rPr>
              <w:t>．除尘率：（0.3μm尘埃）≥99.97%；</w:t>
            </w:r>
          </w:p>
          <w:p w14:paraId="17A8D2B1">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8</w:t>
            </w:r>
            <w:r>
              <w:rPr>
                <w:rFonts w:hint="default" w:ascii="Times New Roman" w:hAnsi="Times New Roman" w:eastAsia="宋体" w:cs="Times New Roman"/>
                <w:b w:val="0"/>
                <w:bCs w:val="0"/>
                <w:color w:val="auto"/>
                <w:sz w:val="21"/>
                <w:szCs w:val="21"/>
                <w:highlight w:val="none"/>
              </w:rPr>
              <w:t>．除菌率：≥99.9%；</w:t>
            </w:r>
          </w:p>
          <w:p w14:paraId="0E802A0D">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9</w:t>
            </w:r>
            <w:r>
              <w:rPr>
                <w:rFonts w:hint="default" w:ascii="Times New Roman" w:hAnsi="Times New Roman" w:eastAsia="宋体" w:cs="Times New Roman"/>
                <w:b w:val="0"/>
                <w:bCs w:val="0"/>
                <w:color w:val="auto"/>
                <w:sz w:val="21"/>
                <w:szCs w:val="21"/>
                <w:highlight w:val="none"/>
              </w:rPr>
              <w:t>．循环风量：400 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/h及200 m</w:t>
            </w:r>
            <w:r>
              <w:rPr>
                <w:rFonts w:hint="default" w:ascii="Times New Roman" w:hAnsi="Times New Roman" w:eastAsia="宋体" w:cs="Times New Roman"/>
                <w:b w:val="0"/>
                <w:bCs w:val="0"/>
                <w:color w:val="auto"/>
                <w:sz w:val="21"/>
                <w:szCs w:val="21"/>
                <w:highlight w:val="none"/>
                <w:vertAlign w:val="superscript"/>
              </w:rPr>
              <w:t>3</w:t>
            </w:r>
            <w:r>
              <w:rPr>
                <w:rFonts w:hint="default" w:ascii="Times New Roman" w:hAnsi="Times New Roman" w:eastAsia="宋体" w:cs="Times New Roman"/>
                <w:b w:val="0"/>
                <w:bCs w:val="0"/>
                <w:color w:val="auto"/>
                <w:sz w:val="21"/>
                <w:szCs w:val="21"/>
                <w:highlight w:val="none"/>
              </w:rPr>
              <w:t>/h高低可调；</w:t>
            </w:r>
          </w:p>
          <w:p w14:paraId="650B5722">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10</w:t>
            </w:r>
            <w:r>
              <w:rPr>
                <w:rFonts w:hint="default" w:ascii="Times New Roman" w:hAnsi="Times New Roman" w:eastAsia="宋体" w:cs="Times New Roman"/>
                <w:b w:val="0"/>
                <w:bCs w:val="0"/>
                <w:color w:val="auto"/>
                <w:sz w:val="21"/>
                <w:szCs w:val="21"/>
                <w:highlight w:val="none"/>
              </w:rPr>
              <w:t>．噪声：≤49db；</w:t>
            </w:r>
          </w:p>
          <w:p w14:paraId="54EB3C0F">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r>
              <w:rPr>
                <w:rFonts w:hint="default"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rPr>
              <w:t>．额定功率：≤52W；</w:t>
            </w:r>
          </w:p>
          <w:p w14:paraId="43D64405">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r>
              <w:rPr>
                <w:rFonts w:hint="default"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rPr>
              <w:t>．▲超薄</w:t>
            </w:r>
            <w:r>
              <w:rPr>
                <w:rFonts w:hint="eastAsia" w:ascii="Times New Roman" w:hAnsi="Times New Roman" w:eastAsia="宋体"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rPr>
              <w:t>机身厚度≤70mm；</w:t>
            </w:r>
          </w:p>
          <w:p w14:paraId="7E711026">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r>
              <w:rPr>
                <w:rFonts w:hint="default"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rPr>
              <w:t>. 重量≤50千克；</w:t>
            </w:r>
          </w:p>
          <w:p w14:paraId="1CFF3A5A">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r>
              <w:rPr>
                <w:rFonts w:hint="default"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rPr>
              <w:t>．操作方式：手动操作，远程遥控操作</w:t>
            </w:r>
          </w:p>
          <w:p w14:paraId="5A6EE896">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w:t>
            </w:r>
            <w:r>
              <w:rPr>
                <w:rFonts w:hint="default"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rPr>
              <w:t>．显示功能：液晶屏实时显示机器运行中的各项参数；</w:t>
            </w:r>
          </w:p>
          <w:p w14:paraId="2ECD5ECE">
            <w:pPr>
              <w:spacing w:line="360" w:lineRule="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rPr>
              <w:t>1</w:t>
            </w:r>
            <w:r>
              <w:rPr>
                <w:rFonts w:hint="default" w:ascii="Times New Roman" w:hAnsi="Times New Roman" w:eastAsia="宋体" w:cs="Times New Roman"/>
                <w:b w:val="0"/>
                <w:bCs w:val="0"/>
                <w:color w:val="auto"/>
                <w:sz w:val="21"/>
                <w:szCs w:val="21"/>
                <w:highlight w:val="none"/>
                <w:lang w:val="en-US" w:eastAsia="zh-CN"/>
              </w:rPr>
              <w:t>6</w:t>
            </w:r>
            <w:r>
              <w:rPr>
                <w:rFonts w:hint="default" w:ascii="Times New Roman" w:hAnsi="Times New Roman" w:eastAsia="宋体" w:cs="Times New Roman"/>
                <w:b w:val="0"/>
                <w:bCs w:val="0"/>
                <w:color w:val="auto"/>
                <w:sz w:val="21"/>
                <w:szCs w:val="21"/>
                <w:highlight w:val="none"/>
              </w:rPr>
              <w:t>．一键睡眠功能</w:t>
            </w:r>
            <w:r>
              <w:rPr>
                <w:rFonts w:hint="default" w:ascii="Times New Roman" w:hAnsi="Times New Roman" w:eastAsia="宋体" w:cs="Times New Roman"/>
                <w:b w:val="0"/>
                <w:bCs w:val="0"/>
                <w:color w:val="auto"/>
                <w:sz w:val="21"/>
                <w:szCs w:val="21"/>
                <w:highlight w:val="none"/>
                <w:lang w:eastAsia="zh-CN"/>
              </w:rPr>
              <w:t>；</w:t>
            </w:r>
          </w:p>
          <w:p w14:paraId="714686B4">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17</w:t>
            </w:r>
            <w:r>
              <w:rPr>
                <w:rFonts w:hint="default" w:ascii="Times New Roman" w:hAnsi="Times New Roman" w:eastAsia="宋体" w:cs="Times New Roman"/>
                <w:b w:val="0"/>
                <w:bCs w:val="0"/>
                <w:color w:val="auto"/>
                <w:sz w:val="21"/>
                <w:szCs w:val="21"/>
                <w:highlight w:val="none"/>
              </w:rPr>
              <w:t>. ▲智能化管理：净化消毒效能评估系统，过滤器清洗维护协约系统，过滤器更换预警系统；</w:t>
            </w:r>
          </w:p>
          <w:p w14:paraId="4C782AE8">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18</w:t>
            </w:r>
            <w:r>
              <w:rPr>
                <w:rFonts w:hint="default" w:ascii="Times New Roman" w:hAnsi="Times New Roman" w:eastAsia="宋体" w:cs="Times New Roman"/>
                <w:b w:val="0"/>
                <w:bCs w:val="0"/>
                <w:color w:val="auto"/>
                <w:sz w:val="21"/>
                <w:szCs w:val="21"/>
                <w:highlight w:val="none"/>
              </w:rPr>
              <w:t>.安装方式：吸顶、壁挂或落地安装，吊装或壁挂区域不得采用辅助框架，不能破坏原有墙体结构和走明线；</w:t>
            </w:r>
          </w:p>
          <w:p w14:paraId="775EED16">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19</w:t>
            </w:r>
            <w:r>
              <w:rPr>
                <w:rFonts w:hint="default" w:ascii="Times New Roman" w:hAnsi="Times New Roman" w:eastAsia="宋体" w:cs="Times New Roman"/>
                <w:b w:val="0"/>
                <w:bCs w:val="0"/>
                <w:color w:val="auto"/>
                <w:sz w:val="21"/>
                <w:szCs w:val="21"/>
                <w:highlight w:val="none"/>
              </w:rPr>
              <w:t>．机器外框不得使用铆钉固定；</w:t>
            </w:r>
          </w:p>
          <w:p w14:paraId="5F12D99D">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r>
              <w:rPr>
                <w:rFonts w:hint="default" w:ascii="Times New Roman" w:hAnsi="Times New Roman" w:eastAsia="宋体"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lang w:val="en-US" w:eastAsia="zh-CN"/>
              </w:rPr>
              <w:t xml:space="preserve"> </w:t>
            </w:r>
            <w:r>
              <w:rPr>
                <w:rFonts w:hint="default" w:ascii="Times New Roman" w:hAnsi="Times New Roman" w:eastAsia="宋体" w:cs="Times New Roman"/>
                <w:b w:val="0"/>
                <w:bCs w:val="0"/>
                <w:color w:val="auto"/>
                <w:sz w:val="21"/>
                <w:szCs w:val="21"/>
                <w:highlight w:val="none"/>
              </w:rPr>
              <w:t>具备单一定时、循环定时功能；</w:t>
            </w:r>
          </w:p>
          <w:p w14:paraId="5BAAC08F">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r>
              <w:rPr>
                <w:rFonts w:hint="default" w:ascii="Times New Roman" w:hAnsi="Times New Roman" w:eastAsia="宋体"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rPr>
              <w:t>.过滤器：需列出过滤器的规格、产地、数量；</w:t>
            </w:r>
          </w:p>
          <w:p w14:paraId="4BDC6FBE">
            <w:pPr>
              <w:spacing w:line="360" w:lineRule="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2</w:t>
            </w:r>
            <w:r>
              <w:rPr>
                <w:rFonts w:hint="default"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rPr>
              <w:t>.▲提供</w:t>
            </w:r>
            <w:r>
              <w:rPr>
                <w:rFonts w:hint="eastAsia"/>
                <w:b w:val="0"/>
                <w:bCs w:val="0"/>
                <w:color w:val="auto"/>
                <w:szCs w:val="22"/>
                <w:highlight w:val="none"/>
                <w:lang w:val="en-US" w:eastAsia="zh-CN"/>
              </w:rPr>
              <w:t>具有CMA标识的</w:t>
            </w:r>
            <w:r>
              <w:rPr>
                <w:rFonts w:hint="default" w:ascii="Times New Roman" w:hAnsi="Times New Roman" w:eastAsia="宋体" w:cs="Times New Roman"/>
                <w:b w:val="0"/>
                <w:bCs w:val="0"/>
                <w:color w:val="auto"/>
                <w:sz w:val="21"/>
                <w:szCs w:val="21"/>
                <w:highlight w:val="none"/>
              </w:rPr>
              <w:t>溶菌酶酶杀菌滤材检测报告；</w:t>
            </w:r>
          </w:p>
          <w:p w14:paraId="470BBEF6">
            <w:pPr>
              <w:spacing w:line="360" w:lineRule="auto"/>
              <w:rPr>
                <w:rFonts w:hint="eastAsia"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sz w:val="21"/>
                <w:szCs w:val="21"/>
                <w:highlight w:val="none"/>
              </w:rPr>
              <w:t>2</w:t>
            </w:r>
            <w:r>
              <w:rPr>
                <w:rFonts w:hint="eastAsia"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rPr>
              <w:t>.</w:t>
            </w:r>
            <w:bookmarkStart w:id="221" w:name="_Hlk90452302"/>
            <w:r>
              <w:rPr>
                <w:rFonts w:hint="default" w:ascii="Times New Roman" w:hAnsi="Times New Roman" w:eastAsia="宋体" w:cs="Times New Roman"/>
                <w:b w:val="0"/>
                <w:bCs w:val="0"/>
                <w:color w:val="auto"/>
                <w:sz w:val="21"/>
                <w:szCs w:val="21"/>
                <w:highlight w:val="none"/>
              </w:rPr>
              <w:t>设备能24小时连续不间断运行工作</w:t>
            </w:r>
            <w:bookmarkEnd w:id="220"/>
            <w:bookmarkEnd w:id="221"/>
            <w:r>
              <w:rPr>
                <w:rFonts w:hint="eastAsia" w:ascii="Times New Roman" w:hAnsi="Times New Roman" w:eastAsia="宋体" w:cs="Times New Roman"/>
                <w:b w:val="0"/>
                <w:bCs w:val="0"/>
                <w:color w:val="auto"/>
                <w:sz w:val="21"/>
                <w:szCs w:val="21"/>
                <w:highlight w:val="none"/>
                <w:lang w:eastAsia="zh-CN"/>
              </w:rPr>
              <w:t>。</w:t>
            </w:r>
          </w:p>
        </w:tc>
      </w:tr>
    </w:tbl>
    <w:p w14:paraId="57230BBC">
      <w:pPr>
        <w:pageBreakBefore w:val="0"/>
        <w:numPr>
          <w:ilvl w:val="255"/>
          <w:numId w:val="0"/>
        </w:numPr>
        <w:kinsoku/>
        <w:wordWrap/>
        <w:overflowPunct/>
        <w:topLinePunct w:val="0"/>
        <w:bidi w:val="0"/>
        <w:spacing w:line="360" w:lineRule="auto"/>
        <w:textAlignment w:val="auto"/>
        <w:outlineLvl w:val="9"/>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（五）售后服务</w:t>
      </w:r>
    </w:p>
    <w:p w14:paraId="24ED6AF5">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1、供货计划及承诺</w:t>
      </w:r>
    </w:p>
    <w:p w14:paraId="0427694F">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 xml:space="preserve">   承诺在合同约定的时间内，按时送货到门。若出现特殊情况，免费在不延误合同约定时间的情况下，从速替换；免费负责设备的安装、调试，直至达到良好的使用效果。</w:t>
      </w:r>
    </w:p>
    <w:p w14:paraId="1CA493B0">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2、质保期限及服务</w:t>
      </w:r>
    </w:p>
    <w:p w14:paraId="0EA8010C">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 xml:space="preserve">   整机免费保修五年，在保修期内的故障维修，不再收取配件费及其它费用，无法修复的应免费更换。质量保证期内，除人为因素损坏外，全部免费维修。</w:t>
      </w:r>
    </w:p>
    <w:p w14:paraId="6285BBDD">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3、保修期外的维修服务</w:t>
      </w:r>
    </w:p>
    <w:p w14:paraId="0BBF8E74">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承诺所供设备终身提供维修服务，保修期外的维修，只收取相应的材料成本费，不收维修和工时费。</w:t>
      </w:r>
    </w:p>
    <w:p w14:paraId="6CC0BCD9">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4、接到报修通知后的响应时间</w:t>
      </w:r>
    </w:p>
    <w:p w14:paraId="151DE361">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承诺接到报修通知后，1小时之内响应、12小时内到达现场、24小时之内修复，若一周内设备无法正常使用，必须提供备用机。在此期间如发生重大质量及安全问题可进行退货处理，退货发生的一切费用全部由我方承担，也可进行更换，更换所发生的一切费用全部由我方负责；如因维修耽误用户正常工作我方同意进行相应赔偿。</w:t>
      </w:r>
    </w:p>
    <w:p w14:paraId="66489838">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5、备品备件服务</w:t>
      </w:r>
    </w:p>
    <w:p w14:paraId="190E1E61">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 xml:space="preserve">   公司设有专门的备品备件库，承诺若设备出现故障接到通知后，12小时内提供备品备件。</w:t>
      </w:r>
    </w:p>
    <w:p w14:paraId="621B3467">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6、维护保养服务</w:t>
      </w:r>
    </w:p>
    <w:p w14:paraId="0A20C328">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 xml:space="preserve">   为用户建立档案，定期为用户做回访保养服务，具体实施方案：从设备安装、调试、验收合格正常使用起，定期派技术人员上门回访服务。</w:t>
      </w:r>
    </w:p>
    <w:p w14:paraId="51F00566">
      <w:pPr>
        <w:pageBreakBefore w:val="0"/>
        <w:widowControl/>
        <w:shd w:val="clear" w:color="auto" w:fill="FFFFFF"/>
        <w:kinsoku/>
        <w:wordWrap/>
        <w:overflowPunct/>
        <w:topLinePunct w:val="0"/>
        <w:bidi w:val="0"/>
        <w:spacing w:line="360" w:lineRule="auto"/>
        <w:ind w:left="0" w:leftChars="0" w:firstLine="420" w:firstLineChars="200"/>
        <w:jc w:val="left"/>
        <w:textAlignment w:val="auto"/>
        <w:outlineLvl w:val="9"/>
        <w:rPr>
          <w:rFonts w:hint="eastAsia"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b w:val="0"/>
          <w:bCs w:val="0"/>
          <w:color w:val="auto"/>
          <w:kern w:val="0"/>
          <w:sz w:val="21"/>
          <w:szCs w:val="21"/>
          <w:highlight w:val="none"/>
        </w:rPr>
        <w:t>7、交货验收后，若同类产品已升级，及时向用户反馈信息，根据用户要求对系统软件进行免费升级服务</w:t>
      </w:r>
      <w:r>
        <w:rPr>
          <w:rFonts w:hint="eastAsia" w:cs="Times New Roman"/>
          <w:color w:val="auto"/>
          <w:kern w:val="0"/>
          <w:sz w:val="21"/>
          <w:szCs w:val="21"/>
          <w:highlight w:val="none"/>
          <w:lang w:eastAsia="zh-CN"/>
        </w:rPr>
        <w:t>。</w:t>
      </w:r>
    </w:p>
    <w:p w14:paraId="56B939D2">
      <w:pPr>
        <w:keepNext/>
        <w:keepLines/>
        <w:pageBreakBefore w:val="0"/>
        <w:kinsoku/>
        <w:wordWrap/>
        <w:overflowPunct/>
        <w:topLinePunct w:val="0"/>
        <w:autoSpaceDE w:val="0"/>
        <w:autoSpaceDN w:val="0"/>
        <w:bidi w:val="0"/>
        <w:adjustRightInd w:val="0"/>
        <w:spacing w:line="360" w:lineRule="auto"/>
        <w:ind w:left="0" w:leftChars="0" w:firstLine="422" w:firstLineChars="200"/>
        <w:jc w:val="left"/>
        <w:textAlignment w:val="auto"/>
        <w:outlineLvl w:val="9"/>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（六）兼容性与后续成本</w:t>
      </w:r>
    </w:p>
    <w:p w14:paraId="0D55B6E3">
      <w:pPr>
        <w:pageBreakBefore w:val="0"/>
        <w:widowControl/>
        <w:shd w:val="clear" w:color="auto" w:fill="FFFFFF"/>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投标人在投标文件中提供设备保修清单和延保价格，条目包括但不限于项目编码、名称、型号、单项报价（为日后的延长保修提供参考依据，不计入投标总价）。</w:t>
      </w:r>
    </w:p>
    <w:p w14:paraId="73BB8379">
      <w:pPr>
        <w:keepNext/>
        <w:keepLines/>
        <w:pageBreakBefore w:val="0"/>
        <w:kinsoku/>
        <w:wordWrap/>
        <w:overflowPunct/>
        <w:topLinePunct w:val="0"/>
        <w:autoSpaceDE w:val="0"/>
        <w:autoSpaceDN w:val="0"/>
        <w:bidi w:val="0"/>
        <w:adjustRightInd w:val="0"/>
        <w:spacing w:line="360" w:lineRule="auto"/>
        <w:ind w:left="0" w:leftChars="0" w:firstLine="422" w:firstLineChars="200"/>
        <w:jc w:val="left"/>
        <w:textAlignment w:val="auto"/>
        <w:outlineLvl w:val="9"/>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（七） 采购标的需执行国家相关标准、行业标准、地方标准或者其他标准、规范。</w:t>
      </w:r>
    </w:p>
    <w:p w14:paraId="30D89A21">
      <w:pPr>
        <w:keepNext/>
        <w:keepLines/>
        <w:pageBreakBefore w:val="0"/>
        <w:kinsoku/>
        <w:wordWrap/>
        <w:overflowPunct/>
        <w:topLinePunct w:val="0"/>
        <w:autoSpaceDE w:val="0"/>
        <w:autoSpaceDN w:val="0"/>
        <w:bidi w:val="0"/>
        <w:adjustRightInd w:val="0"/>
        <w:spacing w:line="360" w:lineRule="auto"/>
        <w:ind w:left="0" w:leftChars="0" w:firstLine="422" w:firstLineChars="200"/>
        <w:jc w:val="left"/>
        <w:textAlignment w:val="auto"/>
        <w:outlineLvl w:val="9"/>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 xml:space="preserve"> </w:t>
      </w:r>
      <w:r>
        <w:rPr>
          <w:rFonts w:hint="default" w:ascii="Times New Roman" w:hAnsi="Times New Roman" w:eastAsia="宋体" w:cs="Times New Roman"/>
          <w:bCs/>
          <w:color w:val="auto"/>
          <w:kern w:val="0"/>
          <w:sz w:val="21"/>
          <w:szCs w:val="21"/>
          <w:highlight w:val="none"/>
        </w:rPr>
        <w:t>需满足国家、地区和行业标准和规范。</w:t>
      </w:r>
    </w:p>
    <w:p w14:paraId="7F1FFEBF">
      <w:pPr>
        <w:keepNext/>
        <w:keepLines/>
        <w:pageBreakBefore w:val="0"/>
        <w:numPr>
          <w:ilvl w:val="255"/>
          <w:numId w:val="0"/>
        </w:numPr>
        <w:kinsoku/>
        <w:wordWrap/>
        <w:overflowPunct/>
        <w:topLinePunct w:val="0"/>
        <w:autoSpaceDE w:val="0"/>
        <w:autoSpaceDN w:val="0"/>
        <w:bidi w:val="0"/>
        <w:adjustRightInd w:val="0"/>
        <w:spacing w:line="360" w:lineRule="auto"/>
        <w:ind w:left="0" w:leftChars="0" w:firstLine="422" w:firstLineChars="200"/>
        <w:jc w:val="left"/>
        <w:textAlignment w:val="auto"/>
        <w:outlineLvl w:val="9"/>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bCs/>
          <w:color w:val="auto"/>
          <w:kern w:val="0"/>
          <w:sz w:val="21"/>
          <w:szCs w:val="21"/>
          <w:highlight w:val="none"/>
        </w:rPr>
        <w:t>★</w:t>
      </w:r>
      <w:r>
        <w:rPr>
          <w:rFonts w:hint="default" w:ascii="Times New Roman" w:hAnsi="Times New Roman" w:eastAsia="宋体" w:cs="Times New Roman"/>
          <w:b/>
          <w:color w:val="auto"/>
          <w:kern w:val="0"/>
          <w:sz w:val="21"/>
          <w:szCs w:val="21"/>
          <w:highlight w:val="none"/>
        </w:rPr>
        <w:t>（八）付款方式</w:t>
      </w:r>
    </w:p>
    <w:p w14:paraId="11F2FD23">
      <w:pPr>
        <w:pStyle w:val="18"/>
        <w:pageBreakBefore w:val="0"/>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1、合同签订前，投标人支付合同金额的10%作为履约保证金，验收合格一年后无息退还。</w:t>
      </w:r>
    </w:p>
    <w:p w14:paraId="75E2A941">
      <w:pPr>
        <w:pStyle w:val="18"/>
        <w:pageBreakBefore w:val="0"/>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2、合同签订后采购人支付合同金额的40%。</w:t>
      </w:r>
    </w:p>
    <w:p w14:paraId="64A5ED26">
      <w:pPr>
        <w:pStyle w:val="18"/>
        <w:pageBreakBefore w:val="0"/>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3、货到验收合格后采购人支付合同金额的60%。</w:t>
      </w:r>
    </w:p>
    <w:p w14:paraId="65FC2494">
      <w:pPr>
        <w:keepNext/>
        <w:keepLines/>
        <w:pageBreakBefore w:val="0"/>
        <w:kinsoku/>
        <w:wordWrap/>
        <w:overflowPunct/>
        <w:topLinePunct w:val="0"/>
        <w:autoSpaceDE w:val="0"/>
        <w:autoSpaceDN w:val="0"/>
        <w:bidi w:val="0"/>
        <w:adjustRightInd w:val="0"/>
        <w:spacing w:line="360" w:lineRule="auto"/>
        <w:ind w:left="0" w:leftChars="0" w:firstLine="422" w:firstLineChars="200"/>
        <w:jc w:val="left"/>
        <w:textAlignment w:val="auto"/>
        <w:outlineLvl w:val="9"/>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（九）验收标准</w:t>
      </w:r>
    </w:p>
    <w:p w14:paraId="0C481353">
      <w:pPr>
        <w:pageBreakBefore w:val="0"/>
        <w:widowControl/>
        <w:shd w:val="clear" w:color="auto" w:fill="FFFFFF"/>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1、一次性验收时间：货物安装确认合格并稳定运行30天内组织验收。</w:t>
      </w:r>
    </w:p>
    <w:p w14:paraId="18B4EC8B">
      <w:pPr>
        <w:pageBreakBefore w:val="0"/>
        <w:widowControl/>
        <w:shd w:val="clear" w:color="auto" w:fill="FFFFFF"/>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2、验收方式：组织专家参与验收。</w:t>
      </w:r>
    </w:p>
    <w:p w14:paraId="11F84A80">
      <w:pPr>
        <w:pageBreakBefore w:val="0"/>
        <w:widowControl/>
        <w:shd w:val="clear" w:color="auto" w:fill="FFFFFF"/>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 xml:space="preserve">3、验收内容与验收标准： </w:t>
      </w:r>
    </w:p>
    <w:p w14:paraId="15BAE6FF">
      <w:pPr>
        <w:pageBreakBefore w:val="0"/>
        <w:widowControl/>
        <w:shd w:val="clear" w:color="auto" w:fill="FFFFFF"/>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A.合同签订后</w:t>
      </w:r>
      <w:r>
        <w:rPr>
          <w:rFonts w:hint="default" w:ascii="Times New Roman" w:hAnsi="Times New Roman" w:eastAsia="宋体" w:cs="Times New Roman"/>
          <w:color w:val="auto"/>
          <w:kern w:val="0"/>
          <w:sz w:val="21"/>
          <w:szCs w:val="21"/>
          <w:highlight w:val="none"/>
          <w:lang w:eastAsia="zh-CN"/>
        </w:rPr>
        <w:t>投标人</w:t>
      </w:r>
      <w:r>
        <w:rPr>
          <w:rFonts w:hint="default" w:ascii="Times New Roman" w:hAnsi="Times New Roman" w:eastAsia="宋体" w:cs="Times New Roman"/>
          <w:color w:val="auto"/>
          <w:kern w:val="0"/>
          <w:sz w:val="21"/>
          <w:szCs w:val="21"/>
          <w:highlight w:val="none"/>
        </w:rPr>
        <w:t>按照合同约定保质保量进行供货。补足或更换的货物应在签署货损证明之日起7日内运达</w:t>
      </w:r>
      <w:r>
        <w:rPr>
          <w:rFonts w:hint="default" w:ascii="Times New Roman" w:hAnsi="Times New Roman" w:eastAsia="宋体" w:cs="Times New Roman"/>
          <w:color w:val="auto"/>
          <w:kern w:val="0"/>
          <w:sz w:val="21"/>
          <w:szCs w:val="21"/>
          <w:highlight w:val="none"/>
          <w:lang w:eastAsia="zh-CN"/>
        </w:rPr>
        <w:t>采购方</w:t>
      </w:r>
      <w:r>
        <w:rPr>
          <w:rFonts w:hint="default" w:ascii="Times New Roman" w:hAnsi="Times New Roman" w:eastAsia="宋体" w:cs="Times New Roman"/>
          <w:color w:val="auto"/>
          <w:kern w:val="0"/>
          <w:sz w:val="21"/>
          <w:szCs w:val="21"/>
          <w:highlight w:val="none"/>
        </w:rPr>
        <w:t>指定地点。</w:t>
      </w:r>
    </w:p>
    <w:p w14:paraId="225ED71B">
      <w:pPr>
        <w:pageBreakBefore w:val="0"/>
        <w:widowControl/>
        <w:shd w:val="clear" w:color="auto" w:fill="FFFFFF"/>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B.验收：</w:t>
      </w:r>
      <w:r>
        <w:rPr>
          <w:rFonts w:hint="default" w:ascii="Times New Roman" w:hAnsi="Times New Roman" w:eastAsia="宋体" w:cs="Times New Roman"/>
          <w:color w:val="auto"/>
          <w:kern w:val="0"/>
          <w:sz w:val="21"/>
          <w:szCs w:val="21"/>
          <w:highlight w:val="none"/>
          <w:lang w:eastAsia="zh-CN"/>
        </w:rPr>
        <w:t>投标人</w:t>
      </w:r>
      <w:r>
        <w:rPr>
          <w:rFonts w:hint="default" w:ascii="Times New Roman" w:hAnsi="Times New Roman" w:eastAsia="宋体" w:cs="Times New Roman"/>
          <w:color w:val="auto"/>
          <w:kern w:val="0"/>
          <w:sz w:val="21"/>
          <w:szCs w:val="21"/>
          <w:highlight w:val="none"/>
        </w:rPr>
        <w:t>将货物安装调试完毕后试运行30天，无质量问题，书面通知</w:t>
      </w:r>
      <w:r>
        <w:rPr>
          <w:rFonts w:hint="default" w:ascii="Times New Roman" w:hAnsi="Times New Roman" w:eastAsia="宋体" w:cs="Times New Roman"/>
          <w:color w:val="auto"/>
          <w:kern w:val="0"/>
          <w:sz w:val="21"/>
          <w:szCs w:val="21"/>
          <w:highlight w:val="none"/>
          <w:lang w:eastAsia="zh-CN"/>
        </w:rPr>
        <w:t>采购方</w:t>
      </w:r>
      <w:r>
        <w:rPr>
          <w:rFonts w:hint="default" w:ascii="Times New Roman" w:hAnsi="Times New Roman" w:eastAsia="宋体" w:cs="Times New Roman"/>
          <w:color w:val="auto"/>
          <w:kern w:val="0"/>
          <w:sz w:val="21"/>
          <w:szCs w:val="21"/>
          <w:highlight w:val="none"/>
        </w:rPr>
        <w:t>进行验收，</w:t>
      </w:r>
      <w:r>
        <w:rPr>
          <w:rFonts w:hint="default" w:ascii="Times New Roman" w:hAnsi="Times New Roman" w:eastAsia="宋体" w:cs="Times New Roman"/>
          <w:color w:val="auto"/>
          <w:kern w:val="0"/>
          <w:sz w:val="21"/>
          <w:szCs w:val="21"/>
          <w:highlight w:val="none"/>
          <w:lang w:eastAsia="zh-CN"/>
        </w:rPr>
        <w:t>采购方</w:t>
      </w:r>
      <w:r>
        <w:rPr>
          <w:rFonts w:hint="default" w:ascii="Times New Roman" w:hAnsi="Times New Roman" w:eastAsia="宋体" w:cs="Times New Roman"/>
          <w:color w:val="auto"/>
          <w:kern w:val="0"/>
          <w:sz w:val="21"/>
          <w:szCs w:val="21"/>
          <w:highlight w:val="none"/>
        </w:rPr>
        <w:t>在收到通知之日5天内按照国家标准对设备的质量、使用、运行等情况进行验收，验收合格后双方签署验收合格证书。</w:t>
      </w:r>
    </w:p>
    <w:p w14:paraId="60B99686">
      <w:pPr>
        <w:keepNext/>
        <w:keepLines/>
        <w:pageBreakBefore w:val="0"/>
        <w:kinsoku/>
        <w:wordWrap/>
        <w:overflowPunct/>
        <w:topLinePunct w:val="0"/>
        <w:autoSpaceDE w:val="0"/>
        <w:autoSpaceDN w:val="0"/>
        <w:bidi w:val="0"/>
        <w:adjustRightInd w:val="0"/>
        <w:spacing w:line="360" w:lineRule="auto"/>
        <w:ind w:left="0" w:leftChars="0" w:firstLine="422" w:firstLineChars="200"/>
        <w:jc w:val="left"/>
        <w:textAlignment w:val="auto"/>
        <w:outlineLvl w:val="9"/>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rPr>
        <w:t>★</w:t>
      </w:r>
      <w:r>
        <w:rPr>
          <w:rFonts w:hint="default" w:ascii="Times New Roman" w:hAnsi="Times New Roman" w:eastAsia="宋体" w:cs="Times New Roman"/>
          <w:b/>
          <w:bCs/>
          <w:color w:val="auto"/>
          <w:sz w:val="21"/>
          <w:szCs w:val="21"/>
          <w:highlight w:val="none"/>
        </w:rPr>
        <w:t>（十）交付时间及地点</w:t>
      </w:r>
    </w:p>
    <w:p w14:paraId="5D81836E">
      <w:pPr>
        <w:pageBreakBefore w:val="0"/>
        <w:kinsoku/>
        <w:wordWrap/>
        <w:overflowPunct/>
        <w:topLinePunct w:val="0"/>
        <w:bidi w:val="0"/>
        <w:snapToGrid w:val="0"/>
        <w:spacing w:line="360" w:lineRule="auto"/>
        <w:ind w:left="0" w:leftChars="0" w:firstLine="420" w:firstLineChars="200"/>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1、交付时间：</w:t>
      </w:r>
      <w:r>
        <w:rPr>
          <w:rFonts w:hint="eastAsia" w:cs="Times New Roman"/>
          <w:color w:val="auto"/>
          <w:sz w:val="21"/>
          <w:szCs w:val="21"/>
          <w:highlight w:val="none"/>
          <w:lang w:val="en-US" w:eastAsia="zh-CN"/>
        </w:rPr>
        <w:t>详见招标项目简要说明</w:t>
      </w:r>
      <w:r>
        <w:rPr>
          <w:rFonts w:hint="default" w:ascii="Times New Roman" w:hAnsi="Times New Roman" w:eastAsia="宋体" w:cs="Times New Roman"/>
          <w:color w:val="auto"/>
          <w:sz w:val="21"/>
          <w:szCs w:val="21"/>
          <w:highlight w:val="none"/>
          <w:lang w:eastAsia="zh-CN"/>
        </w:rPr>
        <w:t>。</w:t>
      </w:r>
    </w:p>
    <w:p w14:paraId="670C0062">
      <w:pPr>
        <w:pageBreakBefore w:val="0"/>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2、交货地点：江苏南京，用户指定地点。</w:t>
      </w:r>
    </w:p>
    <w:p w14:paraId="1D3C51E9">
      <w:pPr>
        <w:keepNext/>
        <w:keepLines/>
        <w:pageBreakBefore w:val="0"/>
        <w:kinsoku/>
        <w:wordWrap/>
        <w:overflowPunct/>
        <w:topLinePunct w:val="0"/>
        <w:autoSpaceDE w:val="0"/>
        <w:autoSpaceDN w:val="0"/>
        <w:bidi w:val="0"/>
        <w:adjustRightInd w:val="0"/>
        <w:spacing w:line="360" w:lineRule="auto"/>
        <w:ind w:left="0" w:leftChars="0" w:firstLine="422" w:firstLineChars="200"/>
        <w:jc w:val="left"/>
        <w:textAlignment w:val="auto"/>
        <w:outlineLvl w:val="9"/>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（十一）知识产权要求（投标人需提供承诺函）</w:t>
      </w:r>
    </w:p>
    <w:p w14:paraId="6DCCCC1F">
      <w:pPr>
        <w:pageBreakBefore w:val="0"/>
        <w:widowControl/>
        <w:shd w:val="clear" w:color="auto" w:fill="FFFFFF"/>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采购人在履行合同过程中提供给投标人的全部图纸、文件和其他含有数据和信息的资料，其知识产权属于采购人。未经采购人同意，投标人不得将其用于本合同目的之外的其他用途，且不得擅自向第三方转让、披露。</w:t>
      </w:r>
    </w:p>
    <w:p w14:paraId="531C5E36">
      <w:pPr>
        <w:pageBreakBefore w:val="0"/>
        <w:widowControl/>
        <w:shd w:val="clear" w:color="auto" w:fill="FFFFFF"/>
        <w:kinsoku/>
        <w:wordWrap/>
        <w:overflowPunct/>
        <w:topLinePunct w:val="0"/>
        <w:bidi w:val="0"/>
        <w:spacing w:line="360" w:lineRule="auto"/>
        <w:ind w:left="0" w:leftChars="0" w:firstLine="420" w:firstLineChars="200"/>
        <w:textAlignment w:val="auto"/>
        <w:outlineLvl w:val="9"/>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2、如合同货物涉及知识产权，则投标人保证采购人在使用合同货物的过程中免于受到第三方提出的有关知识产权侵权的主张、索赔或诉讼的损失。</w:t>
      </w:r>
    </w:p>
    <w:p w14:paraId="4A12961E">
      <w:pPr>
        <w:pageBreakBefore w:val="0"/>
        <w:widowControl/>
        <w:shd w:val="clear" w:color="auto" w:fill="FFFFFF"/>
        <w:kinsoku/>
        <w:wordWrap/>
        <w:overflowPunct/>
        <w:topLinePunct w:val="0"/>
        <w:bidi w:val="0"/>
        <w:spacing w:line="360" w:lineRule="auto"/>
        <w:ind w:left="0" w:leftChars="0" w:firstLine="420" w:firstLineChars="200"/>
        <w:textAlignment w:val="auto"/>
        <w:outlineLvl w:val="9"/>
        <w:rPr>
          <w:rFonts w:hint="eastAsia" w:cs="Times New Roman"/>
          <w:b/>
          <w:bCs/>
          <w:color w:val="auto"/>
          <w:kern w:val="0"/>
          <w:szCs w:val="21"/>
          <w:highlight w:val="none"/>
          <w:lang w:val="en-US" w:eastAsia="zh-CN"/>
        </w:rPr>
      </w:pPr>
      <w:r>
        <w:rPr>
          <w:rFonts w:hint="default" w:ascii="Times New Roman" w:hAnsi="Times New Roman" w:eastAsia="宋体" w:cs="Times New Roman"/>
          <w:color w:val="auto"/>
          <w:kern w:val="0"/>
          <w:sz w:val="21"/>
          <w:szCs w:val="21"/>
          <w:highlight w:val="none"/>
        </w:rPr>
        <w:t>3、如果采购人收到任何第三方有关知识产权的主张、索赔或诉讼，投标人应自负费用处理与第三方的索赔或诉讼，并赔偿采购人因此发生的费用和遭受的损失。如果投标人拒绝处理前述索赔或诉讼，采购人以自己的名义进行这些索赔或诉讼，因此发生的费用和遭受的损失均由投标人承担。</w:t>
      </w:r>
    </w:p>
    <w:bookmarkEnd w:id="216"/>
    <w:p w14:paraId="0B36A698">
      <w:pPr>
        <w:pageBreakBefore w:val="0"/>
        <w:widowControl/>
        <w:shd w:val="clear" w:color="auto" w:fill="FFFFFF"/>
        <w:kinsoku/>
        <w:wordWrap/>
        <w:overflowPunct/>
        <w:topLinePunct w:val="0"/>
        <w:bidi w:val="0"/>
        <w:spacing w:line="360" w:lineRule="auto"/>
        <w:ind w:left="0" w:leftChars="0" w:firstLine="422" w:firstLineChars="200"/>
        <w:textAlignment w:val="auto"/>
        <w:outlineLvl w:val="9"/>
        <w:rPr>
          <w:rFonts w:hint="default" w:ascii="Times New Roman" w:hAnsi="Times New Roman" w:cs="Times New Roman"/>
          <w:b/>
          <w:bCs/>
          <w:color w:val="auto"/>
          <w:kern w:val="0"/>
          <w:szCs w:val="21"/>
          <w:highlight w:val="none"/>
        </w:rPr>
      </w:pPr>
    </w:p>
    <w:p w14:paraId="1176733C">
      <w:pPr>
        <w:spacing w:line="360" w:lineRule="auto"/>
        <w:outlineLvl w:val="9"/>
        <w:rPr>
          <w:rFonts w:hint="eastAsia" w:cs="Times New Roman"/>
          <w:b/>
          <w:bCs/>
          <w:color w:val="auto"/>
          <w:kern w:val="0"/>
          <w:szCs w:val="21"/>
          <w:highlight w:val="none"/>
          <w:lang w:val="en-US" w:eastAsia="zh-CN"/>
        </w:rPr>
      </w:pPr>
    </w:p>
    <w:bookmarkEnd w:id="217"/>
    <w:bookmarkEnd w:id="218"/>
    <w:p w14:paraId="69B7CE1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9"/>
        <w:rPr>
          <w:rFonts w:hint="default" w:ascii="Times New Roman" w:hAnsi="Times New Roman" w:eastAsia="宋体" w:cs="Times New Roman"/>
          <w:b/>
          <w:bCs/>
          <w:color w:val="auto"/>
          <w:kern w:val="0"/>
          <w:szCs w:val="21"/>
          <w:highlight w:val="none"/>
        </w:rPr>
      </w:pPr>
      <w:r>
        <w:rPr>
          <w:rFonts w:hint="default" w:ascii="Times New Roman" w:hAnsi="Times New Roman" w:eastAsia="宋体" w:cs="Times New Roman"/>
          <w:b/>
          <w:bCs/>
          <w:color w:val="auto"/>
          <w:kern w:val="0"/>
          <w:szCs w:val="21"/>
          <w:highlight w:val="none"/>
        </w:rPr>
        <w:br w:type="page"/>
      </w:r>
    </w:p>
    <w:p w14:paraId="174FCD42">
      <w:pPr>
        <w:spacing w:line="360" w:lineRule="auto"/>
        <w:jc w:val="center"/>
        <w:outlineLvl w:val="0"/>
        <w:rPr>
          <w:rFonts w:hint="default" w:ascii="Times New Roman" w:hAnsi="Times New Roman" w:cs="Times New Roman"/>
          <w:b/>
          <w:color w:val="auto"/>
          <w:sz w:val="28"/>
          <w:szCs w:val="28"/>
          <w:highlight w:val="none"/>
        </w:rPr>
      </w:pPr>
      <w:bookmarkStart w:id="222" w:name="_Toc31583"/>
      <w:r>
        <w:rPr>
          <w:rFonts w:hint="default" w:ascii="Times New Roman" w:hAnsi="Times New Roman" w:cs="Times New Roman"/>
          <w:b/>
          <w:color w:val="auto"/>
          <w:sz w:val="28"/>
          <w:szCs w:val="28"/>
          <w:highlight w:val="none"/>
        </w:rPr>
        <w:t>第五章 拟签订的合同文本</w:t>
      </w:r>
      <w:bookmarkEnd w:id="219"/>
      <w:bookmarkEnd w:id="222"/>
    </w:p>
    <w:p w14:paraId="05CC719E">
      <w:pPr>
        <w:spacing w:line="440" w:lineRule="exact"/>
        <w:jc w:val="center"/>
        <w:rPr>
          <w:rFonts w:hint="default" w:ascii="Times New Roman" w:hAnsi="Times New Roman" w:cs="Times New Roman"/>
          <w:b/>
          <w:color w:val="auto"/>
          <w:sz w:val="28"/>
          <w:szCs w:val="28"/>
          <w:highlight w:val="none"/>
        </w:rPr>
      </w:pPr>
      <w:bookmarkStart w:id="223" w:name="_Toc6085"/>
      <w:r>
        <w:rPr>
          <w:rFonts w:hint="default" w:ascii="Times New Roman" w:hAnsi="Times New Roman" w:cs="Times New Roman"/>
          <w:b/>
          <w:color w:val="auto"/>
          <w:sz w:val="28"/>
          <w:szCs w:val="28"/>
          <w:highlight w:val="none"/>
        </w:rPr>
        <w:t>（参考格式，本合同内容条款在正式签署前可具体补充细化，仅作参考，最终合同以采购人法务审查通过的版本为准）</w:t>
      </w:r>
      <w:bookmarkEnd w:id="223"/>
    </w:p>
    <w:p w14:paraId="42A47221">
      <w:pPr>
        <w:spacing w:line="360" w:lineRule="auto"/>
        <w:rPr>
          <w:rFonts w:hint="default" w:ascii="Times New Roman" w:hAnsi="Times New Roman" w:cs="Times New Roman"/>
          <w:color w:val="auto"/>
          <w:szCs w:val="24"/>
          <w:highlight w:val="none"/>
        </w:rPr>
      </w:pPr>
    </w:p>
    <w:p w14:paraId="037F7C71">
      <w:pPr>
        <w:widowControl/>
        <w:snapToGrid w:val="0"/>
        <w:spacing w:line="360" w:lineRule="auto"/>
        <w:rPr>
          <w:b/>
          <w:color w:val="auto"/>
          <w:szCs w:val="21"/>
          <w:highlight w:val="none"/>
          <w:u w:val="single"/>
        </w:rPr>
      </w:pPr>
      <w:r>
        <w:rPr>
          <w:color w:val="auto"/>
          <w:szCs w:val="21"/>
          <w:highlight w:val="none"/>
        </w:rPr>
        <w:t>甲方：中国医学科学院皮肤病医院（中国医学科学院皮肤病研究所）</w:t>
      </w:r>
    </w:p>
    <w:p w14:paraId="1AF850A3">
      <w:pPr>
        <w:widowControl/>
        <w:snapToGrid w:val="0"/>
        <w:spacing w:line="360" w:lineRule="auto"/>
        <w:rPr>
          <w:color w:val="auto"/>
          <w:szCs w:val="21"/>
          <w:highlight w:val="none"/>
          <w:u w:val="single"/>
        </w:rPr>
      </w:pPr>
      <w:r>
        <w:rPr>
          <w:color w:val="auto"/>
          <w:szCs w:val="21"/>
          <w:highlight w:val="none"/>
        </w:rPr>
        <w:t>乙方：</w:t>
      </w:r>
    </w:p>
    <w:p w14:paraId="4F354290">
      <w:pPr>
        <w:widowControl/>
        <w:snapToGrid w:val="0"/>
        <w:spacing w:line="360" w:lineRule="auto"/>
        <w:ind w:firstLine="420" w:firstLineChars="200"/>
        <w:rPr>
          <w:color w:val="auto"/>
          <w:szCs w:val="21"/>
          <w:highlight w:val="none"/>
        </w:rPr>
      </w:pPr>
      <w:r>
        <w:rPr>
          <w:color w:val="auto"/>
          <w:szCs w:val="21"/>
          <w:highlight w:val="none"/>
        </w:rPr>
        <w:t>甲乙双方根据202</w:t>
      </w:r>
      <w:r>
        <w:rPr>
          <w:rFonts w:hint="eastAsia"/>
          <w:color w:val="auto"/>
          <w:szCs w:val="21"/>
          <w:highlight w:val="none"/>
          <w:lang w:val="en-US" w:eastAsia="zh-CN"/>
        </w:rPr>
        <w:t>6</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日组织项目编号</w:t>
      </w:r>
      <w:r>
        <w:rPr>
          <w:color w:val="auto"/>
          <w:szCs w:val="21"/>
          <w:highlight w:val="none"/>
          <w:u w:val="single"/>
        </w:rPr>
        <w:t xml:space="preserve">              </w:t>
      </w:r>
      <w:r>
        <w:rPr>
          <w:color w:val="auto"/>
          <w:szCs w:val="21"/>
          <w:highlight w:val="none"/>
        </w:rPr>
        <w:t>的</w:t>
      </w:r>
      <w:r>
        <w:rPr>
          <w:color w:val="auto"/>
          <w:szCs w:val="21"/>
          <w:highlight w:val="none"/>
          <w:u w:val="single"/>
        </w:rPr>
        <w:t xml:space="preserve">           </w:t>
      </w:r>
      <w:r>
        <w:rPr>
          <w:bCs/>
          <w:color w:val="auto"/>
          <w:szCs w:val="21"/>
          <w:highlight w:val="none"/>
        </w:rPr>
        <w:t>项目</w:t>
      </w:r>
      <w:r>
        <w:rPr>
          <w:color w:val="auto"/>
          <w:szCs w:val="21"/>
          <w:highlight w:val="none"/>
        </w:rPr>
        <w:t>采购结果及采购文件的要求，经协商一致,达成如下货物购销合同：</w:t>
      </w:r>
    </w:p>
    <w:p w14:paraId="34492CA9">
      <w:pPr>
        <w:widowControl/>
        <w:snapToGrid w:val="0"/>
        <w:spacing w:line="360" w:lineRule="auto"/>
        <w:ind w:firstLine="420" w:firstLineChars="200"/>
        <w:rPr>
          <w:color w:val="auto"/>
          <w:szCs w:val="21"/>
          <w:highlight w:val="none"/>
        </w:rPr>
      </w:pPr>
      <w:r>
        <w:rPr>
          <w:color w:val="auto"/>
          <w:szCs w:val="21"/>
          <w:highlight w:val="none"/>
        </w:rPr>
        <w:t>一、</w:t>
      </w:r>
      <w:r>
        <w:rPr>
          <w:b/>
          <w:bCs/>
          <w:color w:val="auto"/>
          <w:szCs w:val="21"/>
          <w:highlight w:val="none"/>
        </w:rPr>
        <w:t>货物及其数量、金额等</w:t>
      </w:r>
    </w:p>
    <w:tbl>
      <w:tblPr>
        <w:tblStyle w:val="4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
        <w:gridCol w:w="1294"/>
        <w:gridCol w:w="1050"/>
        <w:gridCol w:w="815"/>
        <w:gridCol w:w="2464"/>
        <w:gridCol w:w="762"/>
        <w:gridCol w:w="975"/>
        <w:gridCol w:w="1081"/>
        <w:gridCol w:w="826"/>
      </w:tblGrid>
      <w:tr w14:paraId="77C5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295" w:type="pct"/>
            <w:vAlign w:val="center"/>
          </w:tcPr>
          <w:p w14:paraId="3BE2C292">
            <w:pPr>
              <w:spacing w:line="360" w:lineRule="auto"/>
              <w:jc w:val="center"/>
              <w:rPr>
                <w:b/>
                <w:bCs/>
                <w:color w:val="auto"/>
                <w:szCs w:val="21"/>
                <w:highlight w:val="none"/>
              </w:rPr>
            </w:pPr>
            <w:r>
              <w:rPr>
                <w:b/>
                <w:bCs/>
                <w:color w:val="auto"/>
                <w:szCs w:val="21"/>
                <w:highlight w:val="none"/>
              </w:rPr>
              <w:t>序号</w:t>
            </w:r>
          </w:p>
        </w:tc>
        <w:tc>
          <w:tcPr>
            <w:tcW w:w="657" w:type="pct"/>
            <w:vAlign w:val="center"/>
          </w:tcPr>
          <w:p w14:paraId="2F864A29">
            <w:pPr>
              <w:spacing w:line="360" w:lineRule="auto"/>
              <w:jc w:val="center"/>
              <w:rPr>
                <w:b/>
                <w:bCs/>
                <w:color w:val="auto"/>
                <w:szCs w:val="21"/>
                <w:highlight w:val="none"/>
              </w:rPr>
            </w:pPr>
            <w:r>
              <w:rPr>
                <w:b/>
                <w:bCs/>
                <w:color w:val="auto"/>
                <w:szCs w:val="21"/>
                <w:highlight w:val="none"/>
              </w:rPr>
              <w:t>货物</w:t>
            </w:r>
          </w:p>
          <w:p w14:paraId="17601D92">
            <w:pPr>
              <w:spacing w:line="360" w:lineRule="auto"/>
              <w:jc w:val="center"/>
              <w:rPr>
                <w:b/>
                <w:bCs/>
                <w:color w:val="auto"/>
                <w:szCs w:val="21"/>
                <w:highlight w:val="none"/>
              </w:rPr>
            </w:pPr>
            <w:r>
              <w:rPr>
                <w:b/>
                <w:bCs/>
                <w:color w:val="auto"/>
                <w:szCs w:val="21"/>
                <w:highlight w:val="none"/>
              </w:rPr>
              <w:t>名称</w:t>
            </w:r>
          </w:p>
        </w:tc>
        <w:tc>
          <w:tcPr>
            <w:tcW w:w="533" w:type="pct"/>
            <w:vAlign w:val="center"/>
          </w:tcPr>
          <w:p w14:paraId="5E612389">
            <w:pPr>
              <w:spacing w:line="360" w:lineRule="auto"/>
              <w:jc w:val="center"/>
              <w:rPr>
                <w:b/>
                <w:bCs/>
                <w:color w:val="auto"/>
                <w:szCs w:val="21"/>
                <w:highlight w:val="none"/>
              </w:rPr>
            </w:pPr>
            <w:r>
              <w:rPr>
                <w:b/>
                <w:bCs/>
                <w:color w:val="auto"/>
                <w:szCs w:val="21"/>
                <w:highlight w:val="none"/>
              </w:rPr>
              <w:t>规格</w:t>
            </w:r>
          </w:p>
          <w:p w14:paraId="046CD232">
            <w:pPr>
              <w:spacing w:line="360" w:lineRule="auto"/>
              <w:jc w:val="center"/>
              <w:rPr>
                <w:b/>
                <w:bCs/>
                <w:color w:val="auto"/>
                <w:szCs w:val="21"/>
                <w:highlight w:val="none"/>
              </w:rPr>
            </w:pPr>
            <w:r>
              <w:rPr>
                <w:b/>
                <w:bCs/>
                <w:color w:val="auto"/>
                <w:szCs w:val="21"/>
                <w:highlight w:val="none"/>
              </w:rPr>
              <w:t>型号</w:t>
            </w:r>
          </w:p>
        </w:tc>
        <w:tc>
          <w:tcPr>
            <w:tcW w:w="414" w:type="pct"/>
            <w:vAlign w:val="center"/>
          </w:tcPr>
          <w:p w14:paraId="220D5149">
            <w:pPr>
              <w:spacing w:line="360" w:lineRule="auto"/>
              <w:jc w:val="center"/>
              <w:rPr>
                <w:b/>
                <w:bCs/>
                <w:color w:val="auto"/>
                <w:szCs w:val="21"/>
                <w:highlight w:val="none"/>
              </w:rPr>
            </w:pPr>
            <w:r>
              <w:rPr>
                <w:b/>
                <w:bCs/>
                <w:color w:val="auto"/>
                <w:szCs w:val="21"/>
                <w:highlight w:val="none"/>
              </w:rPr>
              <w:t>品牌</w:t>
            </w:r>
          </w:p>
        </w:tc>
        <w:tc>
          <w:tcPr>
            <w:tcW w:w="1251" w:type="pct"/>
            <w:vAlign w:val="center"/>
          </w:tcPr>
          <w:p w14:paraId="5BCEBBFE">
            <w:pPr>
              <w:spacing w:line="360" w:lineRule="auto"/>
              <w:jc w:val="center"/>
              <w:rPr>
                <w:b/>
                <w:bCs/>
                <w:color w:val="auto"/>
                <w:szCs w:val="21"/>
                <w:highlight w:val="none"/>
              </w:rPr>
            </w:pPr>
            <w:r>
              <w:rPr>
                <w:b/>
                <w:bCs/>
                <w:color w:val="auto"/>
                <w:szCs w:val="21"/>
                <w:highlight w:val="none"/>
              </w:rPr>
              <w:t>制造厂商/产地/国别</w:t>
            </w:r>
          </w:p>
        </w:tc>
        <w:tc>
          <w:tcPr>
            <w:tcW w:w="387" w:type="pct"/>
            <w:vAlign w:val="center"/>
          </w:tcPr>
          <w:p w14:paraId="096ECA78">
            <w:pPr>
              <w:spacing w:line="360" w:lineRule="auto"/>
              <w:jc w:val="center"/>
              <w:rPr>
                <w:b/>
                <w:bCs/>
                <w:color w:val="auto"/>
                <w:szCs w:val="21"/>
                <w:highlight w:val="none"/>
              </w:rPr>
            </w:pPr>
            <w:r>
              <w:rPr>
                <w:b/>
                <w:bCs/>
                <w:color w:val="auto"/>
                <w:szCs w:val="21"/>
                <w:highlight w:val="none"/>
              </w:rPr>
              <w:t>数量</w:t>
            </w:r>
          </w:p>
        </w:tc>
        <w:tc>
          <w:tcPr>
            <w:tcW w:w="495" w:type="pct"/>
            <w:vAlign w:val="center"/>
          </w:tcPr>
          <w:p w14:paraId="79DC360E">
            <w:pPr>
              <w:spacing w:line="360" w:lineRule="auto"/>
              <w:jc w:val="center"/>
              <w:rPr>
                <w:b/>
                <w:bCs/>
                <w:color w:val="auto"/>
                <w:szCs w:val="21"/>
                <w:highlight w:val="none"/>
              </w:rPr>
            </w:pPr>
            <w:r>
              <w:rPr>
                <w:b/>
                <w:bCs/>
                <w:color w:val="auto"/>
                <w:szCs w:val="21"/>
                <w:highlight w:val="none"/>
              </w:rPr>
              <w:t>单价（元）</w:t>
            </w:r>
          </w:p>
        </w:tc>
        <w:tc>
          <w:tcPr>
            <w:tcW w:w="549" w:type="pct"/>
            <w:vAlign w:val="center"/>
          </w:tcPr>
          <w:p w14:paraId="593403A0">
            <w:pPr>
              <w:spacing w:line="360" w:lineRule="auto"/>
              <w:jc w:val="center"/>
              <w:rPr>
                <w:b/>
                <w:bCs/>
                <w:color w:val="auto"/>
                <w:szCs w:val="21"/>
                <w:highlight w:val="none"/>
              </w:rPr>
            </w:pPr>
            <w:r>
              <w:rPr>
                <w:b/>
                <w:bCs/>
                <w:color w:val="auto"/>
                <w:szCs w:val="21"/>
                <w:highlight w:val="none"/>
              </w:rPr>
              <w:t>总价（元）</w:t>
            </w:r>
          </w:p>
        </w:tc>
        <w:tc>
          <w:tcPr>
            <w:tcW w:w="414" w:type="pct"/>
            <w:vAlign w:val="center"/>
          </w:tcPr>
          <w:p w14:paraId="58EB3383">
            <w:pPr>
              <w:spacing w:line="360" w:lineRule="auto"/>
              <w:jc w:val="center"/>
              <w:rPr>
                <w:b/>
                <w:bCs/>
                <w:color w:val="auto"/>
                <w:szCs w:val="21"/>
                <w:highlight w:val="none"/>
              </w:rPr>
            </w:pPr>
            <w:r>
              <w:rPr>
                <w:b/>
                <w:bCs/>
                <w:color w:val="auto"/>
                <w:szCs w:val="21"/>
                <w:highlight w:val="none"/>
              </w:rPr>
              <w:t>备注</w:t>
            </w:r>
          </w:p>
        </w:tc>
      </w:tr>
      <w:tr w14:paraId="7F2FE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 w:type="pct"/>
            <w:vAlign w:val="center"/>
          </w:tcPr>
          <w:p w14:paraId="16EE2394">
            <w:pPr>
              <w:spacing w:line="360" w:lineRule="auto"/>
              <w:rPr>
                <w:color w:val="auto"/>
                <w:szCs w:val="21"/>
                <w:highlight w:val="none"/>
              </w:rPr>
            </w:pPr>
          </w:p>
        </w:tc>
        <w:tc>
          <w:tcPr>
            <w:tcW w:w="657" w:type="pct"/>
            <w:vAlign w:val="center"/>
          </w:tcPr>
          <w:p w14:paraId="129C0968">
            <w:pPr>
              <w:spacing w:line="360" w:lineRule="auto"/>
              <w:rPr>
                <w:color w:val="auto"/>
                <w:szCs w:val="21"/>
                <w:highlight w:val="none"/>
              </w:rPr>
            </w:pPr>
          </w:p>
        </w:tc>
        <w:tc>
          <w:tcPr>
            <w:tcW w:w="533" w:type="pct"/>
            <w:vAlign w:val="center"/>
          </w:tcPr>
          <w:p w14:paraId="4DCC619E">
            <w:pPr>
              <w:spacing w:line="360" w:lineRule="auto"/>
              <w:rPr>
                <w:color w:val="auto"/>
                <w:szCs w:val="21"/>
                <w:highlight w:val="none"/>
              </w:rPr>
            </w:pPr>
          </w:p>
        </w:tc>
        <w:tc>
          <w:tcPr>
            <w:tcW w:w="414" w:type="pct"/>
            <w:vAlign w:val="center"/>
          </w:tcPr>
          <w:p w14:paraId="1AE7E295">
            <w:pPr>
              <w:spacing w:line="360" w:lineRule="auto"/>
              <w:rPr>
                <w:color w:val="auto"/>
                <w:szCs w:val="21"/>
                <w:highlight w:val="none"/>
              </w:rPr>
            </w:pPr>
          </w:p>
        </w:tc>
        <w:tc>
          <w:tcPr>
            <w:tcW w:w="1251" w:type="pct"/>
            <w:vAlign w:val="center"/>
          </w:tcPr>
          <w:p w14:paraId="25D72E53">
            <w:pPr>
              <w:spacing w:line="360" w:lineRule="auto"/>
              <w:rPr>
                <w:color w:val="auto"/>
                <w:szCs w:val="21"/>
                <w:highlight w:val="none"/>
              </w:rPr>
            </w:pPr>
          </w:p>
        </w:tc>
        <w:tc>
          <w:tcPr>
            <w:tcW w:w="387" w:type="pct"/>
            <w:vAlign w:val="center"/>
          </w:tcPr>
          <w:p w14:paraId="4D2DE5ED">
            <w:pPr>
              <w:spacing w:line="360" w:lineRule="auto"/>
              <w:rPr>
                <w:color w:val="auto"/>
                <w:szCs w:val="21"/>
                <w:highlight w:val="none"/>
              </w:rPr>
            </w:pPr>
          </w:p>
        </w:tc>
        <w:tc>
          <w:tcPr>
            <w:tcW w:w="495" w:type="pct"/>
            <w:vAlign w:val="center"/>
          </w:tcPr>
          <w:p w14:paraId="24597789">
            <w:pPr>
              <w:spacing w:line="360" w:lineRule="auto"/>
              <w:rPr>
                <w:color w:val="auto"/>
                <w:szCs w:val="21"/>
                <w:highlight w:val="none"/>
              </w:rPr>
            </w:pPr>
          </w:p>
        </w:tc>
        <w:tc>
          <w:tcPr>
            <w:tcW w:w="549" w:type="pct"/>
            <w:vAlign w:val="center"/>
          </w:tcPr>
          <w:p w14:paraId="3ABF577B">
            <w:pPr>
              <w:spacing w:line="360" w:lineRule="auto"/>
              <w:rPr>
                <w:color w:val="auto"/>
                <w:szCs w:val="21"/>
                <w:highlight w:val="none"/>
              </w:rPr>
            </w:pPr>
          </w:p>
        </w:tc>
        <w:tc>
          <w:tcPr>
            <w:tcW w:w="414" w:type="pct"/>
            <w:vAlign w:val="center"/>
          </w:tcPr>
          <w:p w14:paraId="366DB222">
            <w:pPr>
              <w:spacing w:line="360" w:lineRule="auto"/>
              <w:rPr>
                <w:color w:val="auto"/>
                <w:szCs w:val="21"/>
                <w:highlight w:val="none"/>
              </w:rPr>
            </w:pPr>
          </w:p>
        </w:tc>
      </w:tr>
      <w:tr w14:paraId="5962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00" w:type="pct"/>
            <w:gridSpan w:val="9"/>
            <w:vAlign w:val="center"/>
          </w:tcPr>
          <w:p w14:paraId="1A4EAD08">
            <w:pPr>
              <w:spacing w:line="360" w:lineRule="auto"/>
              <w:rPr>
                <w:color w:val="auto"/>
                <w:szCs w:val="21"/>
                <w:highlight w:val="none"/>
              </w:rPr>
            </w:pPr>
            <w:r>
              <w:rPr>
                <w:color w:val="auto"/>
                <w:szCs w:val="21"/>
                <w:highlight w:val="none"/>
              </w:rPr>
              <w:t>合同总金额：人民币（大写）：</w:t>
            </w:r>
            <w:r>
              <w:rPr>
                <w:color w:val="auto"/>
                <w:szCs w:val="21"/>
                <w:highlight w:val="none"/>
                <w:u w:val="single"/>
              </w:rPr>
              <w:t xml:space="preserve">             </w:t>
            </w:r>
            <w:r>
              <w:rPr>
                <w:color w:val="auto"/>
                <w:szCs w:val="21"/>
                <w:highlight w:val="none"/>
              </w:rPr>
              <w:t>元整，RMB（小写）：</w:t>
            </w:r>
            <w:r>
              <w:rPr>
                <w:color w:val="auto"/>
                <w:szCs w:val="21"/>
                <w:highlight w:val="none"/>
                <w:u w:val="single"/>
              </w:rPr>
              <w:t xml:space="preserve">             </w:t>
            </w:r>
            <w:r>
              <w:rPr>
                <w:color w:val="auto"/>
                <w:szCs w:val="21"/>
                <w:highlight w:val="none"/>
              </w:rPr>
              <w:t>元整。</w:t>
            </w:r>
          </w:p>
          <w:p w14:paraId="13226EBD">
            <w:pPr>
              <w:spacing w:line="360" w:lineRule="auto"/>
              <w:rPr>
                <w:color w:val="auto"/>
                <w:szCs w:val="21"/>
                <w:highlight w:val="none"/>
              </w:rPr>
            </w:pPr>
            <w:r>
              <w:rPr>
                <w:color w:val="auto"/>
                <w:szCs w:val="21"/>
                <w:highlight w:val="none"/>
              </w:rPr>
              <w:t>本合同总金额是完成本项目所发生的包括但不仅限于所有含税费用、支付给员工的工资和国家强制缴纳的各种社会保障资金，以及乙方认为需要的其他费用，除此之外，甲方不再另行支付任何费用。</w:t>
            </w:r>
          </w:p>
        </w:tc>
      </w:tr>
    </w:tbl>
    <w:p w14:paraId="03B005E7">
      <w:pPr>
        <w:widowControl/>
        <w:tabs>
          <w:tab w:val="left" w:pos="1980"/>
        </w:tabs>
        <w:snapToGrid w:val="0"/>
        <w:spacing w:line="360" w:lineRule="auto"/>
        <w:ind w:firstLine="420" w:firstLineChars="200"/>
        <w:rPr>
          <w:b/>
          <w:bCs/>
          <w:color w:val="auto"/>
          <w:szCs w:val="21"/>
          <w:highlight w:val="none"/>
        </w:rPr>
      </w:pPr>
      <w:r>
        <w:rPr>
          <w:color w:val="auto"/>
          <w:szCs w:val="21"/>
          <w:highlight w:val="none"/>
        </w:rPr>
        <w:t>二</w:t>
      </w:r>
      <w:r>
        <w:rPr>
          <w:b/>
          <w:bCs/>
          <w:color w:val="auto"/>
          <w:szCs w:val="21"/>
          <w:highlight w:val="none"/>
        </w:rPr>
        <w:t>、交货地点及完成时间</w:t>
      </w:r>
    </w:p>
    <w:p w14:paraId="5D07DA40">
      <w:pPr>
        <w:widowControl/>
        <w:tabs>
          <w:tab w:val="left" w:pos="1980"/>
        </w:tabs>
        <w:snapToGrid w:val="0"/>
        <w:spacing w:line="360" w:lineRule="auto"/>
        <w:ind w:firstLine="420" w:firstLineChars="200"/>
        <w:rPr>
          <w:color w:val="auto"/>
          <w:szCs w:val="21"/>
          <w:highlight w:val="none"/>
        </w:rPr>
      </w:pPr>
      <w:r>
        <w:rPr>
          <w:color w:val="auto"/>
          <w:szCs w:val="21"/>
          <w:highlight w:val="none"/>
        </w:rPr>
        <w:t>1、交货地点：南京市玄武区蒋王庙街12号，中国医学科学院皮肤病医院。</w:t>
      </w:r>
    </w:p>
    <w:p w14:paraId="5FCF986C">
      <w:pPr>
        <w:widowControl/>
        <w:tabs>
          <w:tab w:val="left" w:pos="1980"/>
        </w:tabs>
        <w:snapToGrid w:val="0"/>
        <w:spacing w:line="360" w:lineRule="auto"/>
        <w:ind w:firstLine="420" w:firstLineChars="200"/>
        <w:rPr>
          <w:color w:val="auto"/>
          <w:szCs w:val="21"/>
          <w:highlight w:val="none"/>
          <w:u w:val="single"/>
        </w:rPr>
      </w:pPr>
      <w:r>
        <w:rPr>
          <w:color w:val="auto"/>
          <w:szCs w:val="21"/>
          <w:highlight w:val="none"/>
        </w:rPr>
        <w:t>2、完成时间：合同签订后</w:t>
      </w:r>
      <w:r>
        <w:rPr>
          <w:color w:val="auto"/>
          <w:szCs w:val="21"/>
          <w:highlight w:val="none"/>
          <w:u w:val="single"/>
        </w:rPr>
        <w:t xml:space="preserve">   </w:t>
      </w:r>
      <w:r>
        <w:rPr>
          <w:color w:val="auto"/>
          <w:szCs w:val="21"/>
          <w:highlight w:val="none"/>
        </w:rPr>
        <w:t>天内。</w:t>
      </w:r>
    </w:p>
    <w:p w14:paraId="27A7FAA3">
      <w:pPr>
        <w:widowControl/>
        <w:tabs>
          <w:tab w:val="left" w:pos="1980"/>
        </w:tabs>
        <w:snapToGrid w:val="0"/>
        <w:spacing w:line="360" w:lineRule="auto"/>
        <w:ind w:firstLine="422" w:firstLineChars="200"/>
        <w:rPr>
          <w:b/>
          <w:bCs/>
          <w:color w:val="auto"/>
          <w:szCs w:val="21"/>
          <w:highlight w:val="none"/>
        </w:rPr>
      </w:pPr>
      <w:r>
        <w:rPr>
          <w:b/>
          <w:bCs/>
          <w:color w:val="auto"/>
          <w:szCs w:val="21"/>
          <w:highlight w:val="none"/>
        </w:rPr>
        <w:t xml:space="preserve">三、履约保证金  </w:t>
      </w:r>
    </w:p>
    <w:p w14:paraId="5EEE4190">
      <w:pPr>
        <w:widowControl/>
        <w:tabs>
          <w:tab w:val="left" w:pos="1980"/>
        </w:tabs>
        <w:snapToGrid w:val="0"/>
        <w:spacing w:line="360" w:lineRule="auto"/>
        <w:ind w:firstLine="420" w:firstLineChars="200"/>
        <w:rPr>
          <w:b/>
          <w:bCs/>
          <w:color w:val="auto"/>
          <w:szCs w:val="21"/>
          <w:highlight w:val="none"/>
        </w:rPr>
      </w:pPr>
      <w:r>
        <w:rPr>
          <w:color w:val="auto"/>
          <w:szCs w:val="21"/>
          <w:highlight w:val="none"/>
        </w:rPr>
        <w:t>合同签订前，乙方支付合同金额的10%作为履约保证金，验收合格一年后无息退还。</w:t>
      </w:r>
    </w:p>
    <w:p w14:paraId="566832D4">
      <w:pPr>
        <w:widowControl/>
        <w:shd w:val="clear" w:color="auto" w:fill="FFFFFF"/>
        <w:spacing w:line="360" w:lineRule="auto"/>
        <w:ind w:firstLine="422" w:firstLineChars="200"/>
        <w:rPr>
          <w:color w:val="auto"/>
          <w:szCs w:val="21"/>
          <w:highlight w:val="none"/>
        </w:rPr>
      </w:pPr>
      <w:r>
        <w:rPr>
          <w:b/>
          <w:bCs/>
          <w:color w:val="auto"/>
          <w:szCs w:val="21"/>
          <w:highlight w:val="none"/>
        </w:rPr>
        <w:t>四、验收</w:t>
      </w:r>
    </w:p>
    <w:p w14:paraId="6D2403B5">
      <w:pPr>
        <w:widowControl/>
        <w:shd w:val="clear" w:color="auto" w:fill="FFFFFF"/>
        <w:spacing w:line="360" w:lineRule="auto"/>
        <w:ind w:firstLine="420" w:firstLineChars="200"/>
        <w:rPr>
          <w:color w:val="auto"/>
          <w:kern w:val="0"/>
          <w:szCs w:val="21"/>
          <w:highlight w:val="none"/>
        </w:rPr>
      </w:pPr>
      <w:r>
        <w:rPr>
          <w:color w:val="auto"/>
          <w:kern w:val="0"/>
          <w:szCs w:val="21"/>
          <w:highlight w:val="none"/>
        </w:rPr>
        <w:t>1、一次性验收时间：货物安装确认合格并稳定运行</w:t>
      </w:r>
      <w:r>
        <w:rPr>
          <w:color w:val="auto"/>
          <w:kern w:val="0"/>
          <w:szCs w:val="21"/>
          <w:highlight w:val="none"/>
          <w:u w:val="single"/>
        </w:rPr>
        <w:t xml:space="preserve">   </w:t>
      </w:r>
      <w:r>
        <w:rPr>
          <w:color w:val="auto"/>
          <w:kern w:val="0"/>
          <w:szCs w:val="21"/>
          <w:highlight w:val="none"/>
        </w:rPr>
        <w:t>天内组织验收。</w:t>
      </w:r>
    </w:p>
    <w:p w14:paraId="2B696D98">
      <w:pPr>
        <w:widowControl/>
        <w:shd w:val="clear" w:color="auto" w:fill="FFFFFF"/>
        <w:spacing w:line="360" w:lineRule="auto"/>
        <w:ind w:firstLine="420" w:firstLineChars="200"/>
        <w:rPr>
          <w:color w:val="auto"/>
          <w:kern w:val="0"/>
          <w:szCs w:val="21"/>
          <w:highlight w:val="none"/>
        </w:rPr>
      </w:pPr>
      <w:r>
        <w:rPr>
          <w:color w:val="auto"/>
          <w:kern w:val="0"/>
          <w:szCs w:val="21"/>
          <w:highlight w:val="none"/>
        </w:rPr>
        <w:t>2、验收方式：组织专家参与验收。</w:t>
      </w:r>
    </w:p>
    <w:p w14:paraId="586DAE51">
      <w:pPr>
        <w:widowControl/>
        <w:shd w:val="clear" w:color="auto" w:fill="FFFFFF"/>
        <w:spacing w:line="360" w:lineRule="auto"/>
        <w:ind w:firstLine="420" w:firstLineChars="200"/>
        <w:rPr>
          <w:color w:val="auto"/>
          <w:kern w:val="0"/>
          <w:szCs w:val="21"/>
          <w:highlight w:val="none"/>
        </w:rPr>
      </w:pPr>
      <w:r>
        <w:rPr>
          <w:color w:val="auto"/>
          <w:kern w:val="0"/>
          <w:szCs w:val="21"/>
          <w:highlight w:val="none"/>
        </w:rPr>
        <w:t xml:space="preserve">3、验收内容与验收标准： </w:t>
      </w:r>
    </w:p>
    <w:p w14:paraId="1D0EC5E6">
      <w:pPr>
        <w:widowControl/>
        <w:shd w:val="clear" w:color="auto" w:fill="FFFFFF"/>
        <w:spacing w:line="360" w:lineRule="auto"/>
        <w:ind w:firstLine="420" w:firstLineChars="200"/>
        <w:rPr>
          <w:color w:val="auto"/>
          <w:kern w:val="0"/>
          <w:szCs w:val="21"/>
          <w:highlight w:val="none"/>
        </w:rPr>
      </w:pPr>
      <w:r>
        <w:rPr>
          <w:color w:val="auto"/>
          <w:kern w:val="0"/>
          <w:szCs w:val="21"/>
          <w:highlight w:val="none"/>
        </w:rPr>
        <w:t>A.合同签订后乙方按照合同约定保质保量进行供货。补足或更换的货物应在签署货损证明之日起7日内运达采购方指定地点。</w:t>
      </w:r>
    </w:p>
    <w:p w14:paraId="54848398">
      <w:pPr>
        <w:widowControl/>
        <w:shd w:val="clear" w:color="auto" w:fill="FFFFFF"/>
        <w:spacing w:line="360" w:lineRule="auto"/>
        <w:ind w:firstLine="420" w:firstLineChars="200"/>
        <w:rPr>
          <w:color w:val="auto"/>
          <w:kern w:val="0"/>
          <w:szCs w:val="21"/>
          <w:highlight w:val="none"/>
        </w:rPr>
      </w:pPr>
      <w:r>
        <w:rPr>
          <w:color w:val="auto"/>
          <w:kern w:val="0"/>
          <w:szCs w:val="21"/>
          <w:highlight w:val="none"/>
        </w:rPr>
        <w:t>B.验收：乙方将货物安装调试完毕后试运行30天内，无质量问题，书面通知采购方进行验收，采购方在收到通知之日5天内按照国家标准对设备的质量、使用、运行等情况进行验收，验收合格后双方签署验收合格证书。</w:t>
      </w:r>
    </w:p>
    <w:p w14:paraId="47295C95">
      <w:pPr>
        <w:widowControl/>
        <w:tabs>
          <w:tab w:val="left" w:pos="1980"/>
        </w:tabs>
        <w:snapToGrid w:val="0"/>
        <w:spacing w:line="360" w:lineRule="auto"/>
        <w:ind w:firstLine="422" w:firstLineChars="200"/>
        <w:rPr>
          <w:color w:val="auto"/>
          <w:szCs w:val="21"/>
          <w:highlight w:val="none"/>
        </w:rPr>
      </w:pPr>
      <w:r>
        <w:rPr>
          <w:b/>
          <w:color w:val="auto"/>
          <w:szCs w:val="21"/>
          <w:highlight w:val="none"/>
        </w:rPr>
        <w:t>五、</w:t>
      </w:r>
      <w:r>
        <w:rPr>
          <w:b/>
          <w:bCs/>
          <w:color w:val="auto"/>
          <w:szCs w:val="21"/>
          <w:highlight w:val="none"/>
        </w:rPr>
        <w:t>付款</w:t>
      </w:r>
    </w:p>
    <w:p w14:paraId="6FE88E07">
      <w:pPr>
        <w:widowControl/>
        <w:tabs>
          <w:tab w:val="left" w:pos="1980"/>
        </w:tabs>
        <w:snapToGrid w:val="0"/>
        <w:spacing w:line="360" w:lineRule="auto"/>
        <w:ind w:firstLine="420" w:firstLineChars="200"/>
        <w:rPr>
          <w:b/>
          <w:bCs/>
          <w:color w:val="auto"/>
          <w:szCs w:val="21"/>
          <w:highlight w:val="none"/>
        </w:rPr>
      </w:pPr>
      <w:r>
        <w:rPr>
          <w:color w:val="auto"/>
          <w:kern w:val="0"/>
          <w:szCs w:val="21"/>
          <w:highlight w:val="none"/>
        </w:rPr>
        <w:t>1、</w:t>
      </w:r>
      <w:r>
        <w:rPr>
          <w:color w:val="auto"/>
          <w:szCs w:val="21"/>
          <w:highlight w:val="none"/>
        </w:rPr>
        <w:t>合同签订前，乙方支付合同金额的10%作为履约保证金，验收合格一年后无息退还。</w:t>
      </w:r>
    </w:p>
    <w:p w14:paraId="26F934DE">
      <w:pPr>
        <w:pStyle w:val="18"/>
        <w:spacing w:line="360" w:lineRule="auto"/>
        <w:ind w:firstLine="420" w:firstLineChars="200"/>
        <w:rPr>
          <w:color w:val="auto"/>
          <w:szCs w:val="21"/>
          <w:highlight w:val="none"/>
        </w:rPr>
      </w:pPr>
      <w:r>
        <w:rPr>
          <w:color w:val="auto"/>
          <w:szCs w:val="21"/>
          <w:highlight w:val="none"/>
        </w:rPr>
        <w:t>2、合同签订后甲方支付合同金额的</w:t>
      </w:r>
      <w:r>
        <w:rPr>
          <w:rFonts w:hint="eastAsia"/>
          <w:color w:val="auto"/>
          <w:szCs w:val="21"/>
          <w:highlight w:val="none"/>
          <w:lang w:val="en-US" w:eastAsia="zh-CN"/>
        </w:rPr>
        <w:t>8</w:t>
      </w:r>
      <w:r>
        <w:rPr>
          <w:color w:val="auto"/>
          <w:szCs w:val="21"/>
          <w:highlight w:val="none"/>
        </w:rPr>
        <w:t>0%。</w:t>
      </w:r>
    </w:p>
    <w:p w14:paraId="74CA701E">
      <w:pPr>
        <w:pStyle w:val="18"/>
        <w:spacing w:line="360" w:lineRule="auto"/>
        <w:ind w:right="1470" w:firstLine="420" w:firstLineChars="200"/>
        <w:rPr>
          <w:color w:val="auto"/>
          <w:szCs w:val="21"/>
          <w:highlight w:val="none"/>
        </w:rPr>
      </w:pPr>
      <w:r>
        <w:rPr>
          <w:color w:val="auto"/>
          <w:szCs w:val="21"/>
          <w:highlight w:val="none"/>
        </w:rPr>
        <w:t>3、货到验收合格后甲方支付合同金额的</w:t>
      </w:r>
      <w:r>
        <w:rPr>
          <w:rFonts w:hint="eastAsia"/>
          <w:color w:val="auto"/>
          <w:szCs w:val="21"/>
          <w:highlight w:val="none"/>
          <w:lang w:val="en-US" w:eastAsia="zh-CN"/>
        </w:rPr>
        <w:t>2</w:t>
      </w:r>
      <w:r>
        <w:rPr>
          <w:color w:val="auto"/>
          <w:szCs w:val="21"/>
          <w:highlight w:val="none"/>
        </w:rPr>
        <w:t>0%。</w:t>
      </w:r>
    </w:p>
    <w:p w14:paraId="771FFCD3">
      <w:pPr>
        <w:widowControl/>
        <w:tabs>
          <w:tab w:val="left" w:pos="1980"/>
        </w:tabs>
        <w:snapToGrid w:val="0"/>
        <w:spacing w:line="360" w:lineRule="auto"/>
        <w:ind w:firstLine="422" w:firstLineChars="200"/>
        <w:rPr>
          <w:b/>
          <w:color w:val="auto"/>
          <w:szCs w:val="21"/>
          <w:highlight w:val="none"/>
        </w:rPr>
      </w:pPr>
      <w:r>
        <w:rPr>
          <w:b/>
          <w:color w:val="auto"/>
          <w:szCs w:val="21"/>
          <w:highlight w:val="none"/>
        </w:rPr>
        <w:t>六、权利保证</w:t>
      </w:r>
    </w:p>
    <w:p w14:paraId="6CCCEDA2">
      <w:pPr>
        <w:widowControl/>
        <w:tabs>
          <w:tab w:val="left" w:pos="1980"/>
        </w:tabs>
        <w:snapToGrid w:val="0"/>
        <w:spacing w:line="360" w:lineRule="auto"/>
        <w:ind w:firstLine="420" w:firstLineChars="200"/>
        <w:rPr>
          <w:color w:val="auto"/>
          <w:szCs w:val="21"/>
          <w:highlight w:val="none"/>
        </w:rPr>
      </w:pPr>
      <w:r>
        <w:rPr>
          <w:color w:val="auto"/>
          <w:szCs w:val="21"/>
          <w:highlight w:val="none"/>
        </w:rPr>
        <w:t>乙方应保证甲方在使用该产品/服务或其任何一部分时不受第三方提出侵犯其专利权、版权、商标权或其他权利的起诉。一旦出现侵权，乙方应承担全部责任并负责消除对甲方的不利影响，如甲方因此承担了任何责任，有权向乙方全额追偿。</w:t>
      </w:r>
    </w:p>
    <w:p w14:paraId="7EBA6275">
      <w:pPr>
        <w:widowControl/>
        <w:tabs>
          <w:tab w:val="left" w:pos="1980"/>
        </w:tabs>
        <w:snapToGrid w:val="0"/>
        <w:spacing w:line="360" w:lineRule="auto"/>
        <w:ind w:firstLine="422" w:firstLineChars="200"/>
        <w:rPr>
          <w:b/>
          <w:color w:val="auto"/>
          <w:szCs w:val="21"/>
          <w:highlight w:val="none"/>
        </w:rPr>
      </w:pPr>
      <w:r>
        <w:rPr>
          <w:b/>
          <w:color w:val="auto"/>
          <w:szCs w:val="21"/>
          <w:highlight w:val="none"/>
        </w:rPr>
        <w:t>七、质量保证</w:t>
      </w:r>
    </w:p>
    <w:p w14:paraId="18C1D70F">
      <w:pPr>
        <w:widowControl/>
        <w:tabs>
          <w:tab w:val="left" w:pos="1980"/>
        </w:tabs>
        <w:snapToGrid w:val="0"/>
        <w:spacing w:line="360" w:lineRule="auto"/>
        <w:ind w:firstLine="420" w:firstLineChars="200"/>
        <w:rPr>
          <w:color w:val="auto"/>
          <w:szCs w:val="21"/>
          <w:highlight w:val="none"/>
        </w:rPr>
      </w:pPr>
      <w:r>
        <w:rPr>
          <w:color w:val="auto"/>
          <w:szCs w:val="21"/>
          <w:highlight w:val="none"/>
        </w:rPr>
        <w:t>1.乙方所提供的产品/服务的技术规格应与采购文件规定的技术规格及响应文件所附的“技术条款偏离表”相一致；若技术性能无特殊说明，则按国家有关部门最新颁布的标准及规范为准。</w:t>
      </w:r>
    </w:p>
    <w:p w14:paraId="177DEF40">
      <w:pPr>
        <w:widowControl/>
        <w:tabs>
          <w:tab w:val="left" w:pos="1980"/>
        </w:tabs>
        <w:snapToGrid w:val="0"/>
        <w:spacing w:line="360" w:lineRule="auto"/>
        <w:ind w:firstLine="420" w:firstLineChars="200"/>
        <w:rPr>
          <w:color w:val="auto"/>
          <w:szCs w:val="21"/>
          <w:highlight w:val="none"/>
        </w:rPr>
      </w:pPr>
      <w:r>
        <w:rPr>
          <w:color w:val="auto"/>
          <w:szCs w:val="21"/>
          <w:highlight w:val="none"/>
        </w:rPr>
        <w:t>2、技术资料：</w:t>
      </w:r>
    </w:p>
    <w:p w14:paraId="4CF0A2BC">
      <w:pPr>
        <w:widowControl/>
        <w:tabs>
          <w:tab w:val="left" w:pos="1980"/>
        </w:tabs>
        <w:snapToGrid w:val="0"/>
        <w:spacing w:line="360" w:lineRule="auto"/>
        <w:ind w:firstLine="420" w:firstLineChars="200"/>
        <w:rPr>
          <w:color w:val="auto"/>
          <w:szCs w:val="21"/>
          <w:highlight w:val="none"/>
        </w:rPr>
      </w:pPr>
      <w:r>
        <w:rPr>
          <w:color w:val="auto"/>
          <w:szCs w:val="21"/>
          <w:highlight w:val="none"/>
        </w:rPr>
        <w:t>☑ 甲方与乙方最终签署的技术指标（附件一）。</w:t>
      </w:r>
    </w:p>
    <w:p w14:paraId="2EF7488E">
      <w:pPr>
        <w:widowControl/>
        <w:tabs>
          <w:tab w:val="left" w:pos="1980"/>
        </w:tabs>
        <w:snapToGrid w:val="0"/>
        <w:spacing w:line="360" w:lineRule="auto"/>
        <w:ind w:firstLine="420" w:firstLineChars="200"/>
        <w:rPr>
          <w:color w:val="auto"/>
          <w:szCs w:val="21"/>
          <w:highlight w:val="none"/>
        </w:rPr>
      </w:pPr>
      <w:r>
        <w:rPr>
          <w:color w:val="auto"/>
          <w:szCs w:val="21"/>
          <w:highlight w:val="none"/>
        </w:rPr>
        <w:t>☑ 配置清单（附件二）。</w:t>
      </w:r>
    </w:p>
    <w:p w14:paraId="7984E9EA">
      <w:pPr>
        <w:widowControl/>
        <w:tabs>
          <w:tab w:val="left" w:pos="1980"/>
        </w:tabs>
        <w:snapToGrid w:val="0"/>
        <w:spacing w:line="360" w:lineRule="auto"/>
        <w:ind w:firstLine="420" w:firstLineChars="200"/>
        <w:rPr>
          <w:color w:val="auto"/>
          <w:szCs w:val="21"/>
          <w:highlight w:val="none"/>
        </w:rPr>
      </w:pPr>
      <w:r>
        <w:rPr>
          <w:color w:val="auto"/>
          <w:szCs w:val="21"/>
          <w:highlight w:val="none"/>
        </w:rPr>
        <w:t>☑ 公司资质及产品资质（附件三）。</w:t>
      </w:r>
    </w:p>
    <w:p w14:paraId="096E99C1">
      <w:pPr>
        <w:widowControl/>
        <w:snapToGrid w:val="0"/>
        <w:spacing w:line="360" w:lineRule="auto"/>
        <w:ind w:firstLine="422" w:firstLineChars="200"/>
        <w:rPr>
          <w:b/>
          <w:color w:val="auto"/>
          <w:szCs w:val="21"/>
          <w:highlight w:val="none"/>
        </w:rPr>
      </w:pPr>
      <w:r>
        <w:rPr>
          <w:b/>
          <w:color w:val="auto"/>
          <w:szCs w:val="21"/>
          <w:highlight w:val="none"/>
        </w:rPr>
        <w:t>八、质保期及售后服务：</w:t>
      </w:r>
    </w:p>
    <w:p w14:paraId="78E8A7C3">
      <w:pPr>
        <w:widowControl/>
        <w:tabs>
          <w:tab w:val="left" w:pos="1980"/>
        </w:tabs>
        <w:snapToGrid w:val="0"/>
        <w:spacing w:line="360" w:lineRule="auto"/>
        <w:ind w:firstLine="420" w:firstLineChars="200"/>
        <w:rPr>
          <w:color w:val="auto"/>
          <w:szCs w:val="21"/>
          <w:highlight w:val="none"/>
        </w:rPr>
      </w:pPr>
      <w:r>
        <w:rPr>
          <w:color w:val="auto"/>
          <w:szCs w:val="21"/>
          <w:highlight w:val="none"/>
        </w:rPr>
        <w:t xml:space="preserve"> 1、乙方所供设备质量保证期：质保</w:t>
      </w:r>
      <w:r>
        <w:rPr>
          <w:color w:val="auto"/>
          <w:szCs w:val="21"/>
          <w:highlight w:val="none"/>
          <w:u w:val="single"/>
        </w:rPr>
        <w:t xml:space="preserve">   </w:t>
      </w:r>
      <w:r>
        <w:rPr>
          <w:color w:val="auto"/>
          <w:szCs w:val="21"/>
          <w:highlight w:val="none"/>
        </w:rPr>
        <w:t>年，自验收合格报告签署之日起计算。</w:t>
      </w:r>
    </w:p>
    <w:p w14:paraId="040D440D">
      <w:pPr>
        <w:widowControl/>
        <w:tabs>
          <w:tab w:val="left" w:pos="1980"/>
        </w:tabs>
        <w:snapToGrid w:val="0"/>
        <w:spacing w:line="360" w:lineRule="auto"/>
        <w:ind w:firstLine="420" w:firstLineChars="200"/>
        <w:rPr>
          <w:color w:val="auto"/>
          <w:szCs w:val="21"/>
          <w:highlight w:val="none"/>
        </w:rPr>
      </w:pPr>
      <w:r>
        <w:rPr>
          <w:color w:val="auto"/>
          <w:szCs w:val="21"/>
          <w:highlight w:val="none"/>
        </w:rPr>
        <w:t xml:space="preserve"> 2、在质保期内，因乙方所供设备制造质量问题出现设备故障时，乙方在接到甲方通知后，24小时内赶到现场，免费予以排除故障、修复或更换零部件。</w:t>
      </w:r>
    </w:p>
    <w:p w14:paraId="69AEE69B">
      <w:pPr>
        <w:widowControl/>
        <w:tabs>
          <w:tab w:val="left" w:pos="1980"/>
        </w:tabs>
        <w:snapToGrid w:val="0"/>
        <w:spacing w:line="360" w:lineRule="auto"/>
        <w:ind w:firstLine="420" w:firstLineChars="200"/>
        <w:rPr>
          <w:color w:val="auto"/>
          <w:szCs w:val="21"/>
          <w:highlight w:val="none"/>
        </w:rPr>
      </w:pPr>
      <w:r>
        <w:rPr>
          <w:color w:val="auto"/>
          <w:szCs w:val="21"/>
          <w:highlight w:val="none"/>
        </w:rPr>
        <w:t xml:space="preserve">  3、在质保期内，因甲方使用不当原因出现设备故障时，乙方在接到甲方通知后，应在上一个条款中所述的时限内赶到甲方现场，帮助排除故障、修复或更换零部件，需要换零部件时酌情收取成本费。</w:t>
      </w:r>
    </w:p>
    <w:p w14:paraId="53A98B57">
      <w:pPr>
        <w:widowControl/>
        <w:tabs>
          <w:tab w:val="left" w:pos="1980"/>
        </w:tabs>
        <w:snapToGrid w:val="0"/>
        <w:spacing w:line="360" w:lineRule="auto"/>
        <w:ind w:firstLine="420" w:firstLineChars="200"/>
        <w:rPr>
          <w:color w:val="auto"/>
          <w:szCs w:val="21"/>
          <w:highlight w:val="none"/>
        </w:rPr>
      </w:pPr>
      <w:r>
        <w:rPr>
          <w:color w:val="auto"/>
          <w:szCs w:val="21"/>
          <w:highlight w:val="none"/>
        </w:rPr>
        <w:t>4、在质保期满后，出现设备故障时，乙方仍需做好售后服务，并在上述时限内赶到现场，及时处理。</w:t>
      </w:r>
    </w:p>
    <w:p w14:paraId="48E840EE">
      <w:pPr>
        <w:widowControl/>
        <w:snapToGrid w:val="0"/>
        <w:spacing w:line="360" w:lineRule="auto"/>
        <w:ind w:firstLine="422" w:firstLineChars="200"/>
        <w:rPr>
          <w:b/>
          <w:color w:val="auto"/>
          <w:szCs w:val="21"/>
          <w:highlight w:val="none"/>
        </w:rPr>
      </w:pPr>
      <w:r>
        <w:rPr>
          <w:b/>
          <w:color w:val="auto"/>
          <w:szCs w:val="21"/>
          <w:highlight w:val="none"/>
        </w:rPr>
        <w:t>九、违约责任</w:t>
      </w:r>
    </w:p>
    <w:p w14:paraId="4C1F17D9">
      <w:pPr>
        <w:widowControl/>
        <w:tabs>
          <w:tab w:val="left" w:pos="1980"/>
        </w:tabs>
        <w:snapToGrid w:val="0"/>
        <w:spacing w:line="360" w:lineRule="auto"/>
        <w:ind w:firstLine="420" w:firstLineChars="200"/>
        <w:rPr>
          <w:color w:val="auto"/>
          <w:szCs w:val="21"/>
          <w:highlight w:val="none"/>
        </w:rPr>
      </w:pPr>
      <w:r>
        <w:rPr>
          <w:color w:val="auto"/>
          <w:szCs w:val="21"/>
          <w:highlight w:val="none"/>
        </w:rPr>
        <w:t>1、本合同生效后，双方应本着诚实信用原则，不得违反本合同约定的义务，不得随意变更、解除或者终止本合同。</w:t>
      </w:r>
    </w:p>
    <w:p w14:paraId="4454D8B7">
      <w:pPr>
        <w:widowControl/>
        <w:tabs>
          <w:tab w:val="left" w:pos="1980"/>
        </w:tabs>
        <w:snapToGrid w:val="0"/>
        <w:spacing w:line="360" w:lineRule="auto"/>
        <w:ind w:firstLine="420" w:firstLineChars="200"/>
        <w:rPr>
          <w:color w:val="auto"/>
          <w:szCs w:val="21"/>
          <w:highlight w:val="none"/>
        </w:rPr>
      </w:pPr>
      <w:r>
        <w:rPr>
          <w:color w:val="auto"/>
          <w:szCs w:val="21"/>
          <w:highlight w:val="none"/>
        </w:rPr>
        <w:t>2、因任一方以明示或默示方式表示不再履行合同的，属于违约行为。相对方有权选择要求继续履行或者依据法律规定解除合同，并要求违约方支付相当于合同总金额</w:t>
      </w:r>
      <w:r>
        <w:rPr>
          <w:color w:val="auto"/>
          <w:szCs w:val="21"/>
          <w:highlight w:val="none"/>
          <w:u w:val="single"/>
        </w:rPr>
        <w:t xml:space="preserve">15% </w:t>
      </w:r>
      <w:r>
        <w:rPr>
          <w:color w:val="auto"/>
          <w:szCs w:val="21"/>
          <w:highlight w:val="none"/>
        </w:rPr>
        <w:t>的违约金。</w:t>
      </w:r>
    </w:p>
    <w:p w14:paraId="56CFA3CE">
      <w:pPr>
        <w:widowControl/>
        <w:tabs>
          <w:tab w:val="left" w:pos="1980"/>
        </w:tabs>
        <w:snapToGrid w:val="0"/>
        <w:spacing w:line="360" w:lineRule="auto"/>
        <w:ind w:firstLine="420" w:firstLineChars="200"/>
        <w:rPr>
          <w:color w:val="auto"/>
          <w:szCs w:val="21"/>
          <w:highlight w:val="none"/>
        </w:rPr>
      </w:pPr>
      <w:r>
        <w:rPr>
          <w:color w:val="auto"/>
          <w:szCs w:val="21"/>
          <w:highlight w:val="none"/>
        </w:rPr>
        <w:t>3、如乙方不能交付的，甲方有权解除合同，解除合同的通知自到达乙方时生效，乙方除应向甲方返还所有已收款项外，还应支付合同总价</w:t>
      </w:r>
      <w:r>
        <w:rPr>
          <w:color w:val="auto"/>
          <w:szCs w:val="21"/>
          <w:highlight w:val="none"/>
          <w:u w:val="single"/>
        </w:rPr>
        <w:t xml:space="preserve"> 15 </w:t>
      </w:r>
      <w:r>
        <w:rPr>
          <w:color w:val="auto"/>
          <w:szCs w:val="21"/>
          <w:highlight w:val="none"/>
        </w:rPr>
        <w:t>%的违约金。</w:t>
      </w:r>
    </w:p>
    <w:p w14:paraId="7B9D4F3C">
      <w:pPr>
        <w:widowControl/>
        <w:tabs>
          <w:tab w:val="left" w:pos="1980"/>
        </w:tabs>
        <w:snapToGrid w:val="0"/>
        <w:spacing w:line="360" w:lineRule="auto"/>
        <w:ind w:firstLine="420" w:firstLineChars="200"/>
        <w:rPr>
          <w:color w:val="auto"/>
          <w:szCs w:val="21"/>
          <w:highlight w:val="none"/>
        </w:rPr>
      </w:pPr>
      <w:r>
        <w:rPr>
          <w:color w:val="auto"/>
          <w:szCs w:val="21"/>
          <w:highlight w:val="none"/>
        </w:rPr>
        <w:t>4、因甲方原因未按合同规定的期限向乙方支付价款的，每逾期1天甲方向乙方偿付欠款总额的</w:t>
      </w:r>
      <w:r>
        <w:rPr>
          <w:color w:val="auto"/>
          <w:szCs w:val="21"/>
          <w:highlight w:val="none"/>
          <w:u w:val="single"/>
        </w:rPr>
        <w:t xml:space="preserve"> 5  </w:t>
      </w:r>
      <w:r>
        <w:rPr>
          <w:color w:val="auto"/>
          <w:szCs w:val="21"/>
          <w:highlight w:val="none"/>
        </w:rPr>
        <w:t>‰违约金，但累计违约金总额不超过欠款总额的</w:t>
      </w:r>
      <w:r>
        <w:rPr>
          <w:color w:val="auto"/>
          <w:szCs w:val="21"/>
          <w:highlight w:val="none"/>
          <w:u w:val="single"/>
        </w:rPr>
        <w:t xml:space="preserve"> 15  </w:t>
      </w:r>
      <w:r>
        <w:rPr>
          <w:color w:val="auto"/>
          <w:szCs w:val="21"/>
          <w:highlight w:val="none"/>
        </w:rPr>
        <w:t>%。非因甲方原因未及时付款，甲方不承担违约责任。</w:t>
      </w:r>
    </w:p>
    <w:p w14:paraId="56557EF6">
      <w:pPr>
        <w:widowControl/>
        <w:tabs>
          <w:tab w:val="left" w:pos="1980"/>
        </w:tabs>
        <w:snapToGrid w:val="0"/>
        <w:spacing w:line="360" w:lineRule="auto"/>
        <w:ind w:firstLine="420" w:firstLineChars="200"/>
        <w:rPr>
          <w:color w:val="auto"/>
          <w:szCs w:val="21"/>
          <w:highlight w:val="none"/>
        </w:rPr>
      </w:pPr>
      <w:r>
        <w:rPr>
          <w:color w:val="auto"/>
          <w:szCs w:val="21"/>
          <w:highlight w:val="none"/>
        </w:rPr>
        <w:t>5、乙方逾期交付的，每逾期1天，乙方向甲方偿付合同总额的</w:t>
      </w:r>
      <w:r>
        <w:rPr>
          <w:color w:val="auto"/>
          <w:szCs w:val="21"/>
          <w:highlight w:val="none"/>
          <w:u w:val="single"/>
        </w:rPr>
        <w:t xml:space="preserve"> 5  </w:t>
      </w:r>
      <w:r>
        <w:rPr>
          <w:color w:val="auto"/>
          <w:szCs w:val="21"/>
          <w:highlight w:val="none"/>
        </w:rPr>
        <w:t>‰的违约金。如乙方逾期交付达</w:t>
      </w:r>
      <w:r>
        <w:rPr>
          <w:color w:val="auto"/>
          <w:szCs w:val="21"/>
          <w:highlight w:val="none"/>
          <w:u w:val="single"/>
        </w:rPr>
        <w:t xml:space="preserve"> 30 </w:t>
      </w:r>
      <w:r>
        <w:rPr>
          <w:color w:val="auto"/>
          <w:szCs w:val="21"/>
          <w:highlight w:val="none"/>
        </w:rPr>
        <w:t>天，甲方有权解除合同，解除合同的通知自到达乙方时生效，并有权要求乙方退还已收款项，赔偿因此给甲方造成的损失，包括但不限于紧急采购支出。</w:t>
      </w:r>
    </w:p>
    <w:p w14:paraId="34969D6C">
      <w:pPr>
        <w:widowControl/>
        <w:tabs>
          <w:tab w:val="left" w:pos="1980"/>
        </w:tabs>
        <w:snapToGrid w:val="0"/>
        <w:spacing w:line="360" w:lineRule="auto"/>
        <w:ind w:firstLine="422" w:firstLineChars="200"/>
        <w:rPr>
          <w:b/>
          <w:color w:val="auto"/>
          <w:szCs w:val="21"/>
          <w:highlight w:val="none"/>
        </w:rPr>
      </w:pPr>
      <w:r>
        <w:rPr>
          <w:b/>
          <w:color w:val="auto"/>
          <w:szCs w:val="21"/>
          <w:highlight w:val="none"/>
        </w:rPr>
        <w:t>十、争议解决方式</w:t>
      </w:r>
    </w:p>
    <w:p w14:paraId="766E8DD6">
      <w:pPr>
        <w:widowControl/>
        <w:tabs>
          <w:tab w:val="left" w:pos="1980"/>
        </w:tabs>
        <w:snapToGrid w:val="0"/>
        <w:spacing w:line="360" w:lineRule="auto"/>
        <w:ind w:firstLine="420" w:firstLineChars="200"/>
        <w:rPr>
          <w:color w:val="auto"/>
          <w:szCs w:val="21"/>
          <w:highlight w:val="none"/>
        </w:rPr>
      </w:pPr>
      <w:r>
        <w:rPr>
          <w:color w:val="auto"/>
          <w:szCs w:val="21"/>
          <w:highlight w:val="none"/>
        </w:rPr>
        <w:t>对于双方执行合同过程中出现的争议，本着双方友好协商的原则进行解决。经协商不能解决的，可按照法律规定向甲方所在地有管辖权的人民法院提起诉讼。届时守约方产生的所有追索债权的相关费用（包括但不仅限于律师费、诉讼费、保全担保费、差旅费、公证费、鉴定费、评估费）均由违约方全额承担。</w:t>
      </w:r>
    </w:p>
    <w:p w14:paraId="2271372B">
      <w:pPr>
        <w:widowControl/>
        <w:snapToGrid w:val="0"/>
        <w:spacing w:line="360" w:lineRule="auto"/>
        <w:ind w:firstLine="422" w:firstLineChars="200"/>
        <w:rPr>
          <w:b/>
          <w:color w:val="auto"/>
          <w:szCs w:val="21"/>
          <w:highlight w:val="none"/>
        </w:rPr>
      </w:pPr>
      <w:r>
        <w:rPr>
          <w:b/>
          <w:color w:val="auto"/>
          <w:szCs w:val="21"/>
          <w:highlight w:val="none"/>
        </w:rPr>
        <w:t>十一、合同生效：</w:t>
      </w:r>
      <w:r>
        <w:rPr>
          <w:color w:val="auto"/>
          <w:szCs w:val="21"/>
          <w:highlight w:val="none"/>
        </w:rPr>
        <w:t>本合同由甲乙双方签字盖章后生效。</w:t>
      </w:r>
      <w:r>
        <w:rPr>
          <w:bCs/>
          <w:color w:val="auto"/>
          <w:szCs w:val="21"/>
          <w:highlight w:val="none"/>
        </w:rPr>
        <w:t>合同一式六份，中文书写，甲方四份、乙方两份。</w:t>
      </w:r>
    </w:p>
    <w:p w14:paraId="4044D156">
      <w:pPr>
        <w:widowControl/>
        <w:snapToGrid w:val="0"/>
        <w:spacing w:line="360" w:lineRule="auto"/>
        <w:ind w:firstLine="422" w:firstLineChars="200"/>
        <w:rPr>
          <w:b/>
          <w:color w:val="auto"/>
          <w:szCs w:val="21"/>
          <w:highlight w:val="none"/>
        </w:rPr>
      </w:pPr>
      <w:r>
        <w:rPr>
          <w:b/>
          <w:color w:val="auto"/>
          <w:szCs w:val="21"/>
          <w:highlight w:val="none"/>
        </w:rPr>
        <w:t>十二、组成本合同的文件包括：</w:t>
      </w:r>
    </w:p>
    <w:p w14:paraId="7476A05F">
      <w:pPr>
        <w:widowControl/>
        <w:snapToGrid w:val="0"/>
        <w:spacing w:line="360" w:lineRule="auto"/>
        <w:ind w:firstLine="420" w:firstLineChars="200"/>
        <w:rPr>
          <w:bCs/>
          <w:color w:val="auto"/>
          <w:szCs w:val="21"/>
          <w:highlight w:val="none"/>
        </w:rPr>
      </w:pPr>
      <w:r>
        <w:rPr>
          <w:bCs/>
          <w:color w:val="auto"/>
          <w:szCs w:val="21"/>
          <w:highlight w:val="none"/>
        </w:rPr>
        <w:t>1、采购文件和乙方的响应文件；</w:t>
      </w:r>
    </w:p>
    <w:p w14:paraId="476C3305">
      <w:pPr>
        <w:widowControl/>
        <w:snapToGrid w:val="0"/>
        <w:spacing w:line="360" w:lineRule="auto"/>
        <w:ind w:firstLine="420" w:firstLineChars="200"/>
        <w:rPr>
          <w:bCs/>
          <w:color w:val="auto"/>
          <w:szCs w:val="21"/>
          <w:highlight w:val="none"/>
        </w:rPr>
      </w:pPr>
      <w:r>
        <w:rPr>
          <w:bCs/>
          <w:color w:val="auto"/>
          <w:szCs w:val="21"/>
          <w:highlight w:val="none"/>
        </w:rPr>
        <w:t>2、成交通知书；</w:t>
      </w:r>
    </w:p>
    <w:p w14:paraId="091BB854">
      <w:pPr>
        <w:widowControl/>
        <w:snapToGrid w:val="0"/>
        <w:spacing w:line="360" w:lineRule="auto"/>
        <w:ind w:firstLine="420" w:firstLineChars="200"/>
        <w:rPr>
          <w:bCs/>
          <w:color w:val="auto"/>
          <w:szCs w:val="21"/>
          <w:highlight w:val="none"/>
        </w:rPr>
      </w:pPr>
      <w:r>
        <w:rPr>
          <w:bCs/>
          <w:color w:val="auto"/>
          <w:szCs w:val="21"/>
          <w:highlight w:val="none"/>
        </w:rPr>
        <w:t>3、甲乙双方商定的其他必要文件。</w:t>
      </w:r>
    </w:p>
    <w:p w14:paraId="5D4DF73C">
      <w:pPr>
        <w:widowControl/>
        <w:snapToGrid w:val="0"/>
        <w:spacing w:line="360" w:lineRule="auto"/>
        <w:ind w:firstLine="420" w:firstLineChars="200"/>
        <w:rPr>
          <w:bCs/>
          <w:color w:val="auto"/>
          <w:szCs w:val="21"/>
          <w:highlight w:val="none"/>
        </w:rPr>
      </w:pPr>
      <w:r>
        <w:rPr>
          <w:bCs/>
          <w:color w:val="auto"/>
          <w:szCs w:val="21"/>
          <w:highlight w:val="none"/>
        </w:rPr>
        <w:t>上述合同文件内容互为补充，如有不明确，由甲方负责解释。</w:t>
      </w:r>
    </w:p>
    <w:p w14:paraId="58171BE9">
      <w:pPr>
        <w:widowControl/>
        <w:snapToGrid w:val="0"/>
        <w:spacing w:line="360" w:lineRule="auto"/>
        <w:ind w:firstLine="422" w:firstLineChars="200"/>
        <w:rPr>
          <w:b/>
          <w:bCs/>
          <w:color w:val="auto"/>
          <w:szCs w:val="21"/>
          <w:highlight w:val="none"/>
        </w:rPr>
      </w:pPr>
      <w:r>
        <w:rPr>
          <w:b/>
          <w:bCs/>
          <w:color w:val="auto"/>
          <w:szCs w:val="21"/>
          <w:highlight w:val="none"/>
        </w:rPr>
        <w:t>十三、其他</w:t>
      </w:r>
    </w:p>
    <w:p w14:paraId="15A5D8F0">
      <w:pPr>
        <w:widowControl/>
        <w:snapToGrid w:val="0"/>
        <w:spacing w:line="360" w:lineRule="auto"/>
        <w:ind w:firstLine="420" w:firstLineChars="200"/>
        <w:rPr>
          <w:bCs/>
          <w:color w:val="auto"/>
          <w:szCs w:val="21"/>
          <w:highlight w:val="none"/>
        </w:rPr>
      </w:pPr>
      <w:r>
        <w:rPr>
          <w:bCs/>
          <w:color w:val="auto"/>
          <w:szCs w:val="21"/>
          <w:highlight w:val="none"/>
        </w:rPr>
        <w:t>1、</w:t>
      </w:r>
      <w:r>
        <w:rPr>
          <w:bCs/>
          <w:color w:val="auto"/>
          <w:szCs w:val="21"/>
          <w:highlight w:val="none"/>
          <w:u w:val="single"/>
        </w:rPr>
        <w:t xml:space="preserve">                                                     。</w:t>
      </w:r>
    </w:p>
    <w:p w14:paraId="24971F16">
      <w:pPr>
        <w:widowControl/>
        <w:snapToGrid w:val="0"/>
        <w:spacing w:line="360" w:lineRule="auto"/>
        <w:ind w:firstLine="420" w:firstLineChars="200"/>
        <w:rPr>
          <w:bCs/>
          <w:color w:val="auto"/>
          <w:szCs w:val="21"/>
          <w:highlight w:val="none"/>
        </w:rPr>
      </w:pPr>
      <w:r>
        <w:rPr>
          <w:bCs/>
          <w:color w:val="auto"/>
          <w:szCs w:val="21"/>
          <w:highlight w:val="none"/>
        </w:rPr>
        <w:t>2、</w:t>
      </w:r>
      <w:r>
        <w:rPr>
          <w:bCs/>
          <w:color w:val="auto"/>
          <w:szCs w:val="21"/>
          <w:highlight w:val="none"/>
          <w:u w:val="single"/>
        </w:rPr>
        <w:t xml:space="preserve">                                                     。</w:t>
      </w:r>
    </w:p>
    <w:p w14:paraId="77BE1A33">
      <w:pPr>
        <w:pStyle w:val="22"/>
        <w:spacing w:after="0" w:line="360" w:lineRule="auto"/>
        <w:ind w:left="0" w:leftChars="0" w:right="0" w:rightChars="0" w:firstLine="420" w:firstLineChars="200"/>
        <w:rPr>
          <w:color w:val="auto"/>
          <w:szCs w:val="21"/>
          <w:highlight w:val="none"/>
        </w:rPr>
      </w:pPr>
      <w:r>
        <w:rPr>
          <w:color w:val="auto"/>
          <w:szCs w:val="21"/>
          <w:highlight w:val="none"/>
        </w:rPr>
        <w:t>（以下无正文）</w:t>
      </w:r>
    </w:p>
    <w:p w14:paraId="42975FCB">
      <w:pPr>
        <w:spacing w:line="360" w:lineRule="auto"/>
        <w:rPr>
          <w:color w:val="auto"/>
          <w:szCs w:val="21"/>
          <w:highlight w:val="none"/>
        </w:rPr>
      </w:pPr>
      <w:r>
        <w:rPr>
          <w:color w:val="auto"/>
          <w:szCs w:val="21"/>
          <w:highlight w:val="none"/>
        </w:rPr>
        <w:br w:type="page"/>
      </w:r>
    </w:p>
    <w:p w14:paraId="53B4F997">
      <w:pPr>
        <w:spacing w:line="360" w:lineRule="auto"/>
        <w:ind w:firstLine="420" w:firstLineChars="200"/>
        <w:jc w:val="left"/>
        <w:rPr>
          <w:color w:val="auto"/>
          <w:szCs w:val="21"/>
          <w:highlight w:val="none"/>
        </w:rPr>
      </w:pPr>
      <w:r>
        <w:rPr>
          <w:color w:val="auto"/>
          <w:szCs w:val="21"/>
          <w:highlight w:val="none"/>
        </w:rPr>
        <w:t>甲方： 中国医学科学院皮肤病医院</w:t>
      </w:r>
    </w:p>
    <w:p w14:paraId="00E746BD">
      <w:pPr>
        <w:spacing w:line="360" w:lineRule="auto"/>
        <w:ind w:firstLine="1050" w:firstLineChars="500"/>
        <w:jc w:val="left"/>
        <w:rPr>
          <w:color w:val="auto"/>
          <w:szCs w:val="21"/>
          <w:highlight w:val="none"/>
        </w:rPr>
      </w:pPr>
      <w:r>
        <w:rPr>
          <w:color w:val="auto"/>
          <w:szCs w:val="21"/>
          <w:highlight w:val="none"/>
        </w:rPr>
        <w:t>（中国医学科学院皮肤病研究所）（盖章）</w:t>
      </w:r>
    </w:p>
    <w:p w14:paraId="6501D47C">
      <w:pPr>
        <w:spacing w:line="360" w:lineRule="auto"/>
        <w:ind w:firstLine="420" w:firstLineChars="200"/>
        <w:jc w:val="left"/>
        <w:rPr>
          <w:color w:val="auto"/>
          <w:szCs w:val="21"/>
          <w:highlight w:val="none"/>
        </w:rPr>
      </w:pPr>
      <w:r>
        <w:rPr>
          <w:color w:val="auto"/>
          <w:szCs w:val="21"/>
          <w:highlight w:val="none"/>
        </w:rPr>
        <w:t>地址： 南京市玄武区蒋王庙街12号</w:t>
      </w:r>
    </w:p>
    <w:p w14:paraId="05DA9FA7">
      <w:pPr>
        <w:spacing w:line="360" w:lineRule="auto"/>
        <w:ind w:firstLine="420" w:firstLineChars="200"/>
        <w:jc w:val="left"/>
        <w:rPr>
          <w:color w:val="auto"/>
          <w:szCs w:val="21"/>
          <w:highlight w:val="none"/>
        </w:rPr>
      </w:pPr>
      <w:r>
        <w:rPr>
          <w:color w:val="auto"/>
          <w:szCs w:val="21"/>
          <w:highlight w:val="none"/>
        </w:rPr>
        <w:t>开户银行：中国银行南京花园路支行</w:t>
      </w:r>
    </w:p>
    <w:p w14:paraId="1C420B42">
      <w:pPr>
        <w:spacing w:line="360" w:lineRule="auto"/>
        <w:ind w:firstLine="420" w:firstLineChars="200"/>
        <w:jc w:val="left"/>
        <w:rPr>
          <w:color w:val="auto"/>
          <w:szCs w:val="21"/>
          <w:highlight w:val="none"/>
        </w:rPr>
      </w:pPr>
      <w:r>
        <w:rPr>
          <w:color w:val="auto"/>
          <w:szCs w:val="21"/>
          <w:highlight w:val="none"/>
        </w:rPr>
        <w:t xml:space="preserve">银行账户：550858191682                          </w:t>
      </w:r>
    </w:p>
    <w:p w14:paraId="15155A74">
      <w:pPr>
        <w:spacing w:line="360" w:lineRule="auto"/>
        <w:ind w:firstLine="420" w:firstLineChars="200"/>
        <w:jc w:val="left"/>
        <w:rPr>
          <w:color w:val="auto"/>
          <w:szCs w:val="21"/>
          <w:highlight w:val="none"/>
        </w:rPr>
      </w:pPr>
      <w:r>
        <w:rPr>
          <w:color w:val="auto"/>
          <w:szCs w:val="21"/>
          <w:highlight w:val="none"/>
        </w:rPr>
        <w:t xml:space="preserve">法定代表人：                        </w:t>
      </w:r>
    </w:p>
    <w:p w14:paraId="5A72AE0C">
      <w:pPr>
        <w:spacing w:line="360" w:lineRule="auto"/>
        <w:ind w:firstLine="420" w:firstLineChars="200"/>
        <w:jc w:val="left"/>
        <w:rPr>
          <w:color w:val="auto"/>
          <w:szCs w:val="21"/>
          <w:highlight w:val="none"/>
        </w:rPr>
      </w:pPr>
      <w:r>
        <w:rPr>
          <w:color w:val="auto"/>
          <w:szCs w:val="21"/>
          <w:highlight w:val="none"/>
        </w:rPr>
        <w:t xml:space="preserve">科室负责人： </w:t>
      </w:r>
    </w:p>
    <w:p w14:paraId="7DEA9B64">
      <w:pPr>
        <w:spacing w:line="360" w:lineRule="auto"/>
        <w:ind w:firstLine="420" w:firstLineChars="200"/>
        <w:jc w:val="left"/>
        <w:rPr>
          <w:color w:val="auto"/>
          <w:szCs w:val="21"/>
          <w:highlight w:val="none"/>
        </w:rPr>
      </w:pPr>
      <w:r>
        <w:rPr>
          <w:color w:val="auto"/>
          <w:szCs w:val="21"/>
          <w:highlight w:val="none"/>
        </w:rPr>
        <w:t xml:space="preserve">联系电话：                     </w:t>
      </w:r>
    </w:p>
    <w:p w14:paraId="4BCC7D7B">
      <w:pPr>
        <w:spacing w:line="360" w:lineRule="auto"/>
        <w:ind w:firstLine="420" w:firstLineChars="200"/>
        <w:jc w:val="left"/>
        <w:rPr>
          <w:color w:val="auto"/>
          <w:szCs w:val="21"/>
          <w:highlight w:val="none"/>
        </w:rPr>
      </w:pPr>
      <w:r>
        <w:rPr>
          <w:color w:val="auto"/>
          <w:szCs w:val="21"/>
          <w:highlight w:val="none"/>
        </w:rPr>
        <w:t xml:space="preserve">签订日期：     年   月  日                       </w:t>
      </w:r>
    </w:p>
    <w:p w14:paraId="4075D255">
      <w:pPr>
        <w:pStyle w:val="290"/>
        <w:spacing w:line="360" w:lineRule="auto"/>
        <w:ind w:left="1470" w:right="1470"/>
        <w:rPr>
          <w:color w:val="auto"/>
          <w:szCs w:val="21"/>
          <w:highlight w:val="none"/>
        </w:rPr>
      </w:pPr>
    </w:p>
    <w:p w14:paraId="4767C411">
      <w:pPr>
        <w:spacing w:line="360" w:lineRule="auto"/>
        <w:ind w:firstLine="420" w:firstLineChars="200"/>
        <w:jc w:val="left"/>
        <w:rPr>
          <w:color w:val="auto"/>
          <w:szCs w:val="21"/>
          <w:highlight w:val="none"/>
        </w:rPr>
      </w:pPr>
      <w:r>
        <w:rPr>
          <w:color w:val="auto"/>
          <w:szCs w:val="21"/>
          <w:highlight w:val="none"/>
        </w:rPr>
        <w:t>乙方：                     （盖章）</w:t>
      </w:r>
    </w:p>
    <w:p w14:paraId="581A1783">
      <w:pPr>
        <w:spacing w:line="360" w:lineRule="auto"/>
        <w:ind w:firstLine="420" w:firstLineChars="200"/>
        <w:jc w:val="left"/>
        <w:rPr>
          <w:color w:val="auto"/>
          <w:szCs w:val="21"/>
          <w:highlight w:val="none"/>
        </w:rPr>
      </w:pPr>
      <w:r>
        <w:rPr>
          <w:color w:val="auto"/>
          <w:szCs w:val="21"/>
          <w:highlight w:val="none"/>
        </w:rPr>
        <w:t>地 址：</w:t>
      </w:r>
    </w:p>
    <w:p w14:paraId="07DA6A79">
      <w:pPr>
        <w:spacing w:line="360" w:lineRule="auto"/>
        <w:ind w:firstLine="420" w:firstLineChars="200"/>
        <w:jc w:val="left"/>
        <w:rPr>
          <w:color w:val="auto"/>
          <w:szCs w:val="21"/>
          <w:highlight w:val="none"/>
        </w:rPr>
      </w:pPr>
      <w:r>
        <w:rPr>
          <w:color w:val="auto"/>
          <w:szCs w:val="21"/>
          <w:highlight w:val="none"/>
        </w:rPr>
        <w:t>开户银行：</w:t>
      </w:r>
    </w:p>
    <w:p w14:paraId="7D1CEB13">
      <w:pPr>
        <w:spacing w:line="360" w:lineRule="auto"/>
        <w:ind w:firstLine="420" w:firstLineChars="200"/>
        <w:jc w:val="left"/>
        <w:rPr>
          <w:color w:val="auto"/>
          <w:szCs w:val="21"/>
          <w:highlight w:val="none"/>
        </w:rPr>
      </w:pPr>
      <w:r>
        <w:rPr>
          <w:color w:val="auto"/>
          <w:szCs w:val="21"/>
          <w:highlight w:val="none"/>
        </w:rPr>
        <w:t>银行账号：</w:t>
      </w:r>
    </w:p>
    <w:p w14:paraId="301A4B60">
      <w:pPr>
        <w:spacing w:line="360" w:lineRule="auto"/>
        <w:ind w:firstLine="420" w:firstLineChars="200"/>
        <w:jc w:val="left"/>
        <w:rPr>
          <w:color w:val="auto"/>
          <w:szCs w:val="21"/>
          <w:highlight w:val="none"/>
        </w:rPr>
      </w:pPr>
      <w:r>
        <w:rPr>
          <w:color w:val="auto"/>
          <w:szCs w:val="21"/>
          <w:highlight w:val="none"/>
        </w:rPr>
        <w:t>纳税人识别号：</w:t>
      </w:r>
    </w:p>
    <w:p w14:paraId="414FAD75">
      <w:pPr>
        <w:spacing w:line="360" w:lineRule="auto"/>
        <w:ind w:firstLine="420" w:firstLineChars="200"/>
        <w:jc w:val="left"/>
        <w:rPr>
          <w:color w:val="auto"/>
          <w:szCs w:val="21"/>
          <w:highlight w:val="none"/>
        </w:rPr>
      </w:pPr>
      <w:r>
        <w:rPr>
          <w:color w:val="auto"/>
          <w:szCs w:val="21"/>
          <w:highlight w:val="none"/>
        </w:rPr>
        <w:t>法定代表人：</w:t>
      </w:r>
    </w:p>
    <w:p w14:paraId="72FA13A4">
      <w:pPr>
        <w:spacing w:line="360" w:lineRule="auto"/>
        <w:ind w:firstLine="420" w:firstLineChars="200"/>
        <w:jc w:val="left"/>
        <w:rPr>
          <w:color w:val="auto"/>
          <w:szCs w:val="21"/>
          <w:highlight w:val="none"/>
        </w:rPr>
      </w:pPr>
      <w:r>
        <w:rPr>
          <w:color w:val="auto"/>
          <w:szCs w:val="21"/>
          <w:highlight w:val="none"/>
        </w:rPr>
        <w:t>授权代表：</w:t>
      </w:r>
    </w:p>
    <w:p w14:paraId="1216ADE8">
      <w:pPr>
        <w:spacing w:line="360" w:lineRule="auto"/>
        <w:ind w:firstLine="420" w:firstLineChars="200"/>
        <w:jc w:val="left"/>
        <w:rPr>
          <w:color w:val="auto"/>
          <w:szCs w:val="21"/>
          <w:highlight w:val="none"/>
        </w:rPr>
      </w:pPr>
      <w:r>
        <w:rPr>
          <w:color w:val="auto"/>
          <w:szCs w:val="21"/>
          <w:highlight w:val="none"/>
        </w:rPr>
        <w:t>联系电话：</w:t>
      </w:r>
    </w:p>
    <w:p w14:paraId="1AE84683">
      <w:pPr>
        <w:spacing w:line="360" w:lineRule="auto"/>
        <w:ind w:firstLine="420" w:firstLineChars="200"/>
        <w:jc w:val="left"/>
        <w:rPr>
          <w:color w:val="auto"/>
          <w:szCs w:val="21"/>
          <w:highlight w:val="none"/>
        </w:rPr>
      </w:pPr>
      <w:r>
        <w:rPr>
          <w:color w:val="auto"/>
          <w:szCs w:val="21"/>
          <w:highlight w:val="none"/>
        </w:rPr>
        <w:t>签订日期：    年   月  日</w:t>
      </w:r>
    </w:p>
    <w:p w14:paraId="0E12486F">
      <w:pPr>
        <w:pStyle w:val="22"/>
        <w:spacing w:after="0" w:line="360" w:lineRule="auto"/>
        <w:ind w:left="0" w:leftChars="0" w:right="0" w:rightChars="0" w:firstLine="420" w:firstLineChars="200"/>
        <w:rPr>
          <w:color w:val="auto"/>
          <w:szCs w:val="21"/>
          <w:highlight w:val="none"/>
        </w:rPr>
      </w:pPr>
    </w:p>
    <w:p w14:paraId="368FE721">
      <w:pPr>
        <w:pStyle w:val="22"/>
        <w:spacing w:after="0" w:line="360" w:lineRule="auto"/>
        <w:ind w:left="0" w:leftChars="0" w:right="0" w:rightChars="0" w:firstLine="420" w:firstLineChars="200"/>
        <w:rPr>
          <w:color w:val="auto"/>
          <w:szCs w:val="21"/>
          <w:highlight w:val="none"/>
        </w:rPr>
      </w:pPr>
    </w:p>
    <w:p w14:paraId="6F6D0C00">
      <w:pPr>
        <w:spacing w:line="360" w:lineRule="auto"/>
        <w:rPr>
          <w:color w:val="auto"/>
          <w:szCs w:val="21"/>
          <w:highlight w:val="none"/>
        </w:rPr>
      </w:pPr>
    </w:p>
    <w:p w14:paraId="4ABA6A29">
      <w:pPr>
        <w:spacing w:line="360" w:lineRule="auto"/>
        <w:rPr>
          <w:color w:val="auto"/>
          <w:szCs w:val="21"/>
          <w:highlight w:val="none"/>
        </w:rPr>
      </w:pPr>
      <w:r>
        <w:rPr>
          <w:color w:val="auto"/>
          <w:szCs w:val="21"/>
          <w:highlight w:val="none"/>
        </w:rPr>
        <w:br w:type="page"/>
      </w:r>
    </w:p>
    <w:p w14:paraId="7C46C80B">
      <w:pPr>
        <w:spacing w:line="360" w:lineRule="auto"/>
        <w:rPr>
          <w:color w:val="auto"/>
          <w:szCs w:val="21"/>
          <w:highlight w:val="none"/>
        </w:rPr>
      </w:pPr>
      <w:r>
        <w:rPr>
          <w:color w:val="auto"/>
          <w:szCs w:val="21"/>
          <w:highlight w:val="none"/>
        </w:rPr>
        <w:t>附件一：技术参数</w:t>
      </w:r>
    </w:p>
    <w:p w14:paraId="119BC5DB">
      <w:pPr>
        <w:spacing w:line="360" w:lineRule="auto"/>
        <w:rPr>
          <w:color w:val="auto"/>
          <w:szCs w:val="21"/>
          <w:highlight w:val="none"/>
        </w:rPr>
      </w:pPr>
    </w:p>
    <w:p w14:paraId="73BD154E">
      <w:pPr>
        <w:widowControl/>
        <w:tabs>
          <w:tab w:val="left" w:pos="1980"/>
        </w:tabs>
        <w:snapToGrid w:val="0"/>
        <w:spacing w:line="360" w:lineRule="auto"/>
        <w:rPr>
          <w:color w:val="auto"/>
          <w:szCs w:val="21"/>
          <w:highlight w:val="none"/>
        </w:rPr>
      </w:pPr>
      <w:r>
        <w:rPr>
          <w:color w:val="auto"/>
          <w:szCs w:val="21"/>
          <w:highlight w:val="none"/>
        </w:rPr>
        <w:t>附件二：配置清单</w:t>
      </w:r>
    </w:p>
    <w:p w14:paraId="0EDD3872">
      <w:pPr>
        <w:widowControl/>
        <w:tabs>
          <w:tab w:val="left" w:pos="1980"/>
        </w:tabs>
        <w:snapToGrid w:val="0"/>
        <w:spacing w:line="360" w:lineRule="auto"/>
        <w:rPr>
          <w:color w:val="auto"/>
          <w:szCs w:val="21"/>
          <w:highlight w:val="none"/>
        </w:rPr>
      </w:pPr>
    </w:p>
    <w:p w14:paraId="5F4DDC40">
      <w:pPr>
        <w:snapToGrid w:val="0"/>
        <w:spacing w:line="360" w:lineRule="auto"/>
        <w:rPr>
          <w:color w:val="auto"/>
          <w:szCs w:val="21"/>
          <w:highlight w:val="none"/>
          <w:u w:val="single"/>
        </w:rPr>
      </w:pPr>
      <w:r>
        <w:rPr>
          <w:color w:val="auto"/>
          <w:szCs w:val="21"/>
          <w:highlight w:val="none"/>
        </w:rPr>
        <w:t>附件三：公司资质及产品资质</w:t>
      </w:r>
    </w:p>
    <w:p w14:paraId="52513751">
      <w:pPr>
        <w:snapToGrid w:val="0"/>
        <w:spacing w:line="360" w:lineRule="auto"/>
        <w:rPr>
          <w:color w:val="auto"/>
          <w:szCs w:val="21"/>
          <w:highlight w:val="none"/>
        </w:rPr>
      </w:pPr>
    </w:p>
    <w:p w14:paraId="3671758A">
      <w:pPr>
        <w:rPr>
          <w:rFonts w:cs="宋体"/>
          <w:b/>
          <w:color w:val="auto"/>
          <w:sz w:val="28"/>
          <w:szCs w:val="32"/>
          <w:highlight w:val="none"/>
        </w:rPr>
      </w:pPr>
      <w:r>
        <w:rPr>
          <w:rFonts w:hint="eastAsia" w:cs="宋体"/>
          <w:b/>
          <w:color w:val="auto"/>
          <w:sz w:val="28"/>
          <w:szCs w:val="32"/>
          <w:highlight w:val="none"/>
        </w:rPr>
        <w:br w:type="page"/>
      </w:r>
    </w:p>
    <w:p w14:paraId="3A71B59C">
      <w:pPr>
        <w:spacing w:line="360" w:lineRule="auto"/>
        <w:ind w:right="638" w:rightChars="304"/>
        <w:jc w:val="center"/>
        <w:rPr>
          <w:b/>
          <w:color w:val="auto"/>
          <w:szCs w:val="21"/>
          <w:highlight w:val="none"/>
        </w:rPr>
      </w:pPr>
      <w:r>
        <w:rPr>
          <w:b/>
          <w:color w:val="auto"/>
          <w:szCs w:val="21"/>
          <w:highlight w:val="none"/>
        </w:rPr>
        <w:t xml:space="preserve">廉洁购销协议书 </w:t>
      </w:r>
    </w:p>
    <w:p w14:paraId="204F89FB">
      <w:pPr>
        <w:spacing w:line="360" w:lineRule="auto"/>
        <w:rPr>
          <w:rFonts w:ascii="宋体" w:hAnsi="宋体" w:cs="宋体"/>
          <w:color w:val="auto"/>
          <w:szCs w:val="21"/>
          <w:highlight w:val="none"/>
        </w:rPr>
      </w:pPr>
      <w:r>
        <w:rPr>
          <w:rFonts w:hint="eastAsia" w:ascii="宋体" w:hAnsi="宋体" w:cs="宋体"/>
          <w:color w:val="auto"/>
          <w:szCs w:val="21"/>
          <w:highlight w:val="none"/>
        </w:rPr>
        <w:t>甲方：中国医学科学院皮肤病医院（中国医学科学院皮肤病研究所）</w:t>
      </w:r>
    </w:p>
    <w:p w14:paraId="74A41F0F">
      <w:pPr>
        <w:spacing w:line="360" w:lineRule="auto"/>
        <w:rPr>
          <w:rFonts w:ascii="宋体" w:hAnsi="宋体" w:cs="宋体"/>
          <w:color w:val="auto"/>
          <w:szCs w:val="21"/>
          <w:highlight w:val="none"/>
        </w:rPr>
      </w:pPr>
      <w:r>
        <w:rPr>
          <w:rFonts w:hint="eastAsia" w:ascii="宋体" w:hAnsi="宋体" w:cs="宋体"/>
          <w:color w:val="auto"/>
          <w:szCs w:val="21"/>
          <w:highlight w:val="none"/>
        </w:rPr>
        <w:t>乙方：</w:t>
      </w:r>
    </w:p>
    <w:p w14:paraId="01F0486D">
      <w:pPr>
        <w:widowControl/>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为贯彻落实中央和地方关于治理商业贿赂文件精神，促进院所党风廉政建设深入开展，进一步规范医院的购销行为，严格执行国家和地方卫生行政主管部门关于集中采购和政府采购的相关规定，防止违反《八项规定》精神和《九项准则》等事件，营造公平交易、诚实守信的环境，维护正常的医疗和经营秩序。甲、乙双方特签订廉洁购销协议书。内容如下：</w:t>
      </w:r>
    </w:p>
    <w:p w14:paraId="790D37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一、甲方购进的货物（设备、耗材试剂等）、服务等不得以任何方式向乙方索取回扣，不得要求乙方代支任何费用。</w:t>
      </w:r>
    </w:p>
    <w:p w14:paraId="1B0D20C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二、甲方和工作人员以暗示或其他形式索要回扣、提成、有价证券、现金、信用卡、购物卡等，乙方应予拒绝，并如实向甲方纪检监察部门反映情况。</w:t>
      </w:r>
    </w:p>
    <w:p w14:paraId="610993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乙方不得暗中给予甲方和工作人员回扣，不得以提成和赠送有价证券、现金、信用卡、购物卡、宴请、娱乐等手段影响甲方和工作人员对所购货物、服务等的选择权。乙方提供甲方国内或境外学术活动必须按照相关规定办理手续。</w:t>
      </w:r>
    </w:p>
    <w:p w14:paraId="193B48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四、乙方为拓展业务进行的商务洽谈，必须在工作时间到甲方指定科室或办公室联系商谈，工作时间不得进入医院工作区。严格按照医院《医药代表备案管理制度》执行。乙方为履行合同义务进行的项目对接，可正常现场实施。</w:t>
      </w:r>
    </w:p>
    <w:p w14:paraId="771ED41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五、乙方如违反以上条款，经核实后，情节轻微，甲方给予乙方警告或暂停采购，并在单位内通报；拒不整改或情节严重的，甲方有权将乙方列入“非诚信交易黑名单”，终止供销合同；涉嫌违法的，由执法部门提起诉讼。</w:t>
      </w:r>
    </w:p>
    <w:p w14:paraId="636D18F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六、甲方和工作人员如违反以上条款的，将按国家法律、法规和相关制度给予处理，涉嫌违法的，交由执法部门处理。</w:t>
      </w:r>
    </w:p>
    <w:p w14:paraId="3AEE51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七、本协议书和廉洁购销承诺书作为货物、服务等购销合同的附件，与购销合同一并执行，具有同等的法律效力。</w:t>
      </w:r>
    </w:p>
    <w:p w14:paraId="450772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八、本协议书和廉洁购销承诺书一式两份，甲、乙双方各执一份，并从签订之日起生效。</w:t>
      </w:r>
    </w:p>
    <w:p w14:paraId="202CEEB0">
      <w:pPr>
        <w:spacing w:line="360" w:lineRule="auto"/>
        <w:ind w:firstLine="420" w:firstLineChars="200"/>
        <w:rPr>
          <w:rFonts w:ascii="宋体" w:hAnsi="宋体" w:cs="宋体"/>
          <w:color w:val="auto"/>
          <w:szCs w:val="21"/>
          <w:highlight w:val="none"/>
        </w:rPr>
      </w:pPr>
    </w:p>
    <w:p w14:paraId="1777F19F">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甲方：中国医学科学院皮肤病医院（盖章）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乙方：                （盖章）</w:t>
      </w:r>
    </w:p>
    <w:p w14:paraId="23F3C1E0">
      <w:pPr>
        <w:spacing w:line="36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（中国医学科学院皮肤病研究所）</w:t>
      </w:r>
    </w:p>
    <w:p w14:paraId="64BDA2B8">
      <w:pPr>
        <w:spacing w:line="360" w:lineRule="auto"/>
        <w:rPr>
          <w:rFonts w:ascii="宋体" w:hAnsi="宋体" w:cs="宋体"/>
          <w:color w:val="auto"/>
          <w:szCs w:val="21"/>
          <w:highlight w:val="none"/>
        </w:rPr>
      </w:pPr>
      <w:r>
        <w:rPr>
          <w:rFonts w:hint="eastAsia" w:ascii="宋体" w:hAnsi="宋体" w:cs="宋体"/>
          <w:color w:val="auto"/>
          <w:szCs w:val="21"/>
          <w:highlight w:val="none"/>
        </w:rPr>
        <w:t>经办人签名：</w:t>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经办人签名：</w:t>
      </w:r>
    </w:p>
    <w:p w14:paraId="495FA739">
      <w:pPr>
        <w:snapToGrid w:val="0"/>
        <w:spacing w:line="360" w:lineRule="auto"/>
        <w:rPr>
          <w:rFonts w:hint="default" w:ascii="Times New Roman" w:hAnsi="Times New Roman" w:cs="Times New Roman"/>
          <w:color w:val="auto"/>
          <w:szCs w:val="21"/>
          <w:highlight w:val="none"/>
          <w:u w:val="single"/>
        </w:rPr>
      </w:pPr>
      <w:r>
        <w:rPr>
          <w:rFonts w:hint="eastAsia" w:ascii="宋体" w:hAnsi="宋体" w:cs="宋体"/>
          <w:color w:val="auto"/>
          <w:szCs w:val="21"/>
          <w:highlight w:val="none"/>
        </w:rPr>
        <w:tab/>
      </w:r>
      <w:r>
        <w:rPr>
          <w:rFonts w:ascii="宋体" w:hAnsi="宋体" w:cs="宋体"/>
          <w:color w:val="auto"/>
          <w:szCs w:val="21"/>
          <w:highlight w:val="none"/>
        </w:rPr>
        <w:t xml:space="preserve">   </w:t>
      </w:r>
      <w:r>
        <w:rPr>
          <w:rFonts w:hint="eastAsia" w:ascii="宋体" w:hAnsi="宋体" w:cs="宋体"/>
          <w:color w:val="auto"/>
          <w:szCs w:val="21"/>
          <w:highlight w:val="none"/>
        </w:rPr>
        <w:t>年    月    日</w:t>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ab/>
      </w: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年    月    日</w:t>
      </w:r>
    </w:p>
    <w:p w14:paraId="47744537">
      <w:pPr>
        <w:snapToGrid w:val="0"/>
        <w:spacing w:line="360" w:lineRule="auto"/>
        <w:rPr>
          <w:rFonts w:hint="default" w:ascii="Times New Roman" w:hAnsi="Times New Roman" w:cs="Times New Roman"/>
          <w:color w:val="auto"/>
          <w:szCs w:val="21"/>
          <w:highlight w:val="none"/>
        </w:rPr>
      </w:pPr>
    </w:p>
    <w:p w14:paraId="06F3846C">
      <w:pPr>
        <w:tabs>
          <w:tab w:val="center" w:pos="4890"/>
          <w:tab w:val="left" w:pos="8395"/>
        </w:tabs>
        <w:snapToGrid w:val="0"/>
        <w:spacing w:line="360" w:lineRule="auto"/>
        <w:jc w:val="center"/>
        <w:outlineLvl w:val="0"/>
        <w:rPr>
          <w:rFonts w:hint="default" w:ascii="Times New Roman" w:hAnsi="Times New Roman" w:cs="Times New Roman"/>
          <w:b/>
          <w:color w:val="auto"/>
          <w:sz w:val="28"/>
          <w:szCs w:val="28"/>
          <w:highlight w:val="none"/>
        </w:rPr>
      </w:pPr>
      <w:bookmarkStart w:id="224" w:name="_Toc19"/>
      <w:bookmarkStart w:id="225" w:name="_Toc26078"/>
      <w:r>
        <w:rPr>
          <w:rFonts w:hint="default" w:ascii="Times New Roman" w:hAnsi="Times New Roman" w:cs="Times New Roman"/>
          <w:b/>
          <w:color w:val="auto"/>
          <w:sz w:val="28"/>
          <w:szCs w:val="28"/>
          <w:highlight w:val="none"/>
        </w:rPr>
        <w:br w:type="page"/>
      </w:r>
      <w:bookmarkStart w:id="226" w:name="_Toc6197"/>
      <w:r>
        <w:rPr>
          <w:rFonts w:hint="default" w:ascii="Times New Roman" w:hAnsi="Times New Roman" w:cs="Times New Roman"/>
          <w:b/>
          <w:color w:val="auto"/>
          <w:sz w:val="28"/>
          <w:szCs w:val="28"/>
          <w:highlight w:val="none"/>
        </w:rPr>
        <w:t>第六章 投标文件格式及附件</w:t>
      </w:r>
      <w:bookmarkEnd w:id="224"/>
      <w:bookmarkEnd w:id="225"/>
      <w:bookmarkEnd w:id="226"/>
    </w:p>
    <w:p w14:paraId="7FC716F4">
      <w:pPr>
        <w:spacing w:line="360" w:lineRule="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注：</w:t>
      </w:r>
    </w:p>
    <w:p w14:paraId="22A0DF56">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1.本部分内容仅提供格式参考。 </w:t>
      </w:r>
    </w:p>
    <w:p w14:paraId="5BCEAFB0">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2.供应商应按照以下文件的要求格式、内容制作投标文件，并编制目录及页码，混乱的编排导致投标文件被误读或查找不到，后果由供应商承担。 </w:t>
      </w:r>
    </w:p>
    <w:p w14:paraId="45B76B76">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3.所附表格中要求回答的全部问题和信息都必须正面回答。 </w:t>
      </w:r>
    </w:p>
    <w:p w14:paraId="5BD1530B">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4.供应商提交的材料不予退还。 </w:t>
      </w:r>
    </w:p>
    <w:p w14:paraId="151B9744">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5.全部文件应按投标人须知以及前附表中规定的语言和份数提交。 </w:t>
      </w:r>
    </w:p>
    <w:p w14:paraId="07ACF3D0">
      <w:pPr>
        <w:spacing w:line="360" w:lineRule="auto"/>
        <w:jc w:val="left"/>
        <w:rPr>
          <w:rFonts w:hint="default" w:ascii="Times New Roman" w:hAnsi="Times New Roman" w:cs="Times New Roman"/>
          <w:color w:val="auto"/>
          <w:sz w:val="24"/>
          <w:highlight w:val="none"/>
        </w:rPr>
      </w:pPr>
      <w:r>
        <w:rPr>
          <w:rFonts w:hint="default" w:ascii="Times New Roman" w:hAnsi="Times New Roman" w:cs="Times New Roman"/>
          <w:color w:val="auto"/>
          <w:szCs w:val="21"/>
          <w:highlight w:val="none"/>
        </w:rPr>
        <w:t>6.投标文件应按照投标文件格式逐项填写，无相应内容可填的项应填写“无”“未测试”“没有相应指标”等明确的回答文字。</w:t>
      </w:r>
    </w:p>
    <w:p w14:paraId="15660BA1">
      <w:pPr>
        <w:jc w:val="center"/>
        <w:rPr>
          <w:rFonts w:hint="default" w:ascii="Times New Roman" w:hAnsi="Times New Roman" w:cs="Times New Roman"/>
          <w:color w:val="auto"/>
          <w:szCs w:val="24"/>
          <w:highlight w:val="none"/>
        </w:rPr>
      </w:pPr>
      <w:bookmarkStart w:id="227" w:name="_Toc29373"/>
      <w:bookmarkStart w:id="228" w:name="_Toc496780634"/>
      <w:bookmarkStart w:id="229" w:name="_Toc12151"/>
    </w:p>
    <w:p w14:paraId="5F1C261C">
      <w:pPr>
        <w:rPr>
          <w:rFonts w:hint="default" w:ascii="Times New Roman" w:hAnsi="Times New Roman" w:cs="Times New Roman"/>
          <w:color w:val="auto"/>
          <w:szCs w:val="24"/>
          <w:highlight w:val="none"/>
        </w:rPr>
        <w:sectPr>
          <w:footerReference r:id="rId12" w:type="first"/>
          <w:footerReference r:id="rId11" w:type="default"/>
          <w:pgSz w:w="11906" w:h="16838"/>
          <w:pgMar w:top="1134" w:right="1134" w:bottom="1134" w:left="1134" w:header="851" w:footer="992" w:gutter="0"/>
          <w:cols w:space="720" w:num="1"/>
          <w:titlePg/>
          <w:docGrid w:type="lines" w:linePitch="312" w:charSpace="0"/>
        </w:sectPr>
      </w:pPr>
    </w:p>
    <w:p w14:paraId="357FA001">
      <w:pPr>
        <w:widowControl/>
        <w:jc w:val="left"/>
        <w:rPr>
          <w:rFonts w:hint="default" w:ascii="Times New Roman" w:hAnsi="Times New Roman" w:cs="Times New Roman"/>
          <w:color w:val="auto"/>
          <w:highlight w:val="none"/>
        </w:rPr>
      </w:pPr>
      <w:r>
        <w:rPr>
          <w:rFonts w:hint="default" w:ascii="Times New Roman" w:hAnsi="Times New Roman" w:cs="Times New Roman"/>
          <w:b/>
          <w:bCs/>
          <w:color w:val="auto"/>
          <w:kern w:val="0"/>
          <w:sz w:val="28"/>
          <w:szCs w:val="28"/>
          <w:highlight w:val="none"/>
          <w:lang w:bidi="ar"/>
        </w:rPr>
        <w:t xml:space="preserve">投标文件封面格式 </w:t>
      </w:r>
    </w:p>
    <w:p w14:paraId="77478A0D">
      <w:pPr>
        <w:spacing w:line="500" w:lineRule="exact"/>
        <w:jc w:val="right"/>
        <w:rPr>
          <w:rFonts w:hint="default" w:ascii="Times New Roman" w:hAnsi="Times New Roman" w:cs="Times New Roman"/>
          <w:b/>
          <w:color w:val="auto"/>
          <w:spacing w:val="80"/>
          <w:sz w:val="72"/>
          <w:highlight w:val="none"/>
        </w:rPr>
      </w:pPr>
      <w:r>
        <w:rPr>
          <w:rFonts w:hint="default" w:ascii="Times New Roman" w:hAnsi="Times New Roman" w:cs="Times New Roman"/>
          <w:b/>
          <w:iCs/>
          <w:color w:val="auto"/>
          <w:sz w:val="36"/>
          <w:szCs w:val="36"/>
          <w:highlight w:val="none"/>
        </w:rPr>
        <w:sym w:font="Wingdings 2" w:char="00A3"/>
      </w:r>
      <w:r>
        <w:rPr>
          <w:rFonts w:hint="default" w:ascii="Times New Roman" w:hAnsi="Times New Roman" w:cs="Times New Roman"/>
          <w:b/>
          <w:iCs/>
          <w:color w:val="auto"/>
          <w:sz w:val="44"/>
          <w:szCs w:val="44"/>
          <w:highlight w:val="none"/>
        </w:rPr>
        <w:t>正本/</w:t>
      </w:r>
      <w:r>
        <w:rPr>
          <w:rFonts w:hint="default" w:ascii="Times New Roman" w:hAnsi="Times New Roman" w:cs="Times New Roman"/>
          <w:b/>
          <w:iCs/>
          <w:color w:val="auto"/>
          <w:sz w:val="36"/>
          <w:szCs w:val="36"/>
          <w:highlight w:val="none"/>
        </w:rPr>
        <w:sym w:font="Wingdings 2" w:char="00A3"/>
      </w:r>
      <w:r>
        <w:rPr>
          <w:rFonts w:hint="default" w:ascii="Times New Roman" w:hAnsi="Times New Roman" w:cs="Times New Roman"/>
          <w:b/>
          <w:iCs/>
          <w:color w:val="auto"/>
          <w:sz w:val="44"/>
          <w:szCs w:val="44"/>
          <w:highlight w:val="none"/>
        </w:rPr>
        <w:t>副本</w:t>
      </w:r>
    </w:p>
    <w:p w14:paraId="7DC8B8C5">
      <w:pPr>
        <w:spacing w:line="500" w:lineRule="exact"/>
        <w:jc w:val="center"/>
        <w:rPr>
          <w:rFonts w:hint="default" w:ascii="Times New Roman" w:hAnsi="Times New Roman" w:cs="Times New Roman"/>
          <w:b/>
          <w:color w:val="auto"/>
          <w:sz w:val="44"/>
          <w:szCs w:val="44"/>
          <w:highlight w:val="none"/>
        </w:rPr>
      </w:pPr>
    </w:p>
    <w:p w14:paraId="5AACAD99">
      <w:pPr>
        <w:spacing w:before="100" w:beforeAutospacing="1" w:after="100" w:afterAutospacing="1" w:line="360" w:lineRule="auto"/>
        <w:jc w:val="center"/>
        <w:rPr>
          <w:rFonts w:hint="default" w:ascii="Times New Roman" w:hAnsi="Times New Roman" w:cs="Times New Roman"/>
          <w:b/>
          <w:color w:val="auto"/>
          <w:sz w:val="48"/>
          <w:szCs w:val="48"/>
          <w:highlight w:val="none"/>
        </w:rPr>
      </w:pPr>
      <w:r>
        <w:rPr>
          <w:rFonts w:hint="default" w:ascii="Times New Roman" w:hAnsi="Times New Roman" w:cs="Times New Roman"/>
          <w:b/>
          <w:color w:val="auto"/>
          <w:sz w:val="48"/>
          <w:szCs w:val="48"/>
          <w:highlight w:val="none"/>
        </w:rPr>
        <w:t>中国医学科学院皮肤病医院</w:t>
      </w:r>
    </w:p>
    <w:p w14:paraId="7EB2A85C">
      <w:pPr>
        <w:pStyle w:val="80"/>
        <w:ind w:firstLine="0" w:firstLineChars="0"/>
        <w:jc w:val="center"/>
        <w:rPr>
          <w:rFonts w:hint="default" w:ascii="Times New Roman" w:hAnsi="Times New Roman" w:cs="Times New Roman"/>
          <w:color w:val="auto"/>
          <w:highlight w:val="none"/>
        </w:rPr>
      </w:pPr>
      <w:r>
        <w:rPr>
          <w:rFonts w:hint="default" w:ascii="Times New Roman" w:hAnsi="Times New Roman" w:cs="Times New Roman"/>
          <w:b/>
          <w:color w:val="auto"/>
          <w:sz w:val="48"/>
          <w:szCs w:val="48"/>
          <w:highlight w:val="none"/>
        </w:rPr>
        <w:t>（</w:t>
      </w:r>
      <w:r>
        <w:rPr>
          <w:rFonts w:hint="default" w:ascii="Times New Roman" w:hAnsi="Times New Roman" w:cs="Times New Roman"/>
          <w:b/>
          <w:color w:val="auto"/>
          <w:sz w:val="48"/>
          <w:szCs w:val="48"/>
          <w:highlight w:val="none"/>
          <w:lang w:val="en-US"/>
        </w:rPr>
        <w:t>中国医学科学院皮肤病研究所</w:t>
      </w:r>
      <w:r>
        <w:rPr>
          <w:rFonts w:hint="default" w:ascii="Times New Roman" w:hAnsi="Times New Roman" w:cs="Times New Roman"/>
          <w:b/>
          <w:color w:val="auto"/>
          <w:sz w:val="48"/>
          <w:szCs w:val="48"/>
          <w:highlight w:val="none"/>
        </w:rPr>
        <w:t>）</w:t>
      </w:r>
    </w:p>
    <w:p w14:paraId="053BD07A">
      <w:pPr>
        <w:spacing w:before="100" w:beforeAutospacing="1" w:after="100" w:afterAutospacing="1" w:line="360" w:lineRule="auto"/>
        <w:jc w:val="center"/>
        <w:rPr>
          <w:rFonts w:hint="eastAsia" w:ascii="Times New Roman" w:hAnsi="Times New Roman" w:eastAsia="宋体" w:cs="Times New Roman"/>
          <w:b/>
          <w:color w:val="auto"/>
          <w:sz w:val="48"/>
          <w:szCs w:val="48"/>
          <w:highlight w:val="none"/>
          <w:lang w:eastAsia="zh-CN"/>
        </w:rPr>
      </w:pPr>
      <w:r>
        <w:rPr>
          <w:rFonts w:hint="eastAsia" w:cs="Times New Roman"/>
          <w:b/>
          <w:color w:val="auto"/>
          <w:sz w:val="48"/>
          <w:szCs w:val="48"/>
          <w:highlight w:val="none"/>
          <w:lang w:eastAsia="zh-CN"/>
        </w:rPr>
        <w:t>空气净化消毒器</w:t>
      </w:r>
    </w:p>
    <w:p w14:paraId="1BFA9BC5">
      <w:pPr>
        <w:spacing w:before="100" w:beforeAutospacing="1" w:after="100" w:afterAutospacing="1" w:line="360" w:lineRule="auto"/>
        <w:ind w:right="32"/>
        <w:jc w:val="center"/>
        <w:rPr>
          <w:rFonts w:hint="default" w:ascii="Times New Roman" w:hAnsi="Times New Roman" w:cs="Times New Roman"/>
          <w:b/>
          <w:color w:val="auto"/>
          <w:sz w:val="48"/>
          <w:szCs w:val="48"/>
          <w:highlight w:val="none"/>
        </w:rPr>
      </w:pPr>
    </w:p>
    <w:p w14:paraId="230842FD">
      <w:pPr>
        <w:spacing w:line="500" w:lineRule="exact"/>
        <w:jc w:val="center"/>
        <w:rPr>
          <w:rFonts w:hint="default" w:ascii="Times New Roman" w:hAnsi="Times New Roman" w:cs="Times New Roman"/>
          <w:b/>
          <w:color w:val="auto"/>
          <w:spacing w:val="80"/>
          <w:sz w:val="72"/>
          <w:highlight w:val="none"/>
        </w:rPr>
      </w:pPr>
    </w:p>
    <w:p w14:paraId="1D001085">
      <w:pPr>
        <w:spacing w:before="100" w:beforeAutospacing="1" w:after="100" w:afterAutospacing="1" w:line="500" w:lineRule="exact"/>
        <w:jc w:val="center"/>
        <w:rPr>
          <w:rFonts w:hint="default" w:ascii="Times New Roman" w:hAnsi="Times New Roman" w:cs="Times New Roman"/>
          <w:b/>
          <w:color w:val="auto"/>
          <w:sz w:val="72"/>
          <w:szCs w:val="72"/>
          <w:highlight w:val="none"/>
        </w:rPr>
      </w:pPr>
      <w:r>
        <w:rPr>
          <w:rFonts w:hint="default" w:ascii="Times New Roman" w:hAnsi="Times New Roman" w:cs="Times New Roman"/>
          <w:b/>
          <w:color w:val="auto"/>
          <w:sz w:val="72"/>
          <w:szCs w:val="72"/>
          <w:highlight w:val="none"/>
        </w:rPr>
        <w:t>投标文件</w:t>
      </w:r>
    </w:p>
    <w:p w14:paraId="045054EC">
      <w:pPr>
        <w:spacing w:line="360" w:lineRule="auto"/>
        <w:ind w:firstLine="1285" w:firstLineChars="400"/>
        <w:rPr>
          <w:rFonts w:hint="default" w:ascii="Times New Roman" w:hAnsi="Times New Roman" w:cs="Times New Roman"/>
          <w:b/>
          <w:color w:val="auto"/>
          <w:sz w:val="32"/>
          <w:szCs w:val="32"/>
          <w:highlight w:val="none"/>
        </w:rPr>
      </w:pPr>
    </w:p>
    <w:p w14:paraId="753F1D66">
      <w:pPr>
        <w:pStyle w:val="20"/>
        <w:spacing w:line="500" w:lineRule="exact"/>
        <w:jc w:val="center"/>
        <w:rPr>
          <w:rFonts w:hint="default" w:ascii="Times New Roman" w:hAnsi="Times New Roman" w:cs="Times New Roman"/>
          <w:color w:val="auto"/>
          <w:sz w:val="36"/>
          <w:highlight w:val="none"/>
        </w:rPr>
      </w:pPr>
    </w:p>
    <w:p w14:paraId="1F094E6D">
      <w:pPr>
        <w:spacing w:line="500" w:lineRule="exact"/>
        <w:rPr>
          <w:rFonts w:hint="default" w:ascii="Times New Roman" w:hAnsi="Times New Roman" w:cs="Times New Roman"/>
          <w:color w:val="auto"/>
          <w:sz w:val="32"/>
          <w:highlight w:val="none"/>
        </w:rPr>
      </w:pPr>
    </w:p>
    <w:p w14:paraId="418AA682">
      <w:pPr>
        <w:spacing w:line="500" w:lineRule="exact"/>
        <w:rPr>
          <w:rFonts w:hint="default" w:ascii="Times New Roman" w:hAnsi="Times New Roman" w:cs="Times New Roman"/>
          <w:color w:val="auto"/>
          <w:sz w:val="32"/>
          <w:highlight w:val="none"/>
        </w:rPr>
      </w:pPr>
    </w:p>
    <w:p w14:paraId="438DE117">
      <w:pPr>
        <w:spacing w:line="500" w:lineRule="exact"/>
        <w:rPr>
          <w:rFonts w:hint="default" w:ascii="Times New Roman" w:hAnsi="Times New Roman" w:cs="Times New Roman"/>
          <w:color w:val="auto"/>
          <w:sz w:val="32"/>
          <w:highlight w:val="none"/>
        </w:rPr>
      </w:pPr>
    </w:p>
    <w:p w14:paraId="0925B569">
      <w:pPr>
        <w:spacing w:line="500" w:lineRule="exact"/>
        <w:rPr>
          <w:rFonts w:hint="default" w:ascii="Times New Roman" w:hAnsi="Times New Roman" w:cs="Times New Roman"/>
          <w:color w:val="auto"/>
          <w:highlight w:val="none"/>
        </w:rPr>
      </w:pPr>
    </w:p>
    <w:p w14:paraId="79F01438">
      <w:pPr>
        <w:pStyle w:val="80"/>
        <w:ind w:firstLine="420"/>
        <w:rPr>
          <w:rFonts w:hint="default" w:ascii="Times New Roman" w:hAnsi="Times New Roman" w:cs="Times New Roman"/>
          <w:color w:val="auto"/>
          <w:highlight w:val="none"/>
        </w:rPr>
      </w:pPr>
    </w:p>
    <w:p w14:paraId="64852EAC">
      <w:pPr>
        <w:spacing w:line="360" w:lineRule="auto"/>
        <w:ind w:firstLine="1285" w:firstLineChars="400"/>
        <w:rPr>
          <w:rFonts w:hint="default" w:ascii="Times New Roman" w:hAnsi="Times New Roman" w:cs="Times New Roman"/>
          <w:b/>
          <w:color w:val="auto"/>
          <w:sz w:val="32"/>
          <w:szCs w:val="32"/>
          <w:highlight w:val="none"/>
        </w:rPr>
      </w:pPr>
      <w:r>
        <w:rPr>
          <w:rFonts w:hint="default" w:ascii="Times New Roman" w:hAnsi="Times New Roman" w:cs="Times New Roman"/>
          <w:b/>
          <w:color w:val="auto"/>
          <w:sz w:val="32"/>
          <w:szCs w:val="32"/>
          <w:highlight w:val="none"/>
        </w:rPr>
        <w:t xml:space="preserve">  </w:t>
      </w:r>
    </w:p>
    <w:p w14:paraId="6E60B52C">
      <w:pPr>
        <w:spacing w:line="360" w:lineRule="auto"/>
        <w:ind w:firstLine="1285" w:firstLineChars="400"/>
        <w:rPr>
          <w:rFonts w:hint="eastAsia" w:ascii="Times New Roman" w:hAnsi="Times New Roman" w:eastAsia="宋体" w:cs="Times New Roman"/>
          <w:b/>
          <w:color w:val="auto"/>
          <w:sz w:val="32"/>
          <w:szCs w:val="32"/>
          <w:highlight w:val="none"/>
          <w:lang w:eastAsia="zh-CN"/>
        </w:rPr>
      </w:pPr>
      <w:r>
        <w:rPr>
          <w:rFonts w:hint="default" w:ascii="Times New Roman" w:hAnsi="Times New Roman" w:cs="Times New Roman"/>
          <w:b/>
          <w:color w:val="auto"/>
          <w:sz w:val="32"/>
          <w:szCs w:val="32"/>
          <w:highlight w:val="none"/>
        </w:rPr>
        <w:t xml:space="preserve">  项目编号：</w:t>
      </w:r>
      <w:r>
        <w:rPr>
          <w:rFonts w:hint="eastAsia" w:cs="Times New Roman"/>
          <w:b/>
          <w:color w:val="auto"/>
          <w:sz w:val="32"/>
          <w:szCs w:val="32"/>
          <w:highlight w:val="none"/>
          <w:lang w:eastAsia="zh-CN"/>
        </w:rPr>
        <w:t>2640SUMEC/XMGG4169</w:t>
      </w:r>
    </w:p>
    <w:p w14:paraId="4C6AB8E9">
      <w:pPr>
        <w:spacing w:line="360" w:lineRule="auto"/>
        <w:ind w:firstLine="1606" w:firstLineChars="500"/>
        <w:rPr>
          <w:rFonts w:hint="default" w:ascii="Times New Roman" w:hAnsi="Times New Roman" w:cs="Times New Roman"/>
          <w:b/>
          <w:bCs/>
          <w:color w:val="auto"/>
          <w:sz w:val="36"/>
          <w:szCs w:val="36"/>
          <w:highlight w:val="none"/>
        </w:rPr>
      </w:pPr>
      <w:r>
        <w:rPr>
          <w:rFonts w:hint="default" w:ascii="Times New Roman" w:hAnsi="Times New Roman" w:cs="Times New Roman"/>
          <w:b/>
          <w:color w:val="auto"/>
          <w:sz w:val="32"/>
          <w:szCs w:val="32"/>
          <w:highlight w:val="none"/>
        </w:rPr>
        <w:t>投标单位名称：</w:t>
      </w:r>
      <w:r>
        <w:rPr>
          <w:rFonts w:hint="default" w:ascii="Times New Roman" w:hAnsi="Times New Roman" w:cs="Times New Roman"/>
          <w:b/>
          <w:bCs/>
          <w:color w:val="auto"/>
          <w:sz w:val="36"/>
          <w:szCs w:val="36"/>
          <w:highlight w:val="none"/>
          <w:u w:val="single"/>
        </w:rPr>
        <w:t xml:space="preserve">                   </w:t>
      </w:r>
    </w:p>
    <w:p w14:paraId="49B53683">
      <w:pPr>
        <w:spacing w:line="500" w:lineRule="exact"/>
        <w:jc w:val="center"/>
        <w:rPr>
          <w:rFonts w:hint="default" w:ascii="Times New Roman" w:hAnsi="Times New Roman" w:cs="Times New Roman"/>
          <w:b/>
          <w:bCs/>
          <w:color w:val="auto"/>
          <w:sz w:val="36"/>
          <w:szCs w:val="36"/>
          <w:highlight w:val="none"/>
        </w:rPr>
      </w:pPr>
      <w:r>
        <w:rPr>
          <w:rFonts w:hint="default" w:ascii="Times New Roman" w:hAnsi="Times New Roman" w:cs="Times New Roman"/>
          <w:b/>
          <w:bCs/>
          <w:color w:val="auto"/>
          <w:sz w:val="36"/>
          <w:szCs w:val="36"/>
          <w:highlight w:val="none"/>
          <w:u w:val="single"/>
        </w:rPr>
        <w:t xml:space="preserve">      </w:t>
      </w:r>
      <w:r>
        <w:rPr>
          <w:rFonts w:hint="default" w:ascii="Times New Roman" w:hAnsi="Times New Roman" w:cs="Times New Roman"/>
          <w:b/>
          <w:bCs/>
          <w:color w:val="auto"/>
          <w:sz w:val="36"/>
          <w:szCs w:val="36"/>
          <w:highlight w:val="none"/>
        </w:rPr>
        <w:t>年</w:t>
      </w:r>
      <w:r>
        <w:rPr>
          <w:rFonts w:hint="default" w:ascii="Times New Roman" w:hAnsi="Times New Roman" w:cs="Times New Roman"/>
          <w:b/>
          <w:bCs/>
          <w:color w:val="auto"/>
          <w:sz w:val="36"/>
          <w:szCs w:val="36"/>
          <w:highlight w:val="none"/>
          <w:u w:val="single"/>
        </w:rPr>
        <w:t xml:space="preserve">     </w:t>
      </w:r>
      <w:r>
        <w:rPr>
          <w:rFonts w:hint="default" w:ascii="Times New Roman" w:hAnsi="Times New Roman" w:cs="Times New Roman"/>
          <w:b/>
          <w:bCs/>
          <w:color w:val="auto"/>
          <w:sz w:val="36"/>
          <w:szCs w:val="36"/>
          <w:highlight w:val="none"/>
        </w:rPr>
        <w:t>月</w:t>
      </w:r>
      <w:r>
        <w:rPr>
          <w:rFonts w:hint="default" w:ascii="Times New Roman" w:hAnsi="Times New Roman" w:cs="Times New Roman"/>
          <w:b/>
          <w:bCs/>
          <w:color w:val="auto"/>
          <w:sz w:val="36"/>
          <w:szCs w:val="36"/>
          <w:highlight w:val="none"/>
          <w:u w:val="single"/>
        </w:rPr>
        <w:t xml:space="preserve">      </w:t>
      </w:r>
      <w:r>
        <w:rPr>
          <w:rFonts w:hint="default" w:ascii="Times New Roman" w:hAnsi="Times New Roman" w:cs="Times New Roman"/>
          <w:b/>
          <w:bCs/>
          <w:color w:val="auto"/>
          <w:sz w:val="36"/>
          <w:szCs w:val="36"/>
          <w:highlight w:val="none"/>
        </w:rPr>
        <w:t>日</w:t>
      </w:r>
    </w:p>
    <w:p w14:paraId="25B11266">
      <w:pPr>
        <w:spacing w:line="360" w:lineRule="auto"/>
        <w:jc w:val="center"/>
        <w:rPr>
          <w:rFonts w:hint="default" w:ascii="Times New Roman" w:hAnsi="Times New Roman" w:cs="Times New Roman"/>
          <w:b/>
          <w:color w:val="auto"/>
          <w:sz w:val="36"/>
          <w:szCs w:val="36"/>
          <w:highlight w:val="none"/>
        </w:rPr>
      </w:pPr>
    </w:p>
    <w:p w14:paraId="75EE8DA0">
      <w:pPr>
        <w:pStyle w:val="45"/>
        <w:ind w:firstLine="280"/>
        <w:rPr>
          <w:rFonts w:hint="default" w:ascii="Times New Roman" w:hAnsi="Times New Roman" w:cs="Times New Roman"/>
          <w:color w:val="auto"/>
          <w:highlight w:val="none"/>
        </w:rPr>
        <w:sectPr>
          <w:pgSz w:w="11906" w:h="16838"/>
          <w:pgMar w:top="1134" w:right="1134" w:bottom="1134" w:left="1134" w:header="851" w:footer="992" w:gutter="0"/>
          <w:cols w:space="720" w:num="1"/>
          <w:titlePg/>
          <w:docGrid w:type="lines" w:linePitch="312" w:charSpace="0"/>
        </w:sectPr>
      </w:pPr>
    </w:p>
    <w:p w14:paraId="0E27D0DD">
      <w:pPr>
        <w:pStyle w:val="4"/>
        <w:spacing w:before="120" w:after="120" w:line="360" w:lineRule="auto"/>
        <w:jc w:val="center"/>
        <w:rPr>
          <w:rFonts w:hint="default" w:ascii="Times New Roman" w:hAnsi="Times New Roman" w:eastAsia="宋体" w:cs="Times New Roman"/>
          <w:color w:val="auto"/>
          <w:sz w:val="28"/>
          <w:szCs w:val="28"/>
          <w:highlight w:val="none"/>
        </w:rPr>
      </w:pPr>
      <w:bookmarkStart w:id="230" w:name="_Toc11822"/>
      <w:r>
        <w:rPr>
          <w:rFonts w:hint="default" w:ascii="Times New Roman" w:hAnsi="Times New Roman" w:eastAsia="宋体" w:cs="Times New Roman"/>
          <w:color w:val="auto"/>
          <w:sz w:val="28"/>
          <w:szCs w:val="28"/>
          <w:highlight w:val="none"/>
        </w:rPr>
        <w:t>资格审查索引表</w:t>
      </w:r>
      <w:bookmarkEnd w:id="230"/>
    </w:p>
    <w:p w14:paraId="1BE291D2">
      <w:pPr>
        <w:spacing w:line="360" w:lineRule="auto"/>
        <w:jc w:val="center"/>
        <w:rPr>
          <w:rFonts w:hint="default" w:ascii="Times New Roman" w:hAnsi="Times New Roman" w:cs="Times New Roman"/>
          <w:bCs/>
          <w:color w:val="auto"/>
          <w:sz w:val="24"/>
          <w:szCs w:val="21"/>
          <w:highlight w:val="none"/>
        </w:rPr>
      </w:pPr>
      <w:r>
        <w:rPr>
          <w:rFonts w:hint="default" w:ascii="Times New Roman" w:hAnsi="Times New Roman" w:cs="Times New Roman"/>
          <w:bCs/>
          <w:color w:val="auto"/>
          <w:sz w:val="24"/>
          <w:szCs w:val="21"/>
          <w:highlight w:val="none"/>
        </w:rPr>
        <w:t>（具体详见招标文件第一章申请人的资格要求）</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3"/>
        <w:gridCol w:w="5333"/>
        <w:gridCol w:w="1948"/>
      </w:tblGrid>
      <w:tr w14:paraId="06BA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5" w:type="pct"/>
            <w:vAlign w:val="center"/>
          </w:tcPr>
          <w:p w14:paraId="5AF2E848">
            <w:pPr>
              <w:widowControl/>
              <w:spacing w:line="360" w:lineRule="auto"/>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资审项目</w:t>
            </w:r>
          </w:p>
        </w:tc>
        <w:tc>
          <w:tcPr>
            <w:tcW w:w="2705" w:type="pct"/>
          </w:tcPr>
          <w:p w14:paraId="6A3041FA">
            <w:pPr>
              <w:spacing w:line="360" w:lineRule="auto"/>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资格要求</w:t>
            </w:r>
          </w:p>
        </w:tc>
        <w:tc>
          <w:tcPr>
            <w:tcW w:w="988" w:type="pct"/>
          </w:tcPr>
          <w:p w14:paraId="34A54D10">
            <w:pPr>
              <w:spacing w:line="360" w:lineRule="auto"/>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所在页码</w:t>
            </w:r>
          </w:p>
        </w:tc>
      </w:tr>
      <w:tr w14:paraId="539C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5" w:type="pct"/>
            <w:vAlign w:val="center"/>
          </w:tcPr>
          <w:p w14:paraId="3D39283E">
            <w:pPr>
              <w:widowControl/>
              <w:spacing w:line="360" w:lineRule="auto"/>
              <w:rPr>
                <w:rFonts w:hint="default" w:ascii="Times New Roman" w:hAnsi="Times New Roman" w:cs="Times New Roman"/>
                <w:color w:val="auto"/>
                <w:sz w:val="24"/>
                <w:szCs w:val="24"/>
                <w:highlight w:val="none"/>
              </w:rPr>
            </w:pPr>
          </w:p>
        </w:tc>
        <w:tc>
          <w:tcPr>
            <w:tcW w:w="2705" w:type="pct"/>
            <w:vAlign w:val="center"/>
          </w:tcPr>
          <w:p w14:paraId="5CC86845">
            <w:pPr>
              <w:spacing w:line="360" w:lineRule="auto"/>
              <w:rPr>
                <w:rFonts w:hint="default" w:ascii="Times New Roman" w:hAnsi="Times New Roman" w:cs="Times New Roman"/>
                <w:color w:val="auto"/>
                <w:sz w:val="24"/>
                <w:szCs w:val="24"/>
                <w:highlight w:val="none"/>
              </w:rPr>
            </w:pPr>
          </w:p>
        </w:tc>
        <w:tc>
          <w:tcPr>
            <w:tcW w:w="988" w:type="pct"/>
          </w:tcPr>
          <w:p w14:paraId="59A08FE1">
            <w:pPr>
              <w:widowControl/>
              <w:tabs>
                <w:tab w:val="left" w:pos="403"/>
              </w:tabs>
              <w:spacing w:line="360" w:lineRule="auto"/>
              <w:ind w:left="613"/>
              <w:rPr>
                <w:rFonts w:hint="default" w:ascii="Times New Roman" w:hAnsi="Times New Roman" w:cs="Times New Roman"/>
                <w:color w:val="auto"/>
                <w:sz w:val="24"/>
                <w:szCs w:val="24"/>
                <w:highlight w:val="none"/>
              </w:rPr>
            </w:pPr>
          </w:p>
        </w:tc>
      </w:tr>
      <w:tr w14:paraId="72BD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05" w:type="pct"/>
            <w:vAlign w:val="center"/>
          </w:tcPr>
          <w:p w14:paraId="06F282E0">
            <w:pPr>
              <w:spacing w:line="360" w:lineRule="auto"/>
              <w:rPr>
                <w:rFonts w:hint="default" w:ascii="Times New Roman" w:hAnsi="Times New Roman" w:cs="Times New Roman"/>
                <w:color w:val="auto"/>
                <w:sz w:val="24"/>
                <w:szCs w:val="24"/>
                <w:highlight w:val="none"/>
              </w:rPr>
            </w:pPr>
          </w:p>
        </w:tc>
        <w:tc>
          <w:tcPr>
            <w:tcW w:w="2705" w:type="pct"/>
            <w:vAlign w:val="center"/>
          </w:tcPr>
          <w:p w14:paraId="7CA55CA5">
            <w:pPr>
              <w:spacing w:line="360" w:lineRule="auto"/>
              <w:rPr>
                <w:rFonts w:hint="default" w:ascii="Times New Roman" w:hAnsi="Times New Roman" w:cs="Times New Roman"/>
                <w:color w:val="auto"/>
                <w:sz w:val="24"/>
                <w:szCs w:val="24"/>
                <w:highlight w:val="none"/>
              </w:rPr>
            </w:pPr>
          </w:p>
        </w:tc>
        <w:tc>
          <w:tcPr>
            <w:tcW w:w="988" w:type="pct"/>
          </w:tcPr>
          <w:p w14:paraId="08AF61D5">
            <w:pPr>
              <w:spacing w:line="360" w:lineRule="auto"/>
              <w:rPr>
                <w:rFonts w:hint="default" w:ascii="Times New Roman" w:hAnsi="Times New Roman" w:cs="Times New Roman"/>
                <w:color w:val="auto"/>
                <w:sz w:val="24"/>
                <w:szCs w:val="24"/>
                <w:highlight w:val="none"/>
              </w:rPr>
            </w:pPr>
          </w:p>
        </w:tc>
      </w:tr>
      <w:tr w14:paraId="1A42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05" w:type="pct"/>
            <w:vAlign w:val="center"/>
          </w:tcPr>
          <w:p w14:paraId="303BFB67">
            <w:pPr>
              <w:spacing w:line="360" w:lineRule="auto"/>
              <w:rPr>
                <w:rFonts w:hint="default" w:ascii="Times New Roman" w:hAnsi="Times New Roman" w:cs="Times New Roman"/>
                <w:color w:val="auto"/>
                <w:sz w:val="24"/>
                <w:szCs w:val="24"/>
                <w:highlight w:val="none"/>
              </w:rPr>
            </w:pPr>
          </w:p>
        </w:tc>
        <w:tc>
          <w:tcPr>
            <w:tcW w:w="2705" w:type="pct"/>
            <w:vAlign w:val="center"/>
          </w:tcPr>
          <w:p w14:paraId="61B590CD">
            <w:pPr>
              <w:spacing w:line="360" w:lineRule="auto"/>
              <w:rPr>
                <w:rFonts w:hint="default" w:ascii="Times New Roman" w:hAnsi="Times New Roman" w:cs="Times New Roman"/>
                <w:color w:val="auto"/>
                <w:sz w:val="24"/>
                <w:szCs w:val="24"/>
                <w:highlight w:val="none"/>
              </w:rPr>
            </w:pPr>
          </w:p>
        </w:tc>
        <w:tc>
          <w:tcPr>
            <w:tcW w:w="988" w:type="pct"/>
          </w:tcPr>
          <w:p w14:paraId="536F13D6">
            <w:pPr>
              <w:spacing w:line="360" w:lineRule="auto"/>
              <w:rPr>
                <w:rFonts w:hint="default" w:ascii="Times New Roman" w:hAnsi="Times New Roman" w:cs="Times New Roman"/>
                <w:color w:val="auto"/>
                <w:sz w:val="24"/>
                <w:szCs w:val="24"/>
                <w:highlight w:val="none"/>
              </w:rPr>
            </w:pPr>
          </w:p>
        </w:tc>
      </w:tr>
      <w:tr w14:paraId="57C9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05" w:type="pct"/>
            <w:vAlign w:val="center"/>
          </w:tcPr>
          <w:p w14:paraId="4CDDD437">
            <w:pPr>
              <w:spacing w:line="360" w:lineRule="auto"/>
              <w:rPr>
                <w:rFonts w:hint="default" w:ascii="Times New Roman" w:hAnsi="Times New Roman" w:cs="Times New Roman"/>
                <w:color w:val="auto"/>
                <w:sz w:val="24"/>
                <w:szCs w:val="24"/>
                <w:highlight w:val="none"/>
              </w:rPr>
            </w:pPr>
          </w:p>
        </w:tc>
        <w:tc>
          <w:tcPr>
            <w:tcW w:w="2705" w:type="pct"/>
            <w:vAlign w:val="center"/>
          </w:tcPr>
          <w:p w14:paraId="5F3335E0">
            <w:pPr>
              <w:spacing w:line="360" w:lineRule="auto"/>
              <w:rPr>
                <w:rFonts w:hint="default" w:ascii="Times New Roman" w:hAnsi="Times New Roman" w:cs="Times New Roman"/>
                <w:color w:val="auto"/>
                <w:sz w:val="24"/>
                <w:szCs w:val="24"/>
                <w:highlight w:val="none"/>
              </w:rPr>
            </w:pPr>
          </w:p>
        </w:tc>
        <w:tc>
          <w:tcPr>
            <w:tcW w:w="988" w:type="pct"/>
          </w:tcPr>
          <w:p w14:paraId="7E619413">
            <w:pPr>
              <w:spacing w:line="360" w:lineRule="auto"/>
              <w:rPr>
                <w:rFonts w:hint="default" w:ascii="Times New Roman" w:hAnsi="Times New Roman" w:cs="Times New Roman"/>
                <w:color w:val="auto"/>
                <w:sz w:val="24"/>
                <w:szCs w:val="24"/>
                <w:highlight w:val="none"/>
              </w:rPr>
            </w:pPr>
          </w:p>
        </w:tc>
      </w:tr>
      <w:tr w14:paraId="0E37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05" w:type="pct"/>
            <w:vAlign w:val="center"/>
          </w:tcPr>
          <w:p w14:paraId="7C03CAAC">
            <w:pPr>
              <w:spacing w:line="360" w:lineRule="auto"/>
              <w:rPr>
                <w:rFonts w:hint="default" w:ascii="Times New Roman" w:hAnsi="Times New Roman" w:cs="Times New Roman"/>
                <w:color w:val="auto"/>
                <w:sz w:val="24"/>
                <w:szCs w:val="24"/>
                <w:highlight w:val="none"/>
              </w:rPr>
            </w:pPr>
          </w:p>
        </w:tc>
        <w:tc>
          <w:tcPr>
            <w:tcW w:w="2705" w:type="pct"/>
            <w:vAlign w:val="center"/>
          </w:tcPr>
          <w:p w14:paraId="67AF252C">
            <w:pPr>
              <w:spacing w:line="360" w:lineRule="auto"/>
              <w:rPr>
                <w:rFonts w:hint="default" w:ascii="Times New Roman" w:hAnsi="Times New Roman" w:cs="Times New Roman"/>
                <w:color w:val="auto"/>
                <w:sz w:val="24"/>
                <w:szCs w:val="24"/>
                <w:highlight w:val="none"/>
              </w:rPr>
            </w:pPr>
          </w:p>
        </w:tc>
        <w:tc>
          <w:tcPr>
            <w:tcW w:w="988" w:type="pct"/>
          </w:tcPr>
          <w:p w14:paraId="56C43FB9">
            <w:pPr>
              <w:spacing w:line="360" w:lineRule="auto"/>
              <w:rPr>
                <w:rFonts w:hint="default" w:ascii="Times New Roman" w:hAnsi="Times New Roman" w:cs="Times New Roman"/>
                <w:color w:val="auto"/>
                <w:sz w:val="24"/>
                <w:szCs w:val="24"/>
                <w:highlight w:val="none"/>
              </w:rPr>
            </w:pPr>
          </w:p>
        </w:tc>
      </w:tr>
      <w:tr w14:paraId="1F12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05" w:type="pct"/>
            <w:vAlign w:val="center"/>
          </w:tcPr>
          <w:p w14:paraId="650A2C39">
            <w:pPr>
              <w:spacing w:line="360" w:lineRule="auto"/>
              <w:rPr>
                <w:rFonts w:hint="default" w:ascii="Times New Roman" w:hAnsi="Times New Roman" w:cs="Times New Roman"/>
                <w:color w:val="auto"/>
                <w:sz w:val="24"/>
                <w:szCs w:val="24"/>
                <w:highlight w:val="none"/>
              </w:rPr>
            </w:pPr>
          </w:p>
        </w:tc>
        <w:tc>
          <w:tcPr>
            <w:tcW w:w="2705" w:type="pct"/>
            <w:vAlign w:val="center"/>
          </w:tcPr>
          <w:p w14:paraId="40AECB17">
            <w:pPr>
              <w:spacing w:line="360" w:lineRule="auto"/>
              <w:rPr>
                <w:rFonts w:hint="default" w:ascii="Times New Roman" w:hAnsi="Times New Roman" w:cs="Times New Roman"/>
                <w:color w:val="auto"/>
                <w:sz w:val="24"/>
                <w:szCs w:val="24"/>
                <w:highlight w:val="none"/>
              </w:rPr>
            </w:pPr>
          </w:p>
        </w:tc>
        <w:tc>
          <w:tcPr>
            <w:tcW w:w="988" w:type="pct"/>
          </w:tcPr>
          <w:p w14:paraId="3287A9DA">
            <w:pPr>
              <w:spacing w:line="360" w:lineRule="auto"/>
              <w:rPr>
                <w:rFonts w:hint="default" w:ascii="Times New Roman" w:hAnsi="Times New Roman" w:cs="Times New Roman"/>
                <w:color w:val="auto"/>
                <w:sz w:val="24"/>
                <w:szCs w:val="24"/>
                <w:highlight w:val="none"/>
              </w:rPr>
            </w:pPr>
          </w:p>
        </w:tc>
      </w:tr>
      <w:tr w14:paraId="508B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05" w:type="pct"/>
            <w:vAlign w:val="center"/>
          </w:tcPr>
          <w:p w14:paraId="71054730">
            <w:pPr>
              <w:spacing w:line="360" w:lineRule="auto"/>
              <w:rPr>
                <w:rFonts w:hint="default" w:ascii="Times New Roman" w:hAnsi="Times New Roman" w:cs="Times New Roman"/>
                <w:color w:val="auto"/>
                <w:sz w:val="24"/>
                <w:szCs w:val="24"/>
                <w:highlight w:val="none"/>
              </w:rPr>
            </w:pPr>
          </w:p>
        </w:tc>
        <w:tc>
          <w:tcPr>
            <w:tcW w:w="2705" w:type="pct"/>
            <w:vAlign w:val="center"/>
          </w:tcPr>
          <w:p w14:paraId="232FA0F3">
            <w:pPr>
              <w:spacing w:line="360" w:lineRule="auto"/>
              <w:rPr>
                <w:rFonts w:hint="default" w:ascii="Times New Roman" w:hAnsi="Times New Roman" w:cs="Times New Roman"/>
                <w:color w:val="auto"/>
                <w:sz w:val="24"/>
                <w:szCs w:val="24"/>
                <w:highlight w:val="none"/>
              </w:rPr>
            </w:pPr>
          </w:p>
        </w:tc>
        <w:tc>
          <w:tcPr>
            <w:tcW w:w="988" w:type="pct"/>
          </w:tcPr>
          <w:p w14:paraId="602FE911">
            <w:pPr>
              <w:spacing w:line="360" w:lineRule="auto"/>
              <w:rPr>
                <w:rFonts w:hint="default" w:ascii="Times New Roman" w:hAnsi="Times New Roman" w:cs="Times New Roman"/>
                <w:color w:val="auto"/>
                <w:sz w:val="24"/>
                <w:szCs w:val="24"/>
                <w:highlight w:val="none"/>
              </w:rPr>
            </w:pPr>
          </w:p>
        </w:tc>
      </w:tr>
      <w:tr w14:paraId="1E1C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305" w:type="pct"/>
            <w:vAlign w:val="center"/>
          </w:tcPr>
          <w:p w14:paraId="6BFB818C">
            <w:pPr>
              <w:spacing w:line="360" w:lineRule="auto"/>
              <w:rPr>
                <w:rFonts w:hint="default" w:ascii="Times New Roman" w:hAnsi="Times New Roman" w:cs="Times New Roman"/>
                <w:color w:val="auto"/>
                <w:sz w:val="24"/>
                <w:szCs w:val="24"/>
                <w:highlight w:val="none"/>
              </w:rPr>
            </w:pPr>
          </w:p>
        </w:tc>
        <w:tc>
          <w:tcPr>
            <w:tcW w:w="2705" w:type="pct"/>
            <w:vAlign w:val="center"/>
          </w:tcPr>
          <w:p w14:paraId="3822A63F">
            <w:pPr>
              <w:spacing w:line="360" w:lineRule="auto"/>
              <w:rPr>
                <w:rFonts w:hint="default" w:ascii="Times New Roman" w:hAnsi="Times New Roman" w:cs="Times New Roman"/>
                <w:color w:val="auto"/>
                <w:sz w:val="24"/>
                <w:szCs w:val="24"/>
                <w:highlight w:val="none"/>
              </w:rPr>
            </w:pPr>
          </w:p>
        </w:tc>
        <w:tc>
          <w:tcPr>
            <w:tcW w:w="988" w:type="pct"/>
          </w:tcPr>
          <w:p w14:paraId="413EE969">
            <w:pPr>
              <w:spacing w:line="360" w:lineRule="auto"/>
              <w:rPr>
                <w:rFonts w:hint="default" w:ascii="Times New Roman" w:hAnsi="Times New Roman" w:cs="Times New Roman"/>
                <w:color w:val="auto"/>
                <w:sz w:val="24"/>
                <w:szCs w:val="24"/>
                <w:highlight w:val="none"/>
              </w:rPr>
            </w:pPr>
          </w:p>
        </w:tc>
      </w:tr>
    </w:tbl>
    <w:p w14:paraId="02284ECC">
      <w:pPr>
        <w:spacing w:line="440" w:lineRule="exact"/>
        <w:outlineLvl w:val="1"/>
        <w:rPr>
          <w:rFonts w:hint="default" w:ascii="Times New Roman" w:hAnsi="Times New Roman" w:cs="Times New Roman"/>
          <w:color w:val="auto"/>
          <w:sz w:val="24"/>
          <w:highlight w:val="none"/>
        </w:rPr>
        <w:sectPr>
          <w:pgSz w:w="11906" w:h="16838"/>
          <w:pgMar w:top="1134" w:right="1134" w:bottom="1134" w:left="1134" w:header="851" w:footer="992" w:gutter="0"/>
          <w:cols w:space="720" w:num="1"/>
          <w:titlePg/>
          <w:docGrid w:type="lines" w:linePitch="312" w:charSpace="0"/>
        </w:sectPr>
      </w:pPr>
    </w:p>
    <w:p w14:paraId="5FFC5F5F">
      <w:pPr>
        <w:pStyle w:val="4"/>
        <w:spacing w:before="120" w:after="120"/>
        <w:jc w:val="center"/>
        <w:rPr>
          <w:rFonts w:hint="default" w:ascii="Times New Roman" w:hAnsi="Times New Roman" w:eastAsia="宋体" w:cs="Times New Roman"/>
          <w:color w:val="auto"/>
          <w:sz w:val="28"/>
          <w:szCs w:val="28"/>
          <w:highlight w:val="none"/>
        </w:rPr>
      </w:pPr>
      <w:bookmarkStart w:id="231" w:name="_Toc13830"/>
      <w:r>
        <w:rPr>
          <w:rFonts w:hint="default" w:ascii="Times New Roman" w:hAnsi="Times New Roman" w:eastAsia="宋体" w:cs="Times New Roman"/>
          <w:color w:val="auto"/>
          <w:sz w:val="28"/>
          <w:szCs w:val="28"/>
          <w:highlight w:val="none"/>
        </w:rPr>
        <w:t>评审索引</w:t>
      </w:r>
      <w:bookmarkEnd w:id="227"/>
      <w:bookmarkEnd w:id="228"/>
      <w:r>
        <w:rPr>
          <w:rFonts w:hint="default" w:ascii="Times New Roman" w:hAnsi="Times New Roman" w:eastAsia="宋体" w:cs="Times New Roman"/>
          <w:color w:val="auto"/>
          <w:sz w:val="28"/>
          <w:szCs w:val="28"/>
          <w:highlight w:val="none"/>
        </w:rPr>
        <w:t>表</w:t>
      </w:r>
      <w:bookmarkEnd w:id="229"/>
      <w:bookmarkEnd w:id="231"/>
    </w:p>
    <w:p w14:paraId="1B504284">
      <w:pPr>
        <w:spacing w:line="360" w:lineRule="auto"/>
        <w:jc w:val="center"/>
        <w:rPr>
          <w:rFonts w:hint="default" w:ascii="Times New Roman" w:hAnsi="Times New Roman" w:cs="Times New Roman"/>
          <w:bCs/>
          <w:color w:val="auto"/>
          <w:sz w:val="24"/>
          <w:szCs w:val="21"/>
          <w:highlight w:val="none"/>
        </w:rPr>
      </w:pPr>
      <w:r>
        <w:rPr>
          <w:rFonts w:hint="default" w:ascii="Times New Roman" w:hAnsi="Times New Roman" w:cs="Times New Roman"/>
          <w:bCs/>
          <w:color w:val="auto"/>
          <w:sz w:val="24"/>
          <w:szCs w:val="21"/>
          <w:highlight w:val="none"/>
        </w:rPr>
        <w:t>（具体详见招标文件第三章评标标准）</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5"/>
        <w:gridCol w:w="2243"/>
        <w:gridCol w:w="4638"/>
        <w:gridCol w:w="1794"/>
      </w:tblGrid>
      <w:tr w14:paraId="1528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596" w:type="pct"/>
            <w:vAlign w:val="center"/>
          </w:tcPr>
          <w:p w14:paraId="118711B6">
            <w:pPr>
              <w:widowControl/>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序号</w:t>
            </w:r>
          </w:p>
        </w:tc>
        <w:tc>
          <w:tcPr>
            <w:tcW w:w="1138" w:type="pct"/>
            <w:vAlign w:val="center"/>
          </w:tcPr>
          <w:p w14:paraId="382F4C26">
            <w:pPr>
              <w:widowControl/>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评审因素</w:t>
            </w:r>
          </w:p>
        </w:tc>
        <w:tc>
          <w:tcPr>
            <w:tcW w:w="2353" w:type="pct"/>
            <w:vAlign w:val="center"/>
          </w:tcPr>
          <w:p w14:paraId="1D748810">
            <w:pPr>
              <w:widowControl/>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评审标准</w:t>
            </w:r>
          </w:p>
        </w:tc>
        <w:tc>
          <w:tcPr>
            <w:tcW w:w="910" w:type="pct"/>
            <w:vAlign w:val="center"/>
          </w:tcPr>
          <w:p w14:paraId="7FDB7F6E">
            <w:pPr>
              <w:widowControl/>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所在页码</w:t>
            </w:r>
          </w:p>
        </w:tc>
      </w:tr>
      <w:tr w14:paraId="54FC9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96" w:type="pct"/>
            <w:vAlign w:val="center"/>
          </w:tcPr>
          <w:p w14:paraId="1E4DD6BB">
            <w:pPr>
              <w:widowControl/>
              <w:spacing w:line="360" w:lineRule="auto"/>
              <w:jc w:val="center"/>
              <w:rPr>
                <w:rFonts w:hint="default" w:ascii="Times New Roman" w:hAnsi="Times New Roman" w:cs="Times New Roman"/>
                <w:b/>
                <w:color w:val="auto"/>
                <w:szCs w:val="21"/>
                <w:highlight w:val="none"/>
              </w:rPr>
            </w:pPr>
          </w:p>
        </w:tc>
        <w:tc>
          <w:tcPr>
            <w:tcW w:w="1138" w:type="pct"/>
            <w:vAlign w:val="center"/>
          </w:tcPr>
          <w:p w14:paraId="74432E4E">
            <w:pPr>
              <w:widowControl/>
              <w:spacing w:line="360" w:lineRule="auto"/>
              <w:jc w:val="center"/>
              <w:rPr>
                <w:rFonts w:hint="default" w:ascii="Times New Roman" w:hAnsi="Times New Roman" w:cs="Times New Roman"/>
                <w:b/>
                <w:color w:val="auto"/>
                <w:szCs w:val="21"/>
                <w:highlight w:val="none"/>
              </w:rPr>
            </w:pPr>
          </w:p>
        </w:tc>
        <w:tc>
          <w:tcPr>
            <w:tcW w:w="2353" w:type="pct"/>
            <w:vAlign w:val="center"/>
          </w:tcPr>
          <w:p w14:paraId="7F4A709E">
            <w:pPr>
              <w:spacing w:line="360" w:lineRule="auto"/>
              <w:rPr>
                <w:rFonts w:hint="default" w:ascii="Times New Roman" w:hAnsi="Times New Roman" w:cs="Times New Roman"/>
                <w:color w:val="auto"/>
                <w:szCs w:val="21"/>
                <w:highlight w:val="none"/>
              </w:rPr>
            </w:pPr>
          </w:p>
        </w:tc>
        <w:tc>
          <w:tcPr>
            <w:tcW w:w="910" w:type="pct"/>
            <w:vAlign w:val="center"/>
          </w:tcPr>
          <w:p w14:paraId="2B08F0DC">
            <w:pPr>
              <w:widowControl/>
              <w:spacing w:line="360" w:lineRule="auto"/>
              <w:jc w:val="center"/>
              <w:rPr>
                <w:rFonts w:hint="default" w:ascii="Times New Roman" w:hAnsi="Times New Roman" w:cs="Times New Roman"/>
                <w:color w:val="auto"/>
                <w:szCs w:val="21"/>
                <w:highlight w:val="none"/>
              </w:rPr>
            </w:pPr>
          </w:p>
        </w:tc>
      </w:tr>
      <w:tr w14:paraId="3C71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96" w:type="pct"/>
            <w:vAlign w:val="center"/>
          </w:tcPr>
          <w:p w14:paraId="4CDCC0D9">
            <w:pPr>
              <w:widowControl/>
              <w:spacing w:line="360" w:lineRule="auto"/>
              <w:jc w:val="center"/>
              <w:rPr>
                <w:rFonts w:hint="default" w:ascii="Times New Roman" w:hAnsi="Times New Roman" w:cs="Times New Roman"/>
                <w:b/>
                <w:color w:val="auto"/>
                <w:szCs w:val="21"/>
                <w:highlight w:val="none"/>
              </w:rPr>
            </w:pPr>
          </w:p>
        </w:tc>
        <w:tc>
          <w:tcPr>
            <w:tcW w:w="1138" w:type="pct"/>
            <w:vAlign w:val="center"/>
          </w:tcPr>
          <w:p w14:paraId="5C758D01">
            <w:pPr>
              <w:widowControl/>
              <w:spacing w:line="360" w:lineRule="auto"/>
              <w:jc w:val="center"/>
              <w:rPr>
                <w:rFonts w:hint="default" w:ascii="Times New Roman" w:hAnsi="Times New Roman" w:cs="Times New Roman"/>
                <w:b/>
                <w:color w:val="auto"/>
                <w:szCs w:val="21"/>
                <w:highlight w:val="none"/>
              </w:rPr>
            </w:pPr>
          </w:p>
        </w:tc>
        <w:tc>
          <w:tcPr>
            <w:tcW w:w="2353" w:type="pct"/>
            <w:vAlign w:val="center"/>
          </w:tcPr>
          <w:p w14:paraId="3C0D06B9">
            <w:pPr>
              <w:spacing w:line="360" w:lineRule="auto"/>
              <w:rPr>
                <w:rFonts w:hint="default" w:ascii="Times New Roman" w:hAnsi="Times New Roman" w:cs="Times New Roman"/>
                <w:color w:val="auto"/>
                <w:szCs w:val="21"/>
                <w:highlight w:val="none"/>
              </w:rPr>
            </w:pPr>
          </w:p>
        </w:tc>
        <w:tc>
          <w:tcPr>
            <w:tcW w:w="910" w:type="pct"/>
            <w:vAlign w:val="center"/>
          </w:tcPr>
          <w:p w14:paraId="6F1C87FC">
            <w:pPr>
              <w:widowControl/>
              <w:spacing w:line="360" w:lineRule="auto"/>
              <w:jc w:val="center"/>
              <w:rPr>
                <w:rFonts w:hint="default" w:ascii="Times New Roman" w:hAnsi="Times New Roman" w:cs="Times New Roman"/>
                <w:color w:val="auto"/>
                <w:szCs w:val="21"/>
                <w:highlight w:val="none"/>
              </w:rPr>
            </w:pPr>
          </w:p>
        </w:tc>
      </w:tr>
      <w:tr w14:paraId="07B8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96" w:type="pct"/>
            <w:vAlign w:val="center"/>
          </w:tcPr>
          <w:p w14:paraId="52522264">
            <w:pPr>
              <w:widowControl/>
              <w:spacing w:line="360" w:lineRule="auto"/>
              <w:jc w:val="center"/>
              <w:rPr>
                <w:rFonts w:hint="default" w:ascii="Times New Roman" w:hAnsi="Times New Roman" w:cs="Times New Roman"/>
                <w:b/>
                <w:color w:val="auto"/>
                <w:szCs w:val="21"/>
                <w:highlight w:val="none"/>
              </w:rPr>
            </w:pPr>
          </w:p>
        </w:tc>
        <w:tc>
          <w:tcPr>
            <w:tcW w:w="1138" w:type="pct"/>
            <w:vAlign w:val="center"/>
          </w:tcPr>
          <w:p w14:paraId="1963E2E0">
            <w:pPr>
              <w:widowControl/>
              <w:spacing w:line="360" w:lineRule="auto"/>
              <w:jc w:val="center"/>
              <w:rPr>
                <w:rFonts w:hint="default" w:ascii="Times New Roman" w:hAnsi="Times New Roman" w:cs="Times New Roman"/>
                <w:b/>
                <w:color w:val="auto"/>
                <w:szCs w:val="21"/>
                <w:highlight w:val="none"/>
              </w:rPr>
            </w:pPr>
          </w:p>
        </w:tc>
        <w:tc>
          <w:tcPr>
            <w:tcW w:w="2353" w:type="pct"/>
            <w:vAlign w:val="center"/>
          </w:tcPr>
          <w:p w14:paraId="6474F1E5">
            <w:pPr>
              <w:spacing w:line="360" w:lineRule="auto"/>
              <w:rPr>
                <w:rFonts w:hint="default" w:ascii="Times New Roman" w:hAnsi="Times New Roman" w:cs="Times New Roman"/>
                <w:color w:val="auto"/>
                <w:szCs w:val="21"/>
                <w:highlight w:val="none"/>
              </w:rPr>
            </w:pPr>
          </w:p>
        </w:tc>
        <w:tc>
          <w:tcPr>
            <w:tcW w:w="910" w:type="pct"/>
            <w:vAlign w:val="center"/>
          </w:tcPr>
          <w:p w14:paraId="2CAA7835">
            <w:pPr>
              <w:widowControl/>
              <w:spacing w:line="360" w:lineRule="auto"/>
              <w:jc w:val="center"/>
              <w:rPr>
                <w:rFonts w:hint="default" w:ascii="Times New Roman" w:hAnsi="Times New Roman" w:cs="Times New Roman"/>
                <w:color w:val="auto"/>
                <w:szCs w:val="21"/>
                <w:highlight w:val="none"/>
              </w:rPr>
            </w:pPr>
          </w:p>
        </w:tc>
      </w:tr>
      <w:tr w14:paraId="2F85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96" w:type="pct"/>
            <w:vAlign w:val="center"/>
          </w:tcPr>
          <w:p w14:paraId="58BFB32C">
            <w:pPr>
              <w:widowControl/>
              <w:spacing w:line="360" w:lineRule="auto"/>
              <w:jc w:val="center"/>
              <w:rPr>
                <w:rFonts w:hint="default" w:ascii="Times New Roman" w:hAnsi="Times New Roman" w:cs="Times New Roman"/>
                <w:b/>
                <w:color w:val="auto"/>
                <w:szCs w:val="21"/>
                <w:highlight w:val="none"/>
              </w:rPr>
            </w:pPr>
          </w:p>
        </w:tc>
        <w:tc>
          <w:tcPr>
            <w:tcW w:w="1138" w:type="pct"/>
            <w:vAlign w:val="center"/>
          </w:tcPr>
          <w:p w14:paraId="1BCC6462">
            <w:pPr>
              <w:widowControl/>
              <w:spacing w:line="360" w:lineRule="auto"/>
              <w:jc w:val="center"/>
              <w:rPr>
                <w:rFonts w:hint="default" w:ascii="Times New Roman" w:hAnsi="Times New Roman" w:cs="Times New Roman"/>
                <w:b/>
                <w:color w:val="auto"/>
                <w:szCs w:val="21"/>
                <w:highlight w:val="none"/>
              </w:rPr>
            </w:pPr>
          </w:p>
        </w:tc>
        <w:tc>
          <w:tcPr>
            <w:tcW w:w="2353" w:type="pct"/>
            <w:vAlign w:val="center"/>
          </w:tcPr>
          <w:p w14:paraId="293BCA74">
            <w:pPr>
              <w:spacing w:line="360" w:lineRule="auto"/>
              <w:rPr>
                <w:rFonts w:hint="default" w:ascii="Times New Roman" w:hAnsi="Times New Roman" w:cs="Times New Roman"/>
                <w:color w:val="auto"/>
                <w:szCs w:val="21"/>
                <w:highlight w:val="none"/>
              </w:rPr>
            </w:pPr>
          </w:p>
        </w:tc>
        <w:tc>
          <w:tcPr>
            <w:tcW w:w="910" w:type="pct"/>
            <w:vAlign w:val="center"/>
          </w:tcPr>
          <w:p w14:paraId="73336D69">
            <w:pPr>
              <w:widowControl/>
              <w:spacing w:line="360" w:lineRule="auto"/>
              <w:jc w:val="center"/>
              <w:rPr>
                <w:rFonts w:hint="default" w:ascii="Times New Roman" w:hAnsi="Times New Roman" w:cs="Times New Roman"/>
                <w:color w:val="auto"/>
                <w:szCs w:val="21"/>
                <w:highlight w:val="none"/>
              </w:rPr>
            </w:pPr>
          </w:p>
        </w:tc>
      </w:tr>
      <w:tr w14:paraId="73AF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96" w:type="pct"/>
            <w:vAlign w:val="center"/>
          </w:tcPr>
          <w:p w14:paraId="6FD68A1D">
            <w:pPr>
              <w:widowControl/>
              <w:spacing w:line="360" w:lineRule="auto"/>
              <w:jc w:val="center"/>
              <w:rPr>
                <w:rFonts w:hint="default" w:ascii="Times New Roman" w:hAnsi="Times New Roman" w:cs="Times New Roman"/>
                <w:b/>
                <w:color w:val="auto"/>
                <w:szCs w:val="21"/>
                <w:highlight w:val="none"/>
              </w:rPr>
            </w:pPr>
          </w:p>
        </w:tc>
        <w:tc>
          <w:tcPr>
            <w:tcW w:w="1138" w:type="pct"/>
            <w:vAlign w:val="center"/>
          </w:tcPr>
          <w:p w14:paraId="7F4B08E9">
            <w:pPr>
              <w:widowControl/>
              <w:spacing w:line="360" w:lineRule="auto"/>
              <w:jc w:val="center"/>
              <w:rPr>
                <w:rFonts w:hint="default" w:ascii="Times New Roman" w:hAnsi="Times New Roman" w:cs="Times New Roman"/>
                <w:b/>
                <w:color w:val="auto"/>
                <w:szCs w:val="21"/>
                <w:highlight w:val="none"/>
              </w:rPr>
            </w:pPr>
          </w:p>
        </w:tc>
        <w:tc>
          <w:tcPr>
            <w:tcW w:w="2353" w:type="pct"/>
            <w:vAlign w:val="center"/>
          </w:tcPr>
          <w:p w14:paraId="7DF0A392">
            <w:pPr>
              <w:spacing w:line="360" w:lineRule="auto"/>
              <w:rPr>
                <w:rFonts w:hint="default" w:ascii="Times New Roman" w:hAnsi="Times New Roman" w:cs="Times New Roman"/>
                <w:color w:val="auto"/>
                <w:szCs w:val="21"/>
                <w:highlight w:val="none"/>
              </w:rPr>
            </w:pPr>
          </w:p>
        </w:tc>
        <w:tc>
          <w:tcPr>
            <w:tcW w:w="910" w:type="pct"/>
            <w:vAlign w:val="center"/>
          </w:tcPr>
          <w:p w14:paraId="618DF29D">
            <w:pPr>
              <w:widowControl/>
              <w:spacing w:line="360" w:lineRule="auto"/>
              <w:jc w:val="center"/>
              <w:rPr>
                <w:rFonts w:hint="default" w:ascii="Times New Roman" w:hAnsi="Times New Roman" w:cs="Times New Roman"/>
                <w:color w:val="auto"/>
                <w:szCs w:val="21"/>
                <w:highlight w:val="none"/>
              </w:rPr>
            </w:pPr>
          </w:p>
        </w:tc>
      </w:tr>
      <w:tr w14:paraId="0223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96" w:type="pct"/>
            <w:vAlign w:val="center"/>
          </w:tcPr>
          <w:p w14:paraId="28F7867B">
            <w:pPr>
              <w:widowControl/>
              <w:spacing w:line="360" w:lineRule="auto"/>
              <w:jc w:val="center"/>
              <w:rPr>
                <w:rFonts w:hint="default" w:ascii="Times New Roman" w:hAnsi="Times New Roman" w:cs="Times New Roman"/>
                <w:b/>
                <w:color w:val="auto"/>
                <w:szCs w:val="21"/>
                <w:highlight w:val="none"/>
              </w:rPr>
            </w:pPr>
          </w:p>
        </w:tc>
        <w:tc>
          <w:tcPr>
            <w:tcW w:w="1138" w:type="pct"/>
            <w:vAlign w:val="center"/>
          </w:tcPr>
          <w:p w14:paraId="121C7E26">
            <w:pPr>
              <w:widowControl/>
              <w:spacing w:line="360" w:lineRule="auto"/>
              <w:jc w:val="center"/>
              <w:rPr>
                <w:rFonts w:hint="default" w:ascii="Times New Roman" w:hAnsi="Times New Roman" w:cs="Times New Roman"/>
                <w:b/>
                <w:color w:val="auto"/>
                <w:szCs w:val="21"/>
                <w:highlight w:val="none"/>
              </w:rPr>
            </w:pPr>
          </w:p>
        </w:tc>
        <w:tc>
          <w:tcPr>
            <w:tcW w:w="2353" w:type="pct"/>
            <w:vAlign w:val="center"/>
          </w:tcPr>
          <w:p w14:paraId="2AD07A37">
            <w:pPr>
              <w:spacing w:line="360" w:lineRule="auto"/>
              <w:rPr>
                <w:rFonts w:hint="default" w:ascii="Times New Roman" w:hAnsi="Times New Roman" w:cs="Times New Roman"/>
                <w:color w:val="auto"/>
                <w:szCs w:val="21"/>
                <w:highlight w:val="none"/>
              </w:rPr>
            </w:pPr>
          </w:p>
        </w:tc>
        <w:tc>
          <w:tcPr>
            <w:tcW w:w="910" w:type="pct"/>
            <w:vAlign w:val="center"/>
          </w:tcPr>
          <w:p w14:paraId="1C0443AE">
            <w:pPr>
              <w:widowControl/>
              <w:spacing w:line="360" w:lineRule="auto"/>
              <w:jc w:val="center"/>
              <w:rPr>
                <w:rFonts w:hint="default" w:ascii="Times New Roman" w:hAnsi="Times New Roman" w:cs="Times New Roman"/>
                <w:color w:val="auto"/>
                <w:szCs w:val="21"/>
                <w:highlight w:val="none"/>
              </w:rPr>
            </w:pPr>
          </w:p>
        </w:tc>
      </w:tr>
      <w:tr w14:paraId="0F6D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96" w:type="pct"/>
            <w:vAlign w:val="center"/>
          </w:tcPr>
          <w:p w14:paraId="4DB88FC5">
            <w:pPr>
              <w:widowControl/>
              <w:spacing w:line="360" w:lineRule="auto"/>
              <w:jc w:val="center"/>
              <w:rPr>
                <w:rFonts w:hint="default" w:ascii="Times New Roman" w:hAnsi="Times New Roman" w:cs="Times New Roman"/>
                <w:b/>
                <w:color w:val="auto"/>
                <w:szCs w:val="21"/>
                <w:highlight w:val="none"/>
              </w:rPr>
            </w:pPr>
          </w:p>
        </w:tc>
        <w:tc>
          <w:tcPr>
            <w:tcW w:w="1138" w:type="pct"/>
            <w:vAlign w:val="center"/>
          </w:tcPr>
          <w:p w14:paraId="2412C766">
            <w:pPr>
              <w:widowControl/>
              <w:spacing w:line="360" w:lineRule="auto"/>
              <w:jc w:val="center"/>
              <w:rPr>
                <w:rFonts w:hint="default" w:ascii="Times New Roman" w:hAnsi="Times New Roman" w:cs="Times New Roman"/>
                <w:b/>
                <w:color w:val="auto"/>
                <w:szCs w:val="21"/>
                <w:highlight w:val="none"/>
              </w:rPr>
            </w:pPr>
          </w:p>
        </w:tc>
        <w:tc>
          <w:tcPr>
            <w:tcW w:w="2353" w:type="pct"/>
            <w:vAlign w:val="center"/>
          </w:tcPr>
          <w:p w14:paraId="6E1B6972">
            <w:pPr>
              <w:spacing w:line="360" w:lineRule="auto"/>
              <w:rPr>
                <w:rFonts w:hint="default" w:ascii="Times New Roman" w:hAnsi="Times New Roman" w:cs="Times New Roman"/>
                <w:color w:val="auto"/>
                <w:szCs w:val="21"/>
                <w:highlight w:val="none"/>
              </w:rPr>
            </w:pPr>
          </w:p>
        </w:tc>
        <w:tc>
          <w:tcPr>
            <w:tcW w:w="910" w:type="pct"/>
            <w:vAlign w:val="center"/>
          </w:tcPr>
          <w:p w14:paraId="6B50EF86">
            <w:pPr>
              <w:widowControl/>
              <w:spacing w:line="360" w:lineRule="auto"/>
              <w:jc w:val="center"/>
              <w:rPr>
                <w:rFonts w:hint="default" w:ascii="Times New Roman" w:hAnsi="Times New Roman" w:cs="Times New Roman"/>
                <w:color w:val="auto"/>
                <w:szCs w:val="21"/>
                <w:highlight w:val="none"/>
              </w:rPr>
            </w:pPr>
          </w:p>
        </w:tc>
      </w:tr>
      <w:tr w14:paraId="7139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96" w:type="pct"/>
            <w:vAlign w:val="center"/>
          </w:tcPr>
          <w:p w14:paraId="34CAD349">
            <w:pPr>
              <w:widowControl/>
              <w:spacing w:line="360" w:lineRule="auto"/>
              <w:jc w:val="center"/>
              <w:rPr>
                <w:rFonts w:hint="default" w:ascii="Times New Roman" w:hAnsi="Times New Roman" w:cs="Times New Roman"/>
                <w:b/>
                <w:color w:val="auto"/>
                <w:szCs w:val="21"/>
                <w:highlight w:val="none"/>
              </w:rPr>
            </w:pPr>
          </w:p>
        </w:tc>
        <w:tc>
          <w:tcPr>
            <w:tcW w:w="1138" w:type="pct"/>
            <w:vAlign w:val="center"/>
          </w:tcPr>
          <w:p w14:paraId="4A629705">
            <w:pPr>
              <w:widowControl/>
              <w:spacing w:line="360" w:lineRule="auto"/>
              <w:jc w:val="center"/>
              <w:rPr>
                <w:rFonts w:hint="default" w:ascii="Times New Roman" w:hAnsi="Times New Roman" w:cs="Times New Roman"/>
                <w:b/>
                <w:color w:val="auto"/>
                <w:szCs w:val="21"/>
                <w:highlight w:val="none"/>
              </w:rPr>
            </w:pPr>
          </w:p>
        </w:tc>
        <w:tc>
          <w:tcPr>
            <w:tcW w:w="2353" w:type="pct"/>
            <w:vAlign w:val="center"/>
          </w:tcPr>
          <w:p w14:paraId="40C06483">
            <w:pPr>
              <w:spacing w:line="360" w:lineRule="auto"/>
              <w:rPr>
                <w:rFonts w:hint="default" w:ascii="Times New Roman" w:hAnsi="Times New Roman" w:cs="Times New Roman"/>
                <w:color w:val="auto"/>
                <w:szCs w:val="21"/>
                <w:highlight w:val="none"/>
              </w:rPr>
            </w:pPr>
          </w:p>
        </w:tc>
        <w:tc>
          <w:tcPr>
            <w:tcW w:w="910" w:type="pct"/>
            <w:vAlign w:val="center"/>
          </w:tcPr>
          <w:p w14:paraId="63CB641C">
            <w:pPr>
              <w:widowControl/>
              <w:spacing w:line="360" w:lineRule="auto"/>
              <w:jc w:val="center"/>
              <w:rPr>
                <w:rFonts w:hint="default" w:ascii="Times New Roman" w:hAnsi="Times New Roman" w:cs="Times New Roman"/>
                <w:color w:val="auto"/>
                <w:szCs w:val="21"/>
                <w:highlight w:val="none"/>
              </w:rPr>
            </w:pPr>
          </w:p>
        </w:tc>
      </w:tr>
      <w:tr w14:paraId="10B19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96" w:type="pct"/>
            <w:vAlign w:val="center"/>
          </w:tcPr>
          <w:p w14:paraId="55DDB602">
            <w:pPr>
              <w:widowControl/>
              <w:spacing w:line="360" w:lineRule="auto"/>
              <w:jc w:val="center"/>
              <w:rPr>
                <w:rFonts w:hint="default" w:ascii="Times New Roman" w:hAnsi="Times New Roman" w:cs="Times New Roman"/>
                <w:b/>
                <w:color w:val="auto"/>
                <w:szCs w:val="21"/>
                <w:highlight w:val="none"/>
              </w:rPr>
            </w:pPr>
          </w:p>
        </w:tc>
        <w:tc>
          <w:tcPr>
            <w:tcW w:w="1138" w:type="pct"/>
            <w:vAlign w:val="center"/>
          </w:tcPr>
          <w:p w14:paraId="3D18A505">
            <w:pPr>
              <w:widowControl/>
              <w:spacing w:line="360" w:lineRule="auto"/>
              <w:jc w:val="center"/>
              <w:rPr>
                <w:rFonts w:hint="default" w:ascii="Times New Roman" w:hAnsi="Times New Roman" w:cs="Times New Roman"/>
                <w:b/>
                <w:color w:val="auto"/>
                <w:szCs w:val="21"/>
                <w:highlight w:val="none"/>
              </w:rPr>
            </w:pPr>
          </w:p>
        </w:tc>
        <w:tc>
          <w:tcPr>
            <w:tcW w:w="2353" w:type="pct"/>
            <w:vAlign w:val="center"/>
          </w:tcPr>
          <w:p w14:paraId="27C6AC40">
            <w:pPr>
              <w:spacing w:line="360" w:lineRule="auto"/>
              <w:rPr>
                <w:rFonts w:hint="default" w:ascii="Times New Roman" w:hAnsi="Times New Roman" w:cs="Times New Roman"/>
                <w:color w:val="auto"/>
                <w:szCs w:val="21"/>
                <w:highlight w:val="none"/>
              </w:rPr>
            </w:pPr>
          </w:p>
        </w:tc>
        <w:tc>
          <w:tcPr>
            <w:tcW w:w="910" w:type="pct"/>
            <w:vAlign w:val="center"/>
          </w:tcPr>
          <w:p w14:paraId="05515944">
            <w:pPr>
              <w:widowControl/>
              <w:spacing w:line="360" w:lineRule="auto"/>
              <w:jc w:val="center"/>
              <w:rPr>
                <w:rFonts w:hint="default" w:ascii="Times New Roman" w:hAnsi="Times New Roman" w:cs="Times New Roman"/>
                <w:color w:val="auto"/>
                <w:szCs w:val="21"/>
                <w:highlight w:val="none"/>
              </w:rPr>
            </w:pPr>
          </w:p>
        </w:tc>
      </w:tr>
      <w:tr w14:paraId="14B3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96" w:type="pct"/>
            <w:vAlign w:val="center"/>
          </w:tcPr>
          <w:p w14:paraId="73234F7D">
            <w:pPr>
              <w:widowControl/>
              <w:spacing w:line="360" w:lineRule="auto"/>
              <w:ind w:right="211"/>
              <w:jc w:val="center"/>
              <w:rPr>
                <w:rFonts w:hint="default" w:ascii="Times New Roman" w:hAnsi="Times New Roman" w:cs="Times New Roman"/>
                <w:b/>
                <w:color w:val="auto"/>
                <w:szCs w:val="21"/>
                <w:highlight w:val="none"/>
              </w:rPr>
            </w:pPr>
          </w:p>
        </w:tc>
        <w:tc>
          <w:tcPr>
            <w:tcW w:w="1138" w:type="pct"/>
            <w:vAlign w:val="center"/>
          </w:tcPr>
          <w:p w14:paraId="5399F396">
            <w:pPr>
              <w:adjustRightInd w:val="0"/>
              <w:snapToGrid w:val="0"/>
              <w:spacing w:line="360" w:lineRule="auto"/>
              <w:jc w:val="center"/>
              <w:rPr>
                <w:rFonts w:hint="default" w:ascii="Times New Roman" w:hAnsi="Times New Roman" w:cs="Times New Roman"/>
                <w:b/>
                <w:color w:val="auto"/>
                <w:szCs w:val="21"/>
                <w:highlight w:val="none"/>
              </w:rPr>
            </w:pPr>
          </w:p>
        </w:tc>
        <w:tc>
          <w:tcPr>
            <w:tcW w:w="2353" w:type="pct"/>
            <w:vAlign w:val="center"/>
          </w:tcPr>
          <w:p w14:paraId="18787628">
            <w:pPr>
              <w:pStyle w:val="45"/>
              <w:ind w:firstLine="0" w:firstLineChars="0"/>
              <w:rPr>
                <w:rFonts w:hint="default" w:ascii="Times New Roman" w:hAnsi="Times New Roman" w:cs="Times New Roman"/>
                <w:color w:val="auto"/>
                <w:highlight w:val="none"/>
              </w:rPr>
            </w:pPr>
          </w:p>
        </w:tc>
        <w:tc>
          <w:tcPr>
            <w:tcW w:w="910" w:type="pct"/>
            <w:vAlign w:val="center"/>
          </w:tcPr>
          <w:p w14:paraId="392CDA48">
            <w:pPr>
              <w:autoSpaceDE w:val="0"/>
              <w:autoSpaceDN w:val="0"/>
              <w:adjustRightInd w:val="0"/>
              <w:spacing w:line="360" w:lineRule="auto"/>
              <w:jc w:val="center"/>
              <w:rPr>
                <w:rFonts w:hint="default" w:ascii="Times New Roman" w:hAnsi="Times New Roman" w:cs="Times New Roman"/>
                <w:color w:val="auto"/>
                <w:kern w:val="0"/>
                <w:szCs w:val="21"/>
                <w:highlight w:val="none"/>
              </w:rPr>
            </w:pPr>
          </w:p>
        </w:tc>
      </w:tr>
      <w:tr w14:paraId="5AED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96" w:type="pct"/>
            <w:vAlign w:val="center"/>
          </w:tcPr>
          <w:p w14:paraId="78E0EED0">
            <w:pPr>
              <w:widowControl/>
              <w:spacing w:line="360" w:lineRule="auto"/>
              <w:ind w:right="211"/>
              <w:jc w:val="center"/>
              <w:rPr>
                <w:rFonts w:hint="default" w:ascii="Times New Roman" w:hAnsi="Times New Roman" w:cs="Times New Roman"/>
                <w:b/>
                <w:color w:val="auto"/>
                <w:szCs w:val="21"/>
                <w:highlight w:val="none"/>
              </w:rPr>
            </w:pPr>
          </w:p>
        </w:tc>
        <w:tc>
          <w:tcPr>
            <w:tcW w:w="1138" w:type="pct"/>
            <w:vAlign w:val="center"/>
          </w:tcPr>
          <w:p w14:paraId="614585CE">
            <w:pPr>
              <w:adjustRightInd w:val="0"/>
              <w:snapToGrid w:val="0"/>
              <w:spacing w:line="360" w:lineRule="auto"/>
              <w:jc w:val="center"/>
              <w:rPr>
                <w:rFonts w:hint="default" w:ascii="Times New Roman" w:hAnsi="Times New Roman" w:cs="Times New Roman"/>
                <w:b/>
                <w:color w:val="auto"/>
                <w:szCs w:val="21"/>
                <w:highlight w:val="none"/>
              </w:rPr>
            </w:pPr>
          </w:p>
        </w:tc>
        <w:tc>
          <w:tcPr>
            <w:tcW w:w="2353" w:type="pct"/>
            <w:vAlign w:val="center"/>
          </w:tcPr>
          <w:p w14:paraId="338AEB14">
            <w:pPr>
              <w:pStyle w:val="45"/>
              <w:ind w:firstLine="0" w:firstLineChars="0"/>
              <w:rPr>
                <w:rFonts w:hint="default" w:ascii="Times New Roman" w:hAnsi="Times New Roman" w:cs="Times New Roman"/>
                <w:color w:val="auto"/>
                <w:highlight w:val="none"/>
              </w:rPr>
            </w:pPr>
          </w:p>
        </w:tc>
        <w:tc>
          <w:tcPr>
            <w:tcW w:w="910" w:type="pct"/>
            <w:vAlign w:val="center"/>
          </w:tcPr>
          <w:p w14:paraId="3F1439C6">
            <w:pPr>
              <w:autoSpaceDE w:val="0"/>
              <w:autoSpaceDN w:val="0"/>
              <w:adjustRightInd w:val="0"/>
              <w:spacing w:line="360" w:lineRule="auto"/>
              <w:jc w:val="center"/>
              <w:rPr>
                <w:rFonts w:hint="default" w:ascii="Times New Roman" w:hAnsi="Times New Roman" w:cs="Times New Roman"/>
                <w:color w:val="auto"/>
                <w:kern w:val="0"/>
                <w:szCs w:val="21"/>
                <w:highlight w:val="none"/>
              </w:rPr>
            </w:pPr>
          </w:p>
        </w:tc>
      </w:tr>
      <w:tr w14:paraId="31D1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96" w:type="pct"/>
            <w:vAlign w:val="center"/>
          </w:tcPr>
          <w:p w14:paraId="13110936">
            <w:pPr>
              <w:widowControl/>
              <w:spacing w:line="360" w:lineRule="auto"/>
              <w:ind w:right="211"/>
              <w:jc w:val="center"/>
              <w:rPr>
                <w:rFonts w:hint="default" w:ascii="Times New Roman" w:hAnsi="Times New Roman" w:cs="Times New Roman"/>
                <w:b/>
                <w:color w:val="auto"/>
                <w:szCs w:val="21"/>
                <w:highlight w:val="none"/>
              </w:rPr>
            </w:pPr>
          </w:p>
        </w:tc>
        <w:tc>
          <w:tcPr>
            <w:tcW w:w="1138" w:type="pct"/>
            <w:vAlign w:val="center"/>
          </w:tcPr>
          <w:p w14:paraId="5442C3AA">
            <w:pPr>
              <w:adjustRightInd w:val="0"/>
              <w:snapToGrid w:val="0"/>
              <w:spacing w:line="360" w:lineRule="auto"/>
              <w:jc w:val="center"/>
              <w:rPr>
                <w:rFonts w:hint="default" w:ascii="Times New Roman" w:hAnsi="Times New Roman" w:cs="Times New Roman"/>
                <w:b/>
                <w:color w:val="auto"/>
                <w:szCs w:val="21"/>
                <w:highlight w:val="none"/>
              </w:rPr>
            </w:pPr>
          </w:p>
        </w:tc>
        <w:tc>
          <w:tcPr>
            <w:tcW w:w="2353" w:type="pct"/>
            <w:vAlign w:val="center"/>
          </w:tcPr>
          <w:p w14:paraId="3731C160">
            <w:pPr>
              <w:pStyle w:val="45"/>
              <w:ind w:firstLine="0" w:firstLineChars="0"/>
              <w:rPr>
                <w:rFonts w:hint="default" w:ascii="Times New Roman" w:hAnsi="Times New Roman" w:cs="Times New Roman"/>
                <w:color w:val="auto"/>
                <w:highlight w:val="none"/>
              </w:rPr>
            </w:pPr>
          </w:p>
        </w:tc>
        <w:tc>
          <w:tcPr>
            <w:tcW w:w="910" w:type="pct"/>
            <w:vAlign w:val="center"/>
          </w:tcPr>
          <w:p w14:paraId="3FEA54C9">
            <w:pPr>
              <w:autoSpaceDE w:val="0"/>
              <w:autoSpaceDN w:val="0"/>
              <w:adjustRightInd w:val="0"/>
              <w:spacing w:line="360" w:lineRule="auto"/>
              <w:jc w:val="center"/>
              <w:rPr>
                <w:rFonts w:hint="default" w:ascii="Times New Roman" w:hAnsi="Times New Roman" w:cs="Times New Roman"/>
                <w:color w:val="auto"/>
                <w:kern w:val="0"/>
                <w:szCs w:val="21"/>
                <w:highlight w:val="none"/>
              </w:rPr>
            </w:pPr>
          </w:p>
        </w:tc>
      </w:tr>
      <w:tr w14:paraId="1D65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96" w:type="pct"/>
            <w:vAlign w:val="center"/>
          </w:tcPr>
          <w:p w14:paraId="05CFB714">
            <w:pPr>
              <w:widowControl/>
              <w:spacing w:line="360" w:lineRule="auto"/>
              <w:ind w:right="211"/>
              <w:jc w:val="center"/>
              <w:rPr>
                <w:rFonts w:hint="default" w:ascii="Times New Roman" w:hAnsi="Times New Roman" w:cs="Times New Roman"/>
                <w:b/>
                <w:color w:val="auto"/>
                <w:szCs w:val="21"/>
                <w:highlight w:val="none"/>
              </w:rPr>
            </w:pPr>
          </w:p>
        </w:tc>
        <w:tc>
          <w:tcPr>
            <w:tcW w:w="1138" w:type="pct"/>
            <w:vAlign w:val="center"/>
          </w:tcPr>
          <w:p w14:paraId="42BD5596">
            <w:pPr>
              <w:adjustRightInd w:val="0"/>
              <w:snapToGrid w:val="0"/>
              <w:spacing w:line="360" w:lineRule="auto"/>
              <w:jc w:val="center"/>
              <w:rPr>
                <w:rFonts w:hint="default" w:ascii="Times New Roman" w:hAnsi="Times New Roman" w:cs="Times New Roman"/>
                <w:b/>
                <w:color w:val="auto"/>
                <w:szCs w:val="21"/>
                <w:highlight w:val="none"/>
              </w:rPr>
            </w:pPr>
          </w:p>
        </w:tc>
        <w:tc>
          <w:tcPr>
            <w:tcW w:w="2353" w:type="pct"/>
            <w:vAlign w:val="center"/>
          </w:tcPr>
          <w:p w14:paraId="22FBBE84">
            <w:pPr>
              <w:pStyle w:val="45"/>
              <w:ind w:firstLine="0" w:firstLineChars="0"/>
              <w:rPr>
                <w:rFonts w:hint="default" w:ascii="Times New Roman" w:hAnsi="Times New Roman" w:cs="Times New Roman"/>
                <w:color w:val="auto"/>
                <w:highlight w:val="none"/>
              </w:rPr>
            </w:pPr>
          </w:p>
        </w:tc>
        <w:tc>
          <w:tcPr>
            <w:tcW w:w="910" w:type="pct"/>
            <w:vAlign w:val="center"/>
          </w:tcPr>
          <w:p w14:paraId="3F8D5B00">
            <w:pPr>
              <w:autoSpaceDE w:val="0"/>
              <w:autoSpaceDN w:val="0"/>
              <w:adjustRightInd w:val="0"/>
              <w:spacing w:line="360" w:lineRule="auto"/>
              <w:jc w:val="center"/>
              <w:rPr>
                <w:rFonts w:hint="default" w:ascii="Times New Roman" w:hAnsi="Times New Roman" w:cs="Times New Roman"/>
                <w:color w:val="auto"/>
                <w:kern w:val="0"/>
                <w:szCs w:val="21"/>
                <w:highlight w:val="none"/>
              </w:rPr>
            </w:pPr>
          </w:p>
        </w:tc>
      </w:tr>
      <w:tr w14:paraId="38FF4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96" w:type="pct"/>
            <w:vAlign w:val="center"/>
          </w:tcPr>
          <w:p w14:paraId="77BC492F">
            <w:pPr>
              <w:widowControl/>
              <w:spacing w:line="360" w:lineRule="auto"/>
              <w:ind w:right="211"/>
              <w:jc w:val="center"/>
              <w:rPr>
                <w:rFonts w:hint="default" w:ascii="Times New Roman" w:hAnsi="Times New Roman" w:cs="Times New Roman"/>
                <w:b/>
                <w:color w:val="auto"/>
                <w:szCs w:val="21"/>
                <w:highlight w:val="none"/>
              </w:rPr>
            </w:pPr>
          </w:p>
        </w:tc>
        <w:tc>
          <w:tcPr>
            <w:tcW w:w="1138" w:type="pct"/>
            <w:vAlign w:val="center"/>
          </w:tcPr>
          <w:p w14:paraId="253E85E1">
            <w:pPr>
              <w:adjustRightInd w:val="0"/>
              <w:snapToGrid w:val="0"/>
              <w:spacing w:line="360" w:lineRule="auto"/>
              <w:jc w:val="center"/>
              <w:rPr>
                <w:rFonts w:hint="default" w:ascii="Times New Roman" w:hAnsi="Times New Roman" w:cs="Times New Roman"/>
                <w:b/>
                <w:color w:val="auto"/>
                <w:szCs w:val="21"/>
                <w:highlight w:val="none"/>
              </w:rPr>
            </w:pPr>
          </w:p>
        </w:tc>
        <w:tc>
          <w:tcPr>
            <w:tcW w:w="2353" w:type="pct"/>
            <w:vAlign w:val="center"/>
          </w:tcPr>
          <w:p w14:paraId="22DFFFC2">
            <w:pPr>
              <w:pStyle w:val="45"/>
              <w:ind w:firstLine="0" w:firstLineChars="0"/>
              <w:rPr>
                <w:rFonts w:hint="default" w:ascii="Times New Roman" w:hAnsi="Times New Roman" w:cs="Times New Roman"/>
                <w:color w:val="auto"/>
                <w:highlight w:val="none"/>
              </w:rPr>
            </w:pPr>
          </w:p>
        </w:tc>
        <w:tc>
          <w:tcPr>
            <w:tcW w:w="910" w:type="pct"/>
            <w:vAlign w:val="center"/>
          </w:tcPr>
          <w:p w14:paraId="5D8528FD">
            <w:pPr>
              <w:autoSpaceDE w:val="0"/>
              <w:autoSpaceDN w:val="0"/>
              <w:adjustRightInd w:val="0"/>
              <w:spacing w:line="360" w:lineRule="auto"/>
              <w:jc w:val="center"/>
              <w:rPr>
                <w:rFonts w:hint="default" w:ascii="Times New Roman" w:hAnsi="Times New Roman" w:cs="Times New Roman"/>
                <w:color w:val="auto"/>
                <w:kern w:val="0"/>
                <w:szCs w:val="21"/>
                <w:highlight w:val="none"/>
              </w:rPr>
            </w:pPr>
          </w:p>
        </w:tc>
      </w:tr>
    </w:tbl>
    <w:p w14:paraId="7FA2C414">
      <w:pPr>
        <w:spacing w:line="440" w:lineRule="exact"/>
        <w:rPr>
          <w:rFonts w:hint="default" w:ascii="Times New Roman" w:hAnsi="Times New Roman" w:cs="Times New Roman"/>
          <w:color w:val="auto"/>
          <w:szCs w:val="24"/>
          <w:highlight w:val="none"/>
        </w:rPr>
      </w:pPr>
      <w:bookmarkStart w:id="232" w:name="_Toc13756"/>
    </w:p>
    <w:p w14:paraId="24BBA4EC">
      <w:pPr>
        <w:pStyle w:val="80"/>
        <w:ind w:firstLine="420"/>
        <w:rPr>
          <w:rFonts w:hint="default" w:ascii="Times New Roman" w:hAnsi="Times New Roman" w:cs="Times New Roman"/>
          <w:color w:val="auto"/>
          <w:highlight w:val="none"/>
        </w:rPr>
        <w:sectPr>
          <w:pgSz w:w="11906" w:h="16838"/>
          <w:pgMar w:top="1134" w:right="1134" w:bottom="1134" w:left="1134" w:header="851" w:footer="992" w:gutter="0"/>
          <w:cols w:space="720" w:num="1"/>
          <w:titlePg/>
          <w:docGrid w:type="lines" w:linePitch="312" w:charSpace="0"/>
        </w:sectPr>
      </w:pPr>
    </w:p>
    <w:p w14:paraId="33C6739D">
      <w:pPr>
        <w:spacing w:line="360" w:lineRule="auto"/>
        <w:outlineLvl w:val="1"/>
        <w:rPr>
          <w:rFonts w:hint="default" w:ascii="Times New Roman" w:hAnsi="Times New Roman" w:cs="Times New Roman"/>
          <w:b/>
          <w:bCs/>
          <w:color w:val="auto"/>
          <w:sz w:val="24"/>
          <w:highlight w:val="none"/>
        </w:rPr>
      </w:pPr>
      <w:bookmarkStart w:id="233" w:name="_Toc21415"/>
      <w:r>
        <w:rPr>
          <w:rFonts w:hint="default" w:ascii="Times New Roman" w:hAnsi="Times New Roman" w:cs="Times New Roman"/>
          <w:b/>
          <w:bCs/>
          <w:color w:val="auto"/>
          <w:sz w:val="24"/>
          <w:highlight w:val="none"/>
        </w:rPr>
        <w:t>附件一 投标函格式</w:t>
      </w:r>
      <w:bookmarkEnd w:id="232"/>
      <w:bookmarkEnd w:id="233"/>
    </w:p>
    <w:p w14:paraId="4E7BAEB1">
      <w:pPr>
        <w:spacing w:line="360" w:lineRule="auto"/>
        <w:jc w:val="center"/>
        <w:rPr>
          <w:rFonts w:hint="default" w:ascii="Times New Roman" w:hAnsi="Times New Roman" w:cs="Times New Roman"/>
          <w:b/>
          <w:color w:val="auto"/>
          <w:sz w:val="28"/>
          <w:szCs w:val="22"/>
          <w:highlight w:val="none"/>
        </w:rPr>
      </w:pPr>
      <w:r>
        <w:rPr>
          <w:rFonts w:hint="default" w:ascii="Times New Roman" w:hAnsi="Times New Roman" w:cs="Times New Roman"/>
          <w:b/>
          <w:color w:val="auto"/>
          <w:sz w:val="28"/>
          <w:szCs w:val="22"/>
          <w:highlight w:val="none"/>
        </w:rPr>
        <w:t>投标函</w:t>
      </w:r>
    </w:p>
    <w:p w14:paraId="21C9E933">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致：江苏苏美达仪器设备有限公司</w:t>
      </w:r>
    </w:p>
    <w:p w14:paraId="515655DD">
      <w:pPr>
        <w:autoSpaceDE w:val="0"/>
        <w:autoSpaceDN w:val="0"/>
        <w:adjustRightInd w:val="0"/>
        <w:spacing w:line="360" w:lineRule="auto"/>
        <w:ind w:firstLine="420"/>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lang w:val="zh-CN"/>
        </w:rPr>
        <w:t>根据贵方</w:t>
      </w:r>
      <w:r>
        <w:rPr>
          <w:rFonts w:hint="default" w:ascii="Times New Roman" w:hAnsi="Times New Roman" w:cs="Times New Roman"/>
          <w:color w:val="auto"/>
          <w:szCs w:val="21"/>
          <w:highlight w:val="none"/>
          <w:u w:val="single"/>
          <w:lang w:val="zh-CN"/>
        </w:rPr>
        <w:t xml:space="preserve">         </w:t>
      </w:r>
      <w:r>
        <w:rPr>
          <w:rFonts w:hint="default" w:ascii="Times New Roman" w:hAnsi="Times New Roman" w:cs="Times New Roman"/>
          <w:color w:val="auto"/>
          <w:szCs w:val="21"/>
          <w:highlight w:val="none"/>
          <w:lang w:val="zh-CN"/>
        </w:rPr>
        <w:t>（项目名称）</w:t>
      </w:r>
      <w:r>
        <w:rPr>
          <w:rFonts w:hint="default" w:ascii="Times New Roman" w:hAnsi="Times New Roman" w:cs="Times New Roman"/>
          <w:color w:val="auto"/>
          <w:szCs w:val="21"/>
          <w:highlight w:val="none"/>
          <w:u w:val="single"/>
          <w:lang w:val="zh-CN"/>
        </w:rPr>
        <w:t xml:space="preserve">         </w:t>
      </w:r>
      <w:r>
        <w:rPr>
          <w:rFonts w:hint="default" w:ascii="Times New Roman" w:hAnsi="Times New Roman" w:cs="Times New Roman"/>
          <w:color w:val="auto"/>
          <w:szCs w:val="21"/>
          <w:highlight w:val="none"/>
          <w:lang w:val="zh-CN"/>
        </w:rPr>
        <w:t>（项目编号）投标邀请，正式授权下述签字人</w:t>
      </w:r>
      <w:r>
        <w:rPr>
          <w:rFonts w:hint="default" w:ascii="Times New Roman" w:hAnsi="Times New Roman" w:cs="Times New Roman"/>
          <w:color w:val="auto"/>
          <w:szCs w:val="21"/>
          <w:highlight w:val="none"/>
          <w:u w:val="single"/>
          <w:lang w:val="zh-CN"/>
        </w:rPr>
        <w:t xml:space="preserve">       </w:t>
      </w:r>
      <w:r>
        <w:rPr>
          <w:rFonts w:hint="default" w:ascii="Times New Roman" w:hAnsi="Times New Roman" w:cs="Times New Roman"/>
          <w:color w:val="auto"/>
          <w:szCs w:val="21"/>
          <w:highlight w:val="none"/>
          <w:lang w:val="zh-CN"/>
        </w:rPr>
        <w:t>（姓名和职务）代表</w:t>
      </w:r>
      <w:r>
        <w:rPr>
          <w:rFonts w:hint="default" w:ascii="Times New Roman" w:hAnsi="Times New Roman" w:cs="Times New Roman"/>
          <w:color w:val="auto"/>
          <w:szCs w:val="21"/>
          <w:highlight w:val="none"/>
          <w:u w:val="single"/>
          <w:lang w:val="zh-CN"/>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zh-CN"/>
        </w:rPr>
        <w:t xml:space="preserve">    </w:t>
      </w:r>
      <w:r>
        <w:rPr>
          <w:rFonts w:hint="default" w:ascii="Times New Roman" w:hAnsi="Times New Roman" w:cs="Times New Roman"/>
          <w:color w:val="auto"/>
          <w:szCs w:val="21"/>
          <w:highlight w:val="none"/>
          <w:lang w:val="zh-CN"/>
        </w:rPr>
        <w:t>（</w:t>
      </w:r>
      <w:r>
        <w:rPr>
          <w:rFonts w:hint="default" w:ascii="Times New Roman" w:hAnsi="Times New Roman" w:cs="Times New Roman"/>
          <w:color w:val="auto"/>
          <w:szCs w:val="21"/>
          <w:highlight w:val="none"/>
        </w:rPr>
        <w:t>投标人</w:t>
      </w:r>
      <w:r>
        <w:rPr>
          <w:rFonts w:hint="default" w:ascii="Times New Roman" w:hAnsi="Times New Roman" w:cs="Times New Roman"/>
          <w:color w:val="auto"/>
          <w:szCs w:val="21"/>
          <w:highlight w:val="none"/>
          <w:lang w:val="zh-CN"/>
        </w:rPr>
        <w:t>名称），提交投标文件。</w:t>
      </w:r>
    </w:p>
    <w:p w14:paraId="4B47CD83">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据此函，签字人兹宣布同意如下：</w:t>
      </w:r>
    </w:p>
    <w:p w14:paraId="62C4FDBB">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1．我们的资格条件完全符合《中华人民共和国政府采购法》和本次招标要求，我们同意并向贵方提供了与本次招标活动有关的所有证据和资料。    </w:t>
      </w:r>
    </w:p>
    <w:p w14:paraId="424B40F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2．我们已详细审核全部招标文件及其有效补充文件，我们放弃对招标文件任何误解的权利，提交投标文件后，</w:t>
      </w:r>
      <w:r>
        <w:rPr>
          <w:rFonts w:hint="default" w:ascii="Times New Roman" w:hAnsi="Times New Roman" w:cs="Times New Roman"/>
          <w:b/>
          <w:bCs/>
          <w:color w:val="auto"/>
          <w:szCs w:val="21"/>
          <w:highlight w:val="none"/>
        </w:rPr>
        <w:t>不对招标文件本身提出质疑</w:t>
      </w:r>
      <w:r>
        <w:rPr>
          <w:rFonts w:hint="default" w:ascii="Times New Roman" w:hAnsi="Times New Roman" w:cs="Times New Roman"/>
          <w:color w:val="auto"/>
          <w:szCs w:val="21"/>
          <w:highlight w:val="none"/>
        </w:rPr>
        <w:t>。否则，属于不诚信和故意扰乱政府采购活动行为，我们将无条件接受处罚。</w:t>
      </w:r>
    </w:p>
    <w:p w14:paraId="20ECBD05">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3．我们同意在本项目招标文件中规定的开标之日起90天内遵守本投标文件中的承诺且在此期限期满之前均具有约束力。</w:t>
      </w:r>
    </w:p>
    <w:p w14:paraId="29602BC8">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4．我们愿意向采购代理机构提供任何与本次招标有关的其他资料，并保证已提供和将要提供的文件是真实的、准确的。</w:t>
      </w:r>
    </w:p>
    <w:p w14:paraId="47E7B7E2">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5．我们理解，你们无义务必须接受投标价最低的投标，并有权拒绝所有的投标。</w:t>
      </w:r>
    </w:p>
    <w:p w14:paraId="0BE8522E">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6．如果我们中标，本次招标文件和本投标文件（含承诺书）将作为采购合同的附件。我们将根据招标文件的规定严格履行合同，履行自己在投标文件中的全部承诺和责任。</w:t>
      </w:r>
    </w:p>
    <w:p w14:paraId="1BE90386">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7．其它说明：</w:t>
      </w:r>
    </w:p>
    <w:p w14:paraId="29C236BF">
      <w:pPr>
        <w:spacing w:line="360" w:lineRule="auto"/>
        <w:rPr>
          <w:rFonts w:hint="default" w:ascii="Times New Roman" w:hAnsi="Times New Roman" w:cs="Times New Roman"/>
          <w:color w:val="auto"/>
          <w:highlight w:val="none"/>
        </w:rPr>
      </w:pPr>
    </w:p>
    <w:p w14:paraId="54CC3806">
      <w:pPr>
        <w:spacing w:line="360" w:lineRule="auto"/>
        <w:rPr>
          <w:rFonts w:hint="default" w:ascii="Times New Roman" w:hAnsi="Times New Roman" w:cs="Times New Roman"/>
          <w:color w:val="auto"/>
          <w:highlight w:val="none"/>
        </w:rPr>
      </w:pPr>
    </w:p>
    <w:p w14:paraId="3B83EDF6">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w:t>
      </w:r>
      <w:r>
        <w:rPr>
          <w:rFonts w:hint="default" w:ascii="Times New Roman" w:hAnsi="Times New Roman" w:cs="Times New Roman"/>
          <w:color w:val="auto"/>
          <w:szCs w:val="21"/>
          <w:highlight w:val="none"/>
          <w:u w:val="single"/>
        </w:rPr>
        <w:t xml:space="preserve">                   （公章）</w:t>
      </w:r>
    </w:p>
    <w:p w14:paraId="227D1017">
      <w:pPr>
        <w:spacing w:line="360" w:lineRule="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地址：</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邮编：</w:t>
      </w:r>
      <w:r>
        <w:rPr>
          <w:rFonts w:hint="default" w:ascii="Times New Roman" w:hAnsi="Times New Roman" w:cs="Times New Roman"/>
          <w:color w:val="auto"/>
          <w:szCs w:val="21"/>
          <w:highlight w:val="none"/>
          <w:u w:val="single"/>
        </w:rPr>
        <w:t xml:space="preserve">              </w:t>
      </w:r>
    </w:p>
    <w:p w14:paraId="0CDE916F">
      <w:pPr>
        <w:spacing w:line="360" w:lineRule="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电话：</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传真：</w:t>
      </w:r>
      <w:r>
        <w:rPr>
          <w:rFonts w:hint="default" w:ascii="Times New Roman" w:hAnsi="Times New Roman" w:cs="Times New Roman"/>
          <w:color w:val="auto"/>
          <w:szCs w:val="21"/>
          <w:highlight w:val="none"/>
          <w:u w:val="single"/>
        </w:rPr>
        <w:t xml:space="preserve">              </w:t>
      </w:r>
    </w:p>
    <w:p w14:paraId="3E56E39F">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p>
    <w:p w14:paraId="5EFAD72A">
      <w:pPr>
        <w:spacing w:line="360" w:lineRule="auto"/>
        <w:rPr>
          <w:rFonts w:hint="default" w:ascii="Times New Roman" w:hAnsi="Times New Roman" w:cs="Times New Roman"/>
          <w:color w:val="auto"/>
          <w:sz w:val="24"/>
          <w:highlight w:val="none"/>
        </w:rPr>
      </w:pPr>
      <w:r>
        <w:rPr>
          <w:rFonts w:hint="default" w:ascii="Times New Roman" w:hAnsi="Times New Roman" w:cs="Times New Roman"/>
          <w:color w:val="auto"/>
          <w:szCs w:val="21"/>
          <w:highlight w:val="none"/>
        </w:rPr>
        <w:t>日期：</w:t>
      </w:r>
      <w:r>
        <w:rPr>
          <w:rFonts w:hint="default" w:ascii="Times New Roman" w:hAnsi="Times New Roman" w:cs="Times New Roman"/>
          <w:color w:val="auto"/>
          <w:szCs w:val="21"/>
          <w:highlight w:val="none"/>
          <w:u w:val="single"/>
        </w:rPr>
        <w:t xml:space="preserve">               </w:t>
      </w:r>
    </w:p>
    <w:p w14:paraId="2F2D4CF2">
      <w:pPr>
        <w:spacing w:line="360" w:lineRule="auto"/>
        <w:rPr>
          <w:rFonts w:hint="default" w:ascii="Times New Roman" w:hAnsi="Times New Roman" w:cs="Times New Roman"/>
          <w:color w:val="auto"/>
          <w:sz w:val="24"/>
          <w:highlight w:val="none"/>
        </w:rPr>
        <w:sectPr>
          <w:pgSz w:w="11906" w:h="16838"/>
          <w:pgMar w:top="1134" w:right="1134" w:bottom="1134" w:left="1134" w:header="851" w:footer="992" w:gutter="0"/>
          <w:cols w:space="720" w:num="1"/>
          <w:titlePg/>
          <w:docGrid w:type="lines" w:linePitch="312" w:charSpace="0"/>
        </w:sectPr>
      </w:pPr>
    </w:p>
    <w:p w14:paraId="43194B98">
      <w:pPr>
        <w:spacing w:line="360" w:lineRule="auto"/>
        <w:outlineLvl w:val="1"/>
        <w:rPr>
          <w:rFonts w:hint="default" w:ascii="Times New Roman" w:hAnsi="Times New Roman" w:cs="Times New Roman"/>
          <w:b/>
          <w:bCs/>
          <w:color w:val="auto"/>
          <w:sz w:val="24"/>
          <w:szCs w:val="22"/>
          <w:highlight w:val="none"/>
        </w:rPr>
      </w:pPr>
      <w:bookmarkStart w:id="234" w:name="_Toc14605"/>
      <w:bookmarkStart w:id="235" w:name="_Toc25589"/>
      <w:r>
        <w:rPr>
          <w:rFonts w:hint="default" w:ascii="Times New Roman" w:hAnsi="Times New Roman" w:cs="Times New Roman"/>
          <w:b/>
          <w:bCs/>
          <w:color w:val="auto"/>
          <w:sz w:val="24"/>
          <w:szCs w:val="22"/>
          <w:highlight w:val="none"/>
        </w:rPr>
        <w:t>附件二 开标一览表</w:t>
      </w:r>
      <w:bookmarkEnd w:id="234"/>
      <w:bookmarkEnd w:id="235"/>
    </w:p>
    <w:p w14:paraId="4A072731">
      <w:pPr>
        <w:spacing w:line="360" w:lineRule="auto"/>
        <w:jc w:val="center"/>
        <w:rPr>
          <w:rFonts w:hint="default" w:ascii="Times New Roman" w:hAnsi="Times New Roman" w:cs="Times New Roman"/>
          <w:b/>
          <w:color w:val="auto"/>
          <w:sz w:val="28"/>
          <w:szCs w:val="22"/>
          <w:highlight w:val="none"/>
        </w:rPr>
      </w:pPr>
      <w:r>
        <w:rPr>
          <w:rFonts w:hint="default" w:ascii="Times New Roman" w:hAnsi="Times New Roman" w:cs="Times New Roman"/>
          <w:b/>
          <w:color w:val="auto"/>
          <w:sz w:val="28"/>
          <w:szCs w:val="22"/>
          <w:highlight w:val="none"/>
        </w:rPr>
        <w:t>开标一览表</w:t>
      </w:r>
    </w:p>
    <w:p w14:paraId="6C594FA5">
      <w:pPr>
        <w:spacing w:line="360" w:lineRule="auto"/>
        <w:jc w:val="left"/>
        <w:rPr>
          <w:rFonts w:hint="default" w:ascii="Times New Roman" w:hAnsi="Times New Roman" w:cs="Times New Roman"/>
          <w:b/>
          <w:color w:val="auto"/>
          <w:sz w:val="28"/>
          <w:szCs w:val="22"/>
          <w:highlight w:val="none"/>
        </w:rPr>
      </w:pPr>
      <w:r>
        <w:rPr>
          <w:rFonts w:hint="default" w:ascii="Times New Roman" w:hAnsi="Times New Roman" w:cs="Times New Roman"/>
          <w:color w:val="auto"/>
          <w:szCs w:val="21"/>
          <w:highlight w:val="none"/>
        </w:rPr>
        <w:t xml:space="preserve">项目编号：                                                  </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6898"/>
      </w:tblGrid>
      <w:tr w14:paraId="7585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2485" w:type="dxa"/>
            <w:vAlign w:val="center"/>
          </w:tcPr>
          <w:p w14:paraId="78C1268E">
            <w:pPr>
              <w:snapToGri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项目名称</w:t>
            </w:r>
          </w:p>
        </w:tc>
        <w:tc>
          <w:tcPr>
            <w:tcW w:w="6898" w:type="dxa"/>
            <w:vAlign w:val="center"/>
          </w:tcPr>
          <w:p w14:paraId="7426883A">
            <w:pPr>
              <w:snapToGrid w:val="0"/>
              <w:spacing w:line="360" w:lineRule="auto"/>
              <w:ind w:firstLine="105" w:firstLineChars="50"/>
              <w:rPr>
                <w:rFonts w:hint="default" w:ascii="Times New Roman" w:hAnsi="Times New Roman" w:cs="Times New Roman"/>
                <w:color w:val="auto"/>
                <w:szCs w:val="21"/>
                <w:highlight w:val="none"/>
              </w:rPr>
            </w:pPr>
          </w:p>
        </w:tc>
      </w:tr>
      <w:tr w14:paraId="7F83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trPr>
        <w:tc>
          <w:tcPr>
            <w:tcW w:w="2485" w:type="dxa"/>
            <w:vAlign w:val="center"/>
          </w:tcPr>
          <w:p w14:paraId="01FE81A4">
            <w:pPr>
              <w:snapToGri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报价（总价）</w:t>
            </w:r>
          </w:p>
        </w:tc>
        <w:tc>
          <w:tcPr>
            <w:tcW w:w="6898" w:type="dxa"/>
            <w:vAlign w:val="center"/>
          </w:tcPr>
          <w:p w14:paraId="6C42113D">
            <w:pPr>
              <w:snapToGrid w:val="0"/>
              <w:spacing w:line="360" w:lineRule="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人民币：</w:t>
            </w:r>
            <w:r>
              <w:rPr>
                <w:rFonts w:hint="default" w:ascii="Times New Roman" w:hAnsi="Times New Roman" w:cs="Times New Roman"/>
                <w:color w:val="auto"/>
                <w:szCs w:val="21"/>
                <w:highlight w:val="none"/>
                <w:u w:val="single"/>
              </w:rPr>
              <w:t xml:space="preserve">           </w:t>
            </w:r>
          </w:p>
          <w:p w14:paraId="504D5345">
            <w:pPr>
              <w:snapToGrid w:val="0"/>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（大写）：</w:t>
            </w:r>
            <w:r>
              <w:rPr>
                <w:rFonts w:hint="default" w:ascii="Times New Roman" w:hAnsi="Times New Roman" w:cs="Times New Roman"/>
                <w:color w:val="auto"/>
                <w:szCs w:val="21"/>
                <w:highlight w:val="none"/>
                <w:u w:val="single"/>
              </w:rPr>
              <w:t xml:space="preserve">         </w:t>
            </w:r>
          </w:p>
        </w:tc>
      </w:tr>
      <w:tr w14:paraId="0171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485" w:type="dxa"/>
            <w:vAlign w:val="center"/>
          </w:tcPr>
          <w:p w14:paraId="680A088C">
            <w:pPr>
              <w:snapToGri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所投品牌</w:t>
            </w:r>
          </w:p>
        </w:tc>
        <w:tc>
          <w:tcPr>
            <w:tcW w:w="6898" w:type="dxa"/>
            <w:vAlign w:val="center"/>
          </w:tcPr>
          <w:p w14:paraId="38B22EAA">
            <w:pPr>
              <w:snapToGrid w:val="0"/>
              <w:spacing w:line="360" w:lineRule="auto"/>
              <w:rPr>
                <w:rFonts w:hint="default" w:ascii="Times New Roman" w:hAnsi="Times New Roman" w:cs="Times New Roman"/>
                <w:color w:val="auto"/>
                <w:szCs w:val="21"/>
                <w:highlight w:val="none"/>
              </w:rPr>
            </w:pPr>
          </w:p>
        </w:tc>
      </w:tr>
      <w:tr w14:paraId="2F4C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2485" w:type="dxa"/>
            <w:vAlign w:val="center"/>
          </w:tcPr>
          <w:p w14:paraId="3817A5D1">
            <w:pPr>
              <w:snapToGri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合同履行期限</w:t>
            </w:r>
          </w:p>
        </w:tc>
        <w:tc>
          <w:tcPr>
            <w:tcW w:w="6898" w:type="dxa"/>
            <w:vAlign w:val="center"/>
          </w:tcPr>
          <w:p w14:paraId="46915C49">
            <w:pPr>
              <w:snapToGrid w:val="0"/>
              <w:spacing w:line="360" w:lineRule="auto"/>
              <w:ind w:firstLine="105" w:firstLineChars="50"/>
              <w:rPr>
                <w:rFonts w:hint="default" w:ascii="Times New Roman" w:hAnsi="Times New Roman" w:cs="Times New Roman"/>
                <w:color w:val="auto"/>
                <w:szCs w:val="21"/>
                <w:highlight w:val="none"/>
              </w:rPr>
            </w:pPr>
          </w:p>
        </w:tc>
      </w:tr>
      <w:tr w14:paraId="5B7E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2485" w:type="dxa"/>
            <w:vAlign w:val="center"/>
          </w:tcPr>
          <w:p w14:paraId="49B0878E">
            <w:pPr>
              <w:snapToGri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是否为进口产品</w:t>
            </w:r>
          </w:p>
        </w:tc>
        <w:tc>
          <w:tcPr>
            <w:tcW w:w="6898" w:type="dxa"/>
            <w:vAlign w:val="center"/>
          </w:tcPr>
          <w:p w14:paraId="39FD85E3">
            <w:pPr>
              <w:snapToGrid w:val="0"/>
              <w:spacing w:line="360" w:lineRule="auto"/>
              <w:ind w:firstLine="210" w:firstLineChars="100"/>
              <w:rPr>
                <w:rFonts w:hint="default" w:ascii="Times New Roman" w:hAnsi="Times New Roman" w:cs="Times New Roman"/>
                <w:color w:val="auto"/>
                <w:highlight w:val="none"/>
              </w:rPr>
            </w:pPr>
            <w:r>
              <w:rPr>
                <w:rFonts w:hint="default" w:ascii="Times New Roman" w:hAnsi="Times New Roman" w:cs="Times New Roman"/>
                <w:color w:val="auto"/>
                <w:highlight w:val="none"/>
              </w:rPr>
              <w:sym w:font="Wingdings 2" w:char="00A3"/>
            </w:r>
            <w:r>
              <w:rPr>
                <w:rFonts w:hint="default" w:ascii="Times New Roman" w:hAnsi="Times New Roman" w:cs="Times New Roman"/>
                <w:color w:val="auto"/>
                <w:highlight w:val="none"/>
              </w:rPr>
              <w:t xml:space="preserve">是                       </w:t>
            </w:r>
            <w:r>
              <w:rPr>
                <w:rFonts w:hint="default" w:ascii="Times New Roman" w:hAnsi="Times New Roman" w:cs="Times New Roman"/>
                <w:color w:val="auto"/>
                <w:highlight w:val="none"/>
              </w:rPr>
              <w:sym w:font="Wingdings 2" w:char="00A3"/>
            </w:r>
            <w:r>
              <w:rPr>
                <w:rFonts w:hint="default" w:ascii="Times New Roman" w:hAnsi="Times New Roman" w:cs="Times New Roman"/>
                <w:color w:val="auto"/>
                <w:highlight w:val="none"/>
              </w:rPr>
              <w:t>否</w:t>
            </w:r>
          </w:p>
        </w:tc>
      </w:tr>
      <w:tr w14:paraId="37A01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2485" w:type="dxa"/>
          </w:tcPr>
          <w:p w14:paraId="483D57B6">
            <w:pPr>
              <w:snapToGri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参与采购保证金</w:t>
            </w:r>
          </w:p>
        </w:tc>
        <w:tc>
          <w:tcPr>
            <w:tcW w:w="6898" w:type="dxa"/>
          </w:tcPr>
          <w:p w14:paraId="06ACCF13">
            <w:pPr>
              <w:snapToGrid w:val="0"/>
              <w:spacing w:line="360" w:lineRule="auto"/>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2" w:char="00A3"/>
            </w:r>
            <w:r>
              <w:rPr>
                <w:rFonts w:hint="default" w:ascii="Times New Roman" w:hAnsi="Times New Roman" w:cs="Times New Roman"/>
                <w:color w:val="auto"/>
                <w:szCs w:val="21"/>
                <w:highlight w:val="none"/>
              </w:rPr>
              <w:t xml:space="preserve">有                       </w:t>
            </w:r>
            <w:r>
              <w:rPr>
                <w:rFonts w:hint="default" w:ascii="Times New Roman" w:hAnsi="Times New Roman" w:cs="Times New Roman"/>
                <w:color w:val="auto"/>
                <w:szCs w:val="21"/>
                <w:highlight w:val="none"/>
              </w:rPr>
              <w:sym w:font="Wingdings 2" w:char="00A3"/>
            </w:r>
            <w:r>
              <w:rPr>
                <w:rFonts w:hint="default" w:ascii="Times New Roman" w:hAnsi="Times New Roman" w:cs="Times New Roman"/>
                <w:color w:val="auto"/>
                <w:szCs w:val="21"/>
                <w:highlight w:val="none"/>
              </w:rPr>
              <w:t>没有</w:t>
            </w:r>
          </w:p>
        </w:tc>
      </w:tr>
      <w:tr w14:paraId="2200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2485" w:type="dxa"/>
          </w:tcPr>
          <w:p w14:paraId="05D533A0">
            <w:pPr>
              <w:snapToGrid w:val="0"/>
              <w:spacing w:line="360" w:lineRule="auto"/>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是否属于小微型企业</w:t>
            </w:r>
          </w:p>
        </w:tc>
        <w:tc>
          <w:tcPr>
            <w:tcW w:w="6898" w:type="dxa"/>
          </w:tcPr>
          <w:p w14:paraId="61D0FC87">
            <w:pPr>
              <w:pStyle w:val="13"/>
              <w:spacing w:line="360" w:lineRule="auto"/>
              <w:ind w:firstLine="210" w:firstLineChars="100"/>
              <w:rPr>
                <w:rFonts w:hint="default" w:ascii="Times New Roman" w:hAnsi="Times New Roman" w:cs="Times New Roman"/>
                <w:color w:val="auto"/>
                <w:szCs w:val="21"/>
                <w:highlight w:val="none"/>
              </w:rPr>
            </w:pPr>
            <w:r>
              <w:rPr>
                <w:rFonts w:hint="default" w:ascii="Times New Roman" w:hAnsi="Times New Roman" w:cs="Times New Roman"/>
                <w:b w:val="0"/>
                <w:color w:val="auto"/>
                <w:sz w:val="21"/>
                <w:szCs w:val="21"/>
                <w:highlight w:val="none"/>
              </w:rPr>
              <w:sym w:font="Wingdings 2" w:char="00A3"/>
            </w:r>
            <w:r>
              <w:rPr>
                <w:rFonts w:hint="default" w:ascii="Times New Roman" w:hAnsi="Times New Roman" w:cs="Times New Roman"/>
                <w:b w:val="0"/>
                <w:color w:val="auto"/>
                <w:sz w:val="21"/>
                <w:szCs w:val="21"/>
                <w:highlight w:val="none"/>
              </w:rPr>
              <w:t xml:space="preserve">是                       </w:t>
            </w:r>
            <w:r>
              <w:rPr>
                <w:rFonts w:hint="default" w:ascii="Times New Roman" w:hAnsi="Times New Roman" w:cs="Times New Roman"/>
                <w:b w:val="0"/>
                <w:color w:val="auto"/>
                <w:sz w:val="21"/>
                <w:szCs w:val="21"/>
                <w:highlight w:val="none"/>
              </w:rPr>
              <w:sym w:font="Wingdings 2" w:char="00A3"/>
            </w:r>
            <w:r>
              <w:rPr>
                <w:rFonts w:hint="default" w:ascii="Times New Roman" w:hAnsi="Times New Roman" w:cs="Times New Roman"/>
                <w:b w:val="0"/>
                <w:color w:val="auto"/>
                <w:sz w:val="21"/>
                <w:szCs w:val="21"/>
                <w:highlight w:val="none"/>
              </w:rPr>
              <w:t>否</w:t>
            </w:r>
          </w:p>
        </w:tc>
      </w:tr>
      <w:tr w14:paraId="7A70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9383" w:type="dxa"/>
            <w:gridSpan w:val="2"/>
          </w:tcPr>
          <w:p w14:paraId="27F369D5">
            <w:pPr>
              <w:snapToGrid w:val="0"/>
              <w:spacing w:line="360" w:lineRule="auto"/>
              <w:ind w:firstLine="105" w:firstLineChars="50"/>
              <w:rPr>
                <w:rFonts w:hint="default" w:ascii="Times New Roman" w:hAnsi="Times New Roman" w:cs="Times New Roman"/>
                <w:color w:val="auto"/>
                <w:szCs w:val="21"/>
                <w:highlight w:val="none"/>
              </w:rPr>
            </w:pPr>
            <w:r>
              <w:rPr>
                <w:rFonts w:hint="default" w:ascii="Times New Roman" w:hAnsi="Times New Roman" w:cs="Times New Roman"/>
                <w:b/>
                <w:color w:val="auto"/>
                <w:szCs w:val="21"/>
                <w:highlight w:val="none"/>
              </w:rPr>
              <w:t>“是否属于小微型企业</w:t>
            </w:r>
            <w:r>
              <w:rPr>
                <w:rFonts w:hint="default" w:ascii="Times New Roman" w:hAnsi="Times New Roman" w:cs="Times New Roman"/>
                <w:b/>
                <w:color w:val="auto"/>
                <w:szCs w:val="21"/>
                <w:highlight w:val="none"/>
                <w:lang w:val="zh-CN"/>
              </w:rPr>
              <w:t>”栏内</w:t>
            </w:r>
            <w:r>
              <w:rPr>
                <w:rFonts w:hint="default" w:ascii="Times New Roman" w:hAnsi="Times New Roman" w:cs="Times New Roman"/>
                <w:b/>
                <w:color w:val="auto"/>
                <w:szCs w:val="21"/>
                <w:highlight w:val="none"/>
              </w:rPr>
              <w:t>请勾选</w:t>
            </w:r>
            <w:r>
              <w:rPr>
                <w:rFonts w:hint="default" w:ascii="Times New Roman" w:hAnsi="Times New Roman" w:cs="Times New Roman"/>
                <w:b/>
                <w:color w:val="auto"/>
                <w:szCs w:val="21"/>
                <w:highlight w:val="none"/>
                <w:lang w:val="zh-CN"/>
              </w:rPr>
              <w:t>“是”或“否”。如</w:t>
            </w:r>
            <w:r>
              <w:rPr>
                <w:rFonts w:hint="default" w:ascii="Times New Roman" w:hAnsi="Times New Roman" w:cs="Times New Roman"/>
                <w:b/>
                <w:color w:val="auto"/>
                <w:szCs w:val="21"/>
                <w:highlight w:val="none"/>
              </w:rPr>
              <w:t>勾选</w:t>
            </w:r>
            <w:r>
              <w:rPr>
                <w:rFonts w:hint="default" w:ascii="Times New Roman" w:hAnsi="Times New Roman" w:cs="Times New Roman"/>
                <w:b/>
                <w:color w:val="auto"/>
                <w:szCs w:val="21"/>
                <w:highlight w:val="none"/>
                <w:lang w:val="zh-CN"/>
              </w:rPr>
              <w:t>“是”，</w:t>
            </w:r>
            <w:r>
              <w:rPr>
                <w:rFonts w:hint="default" w:ascii="Times New Roman" w:hAnsi="Times New Roman" w:cs="Times New Roman"/>
                <w:b/>
                <w:color w:val="auto"/>
                <w:szCs w:val="21"/>
                <w:highlight w:val="none"/>
              </w:rPr>
              <w:t>投标人需同时提供附件六所要求的对应文件。</w:t>
            </w:r>
          </w:p>
        </w:tc>
      </w:tr>
    </w:tbl>
    <w:p w14:paraId="6BE37DBB">
      <w:pPr>
        <w:rPr>
          <w:rFonts w:hint="default" w:ascii="Times New Roman" w:hAnsi="Times New Roman" w:cs="Times New Roman"/>
          <w:color w:val="auto"/>
          <w:highlight w:val="none"/>
        </w:rPr>
      </w:pPr>
    </w:p>
    <w:p w14:paraId="72D30146">
      <w:pPr>
        <w:rPr>
          <w:rFonts w:hint="default" w:ascii="Times New Roman" w:hAnsi="Times New Roman" w:cs="Times New Roman"/>
          <w:color w:val="auto"/>
          <w:highlight w:val="none"/>
        </w:rPr>
      </w:pPr>
    </w:p>
    <w:p w14:paraId="3CBB9E34">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6D49BDCF">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107A74FD">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p>
    <w:p w14:paraId="04AF73A7">
      <w:pPr>
        <w:rPr>
          <w:rFonts w:hint="default" w:ascii="Times New Roman" w:hAnsi="Times New Roman" w:cs="Times New Roman"/>
          <w:color w:val="auto"/>
          <w:highlight w:val="none"/>
        </w:rPr>
      </w:pPr>
    </w:p>
    <w:p w14:paraId="26623CE9">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注：此表中，报价（总价）应和分项报价表中的投标总价合计一致。</w:t>
      </w:r>
    </w:p>
    <w:p w14:paraId="2D2A1BCC">
      <w:pPr>
        <w:spacing w:line="440" w:lineRule="exact"/>
        <w:jc w:val="center"/>
        <w:rPr>
          <w:rFonts w:hint="default" w:ascii="Times New Roman" w:hAnsi="Times New Roman" w:cs="Times New Roman"/>
          <w:b/>
          <w:color w:val="auto"/>
          <w:highlight w:val="none"/>
        </w:rPr>
      </w:pPr>
    </w:p>
    <w:p w14:paraId="6E3F3863">
      <w:pPr>
        <w:spacing w:line="440" w:lineRule="exact"/>
        <w:jc w:val="center"/>
        <w:rPr>
          <w:rFonts w:hint="default" w:ascii="Times New Roman" w:hAnsi="Times New Roman" w:cs="Times New Roman"/>
          <w:b/>
          <w:color w:val="auto"/>
          <w:highlight w:val="none"/>
        </w:rPr>
      </w:pPr>
    </w:p>
    <w:p w14:paraId="4DEA5C65">
      <w:pPr>
        <w:spacing w:line="440" w:lineRule="exact"/>
        <w:rPr>
          <w:rFonts w:hint="default" w:ascii="Times New Roman" w:hAnsi="Times New Roman" w:cs="Times New Roman"/>
          <w:b/>
          <w:color w:val="auto"/>
          <w:highlight w:val="none"/>
        </w:rPr>
      </w:pPr>
    </w:p>
    <w:p w14:paraId="6B045019">
      <w:pPr>
        <w:spacing w:line="440" w:lineRule="exact"/>
        <w:outlineLvl w:val="1"/>
        <w:rPr>
          <w:rFonts w:hint="default" w:ascii="Times New Roman" w:hAnsi="Times New Roman" w:cs="Times New Roman"/>
          <w:b/>
          <w:bCs/>
          <w:color w:val="auto"/>
          <w:sz w:val="24"/>
          <w:szCs w:val="22"/>
          <w:highlight w:val="none"/>
        </w:rPr>
        <w:sectPr>
          <w:pgSz w:w="11906" w:h="16838"/>
          <w:pgMar w:top="1134" w:right="1134" w:bottom="1134" w:left="1134" w:header="851" w:footer="992" w:gutter="0"/>
          <w:cols w:space="720" w:num="1"/>
          <w:titlePg/>
          <w:docGrid w:type="lines" w:linePitch="312" w:charSpace="0"/>
        </w:sectPr>
      </w:pPr>
      <w:bookmarkStart w:id="236" w:name="_Toc14445"/>
    </w:p>
    <w:p w14:paraId="6F9ACB68">
      <w:pPr>
        <w:spacing w:line="360" w:lineRule="auto"/>
        <w:outlineLvl w:val="1"/>
        <w:rPr>
          <w:rFonts w:hint="default" w:ascii="Times New Roman" w:hAnsi="Times New Roman" w:cs="Times New Roman"/>
          <w:b/>
          <w:bCs/>
          <w:color w:val="auto"/>
          <w:sz w:val="24"/>
          <w:szCs w:val="22"/>
          <w:highlight w:val="none"/>
        </w:rPr>
      </w:pPr>
      <w:bookmarkStart w:id="237" w:name="_Toc7528"/>
      <w:r>
        <w:rPr>
          <w:rFonts w:hint="default" w:ascii="Times New Roman" w:hAnsi="Times New Roman" w:cs="Times New Roman"/>
          <w:b/>
          <w:bCs/>
          <w:color w:val="auto"/>
          <w:sz w:val="24"/>
          <w:szCs w:val="22"/>
          <w:highlight w:val="none"/>
        </w:rPr>
        <w:t>附件三 分项报价表</w:t>
      </w:r>
      <w:bookmarkEnd w:id="236"/>
      <w:bookmarkEnd w:id="237"/>
    </w:p>
    <w:p w14:paraId="7CB596AC">
      <w:pPr>
        <w:spacing w:line="360" w:lineRule="auto"/>
        <w:jc w:val="center"/>
        <w:rPr>
          <w:rFonts w:hint="default" w:ascii="Times New Roman" w:hAnsi="Times New Roman" w:cs="Times New Roman"/>
          <w:b/>
          <w:color w:val="auto"/>
          <w:sz w:val="28"/>
          <w:szCs w:val="22"/>
          <w:highlight w:val="none"/>
        </w:rPr>
      </w:pPr>
      <w:r>
        <w:rPr>
          <w:rFonts w:hint="default" w:ascii="Times New Roman" w:hAnsi="Times New Roman" w:cs="Times New Roman"/>
          <w:b/>
          <w:color w:val="auto"/>
          <w:sz w:val="28"/>
          <w:szCs w:val="22"/>
          <w:highlight w:val="none"/>
        </w:rPr>
        <w:t>分项报价表</w:t>
      </w:r>
    </w:p>
    <w:p w14:paraId="105B98F5">
      <w:pPr>
        <w:spacing w:line="360" w:lineRule="auto"/>
        <w:jc w:val="righ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报价单位：人民币（小数点后保留2位）</w:t>
      </w:r>
    </w:p>
    <w:tbl>
      <w:tblPr>
        <w:tblStyle w:val="47"/>
        <w:tblW w:w="4996"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4"/>
        <w:gridCol w:w="1443"/>
        <w:gridCol w:w="1040"/>
        <w:gridCol w:w="1217"/>
        <w:gridCol w:w="1497"/>
        <w:gridCol w:w="987"/>
        <w:gridCol w:w="1458"/>
        <w:gridCol w:w="1458"/>
        <w:gridCol w:w="12"/>
      </w:tblGrid>
      <w:tr w14:paraId="2EDD4C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pct"/>
          <w:jc w:val="center"/>
        </w:trPr>
        <w:tc>
          <w:tcPr>
            <w:tcW w:w="373" w:type="pct"/>
            <w:tcBorders>
              <w:top w:val="single" w:color="auto" w:sz="4" w:space="0"/>
              <w:left w:val="single" w:color="auto" w:sz="4" w:space="0"/>
              <w:bottom w:val="single" w:color="auto" w:sz="4" w:space="0"/>
              <w:right w:val="single" w:color="auto" w:sz="4" w:space="0"/>
            </w:tcBorders>
            <w:vAlign w:val="center"/>
          </w:tcPr>
          <w:p w14:paraId="3C66BF51">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733" w:type="pct"/>
            <w:tcBorders>
              <w:top w:val="single" w:color="auto" w:sz="4" w:space="0"/>
              <w:left w:val="single" w:color="auto" w:sz="4" w:space="0"/>
              <w:bottom w:val="single" w:color="auto" w:sz="4" w:space="0"/>
              <w:right w:val="single" w:color="auto" w:sz="4" w:space="0"/>
            </w:tcBorders>
            <w:vAlign w:val="center"/>
          </w:tcPr>
          <w:p w14:paraId="656DD06B">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名 称</w:t>
            </w:r>
          </w:p>
        </w:tc>
        <w:tc>
          <w:tcPr>
            <w:tcW w:w="528" w:type="pct"/>
            <w:tcBorders>
              <w:top w:val="single" w:color="auto" w:sz="4" w:space="0"/>
              <w:left w:val="single" w:color="auto" w:sz="4" w:space="0"/>
              <w:bottom w:val="single" w:color="auto" w:sz="4" w:space="0"/>
              <w:right w:val="single" w:color="auto" w:sz="4" w:space="0"/>
            </w:tcBorders>
            <w:vAlign w:val="center"/>
          </w:tcPr>
          <w:p w14:paraId="6CA2FAF5">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品牌</w:t>
            </w:r>
          </w:p>
        </w:tc>
        <w:tc>
          <w:tcPr>
            <w:tcW w:w="616" w:type="pct"/>
            <w:tcBorders>
              <w:top w:val="single" w:color="auto" w:sz="4" w:space="0"/>
              <w:left w:val="single" w:color="auto" w:sz="4" w:space="0"/>
              <w:bottom w:val="single" w:color="auto" w:sz="4" w:space="0"/>
              <w:right w:val="single" w:color="auto" w:sz="4" w:space="0"/>
            </w:tcBorders>
            <w:vAlign w:val="center"/>
          </w:tcPr>
          <w:p w14:paraId="0F2D69DB">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规格或型号</w:t>
            </w:r>
          </w:p>
        </w:tc>
        <w:tc>
          <w:tcPr>
            <w:tcW w:w="760" w:type="pct"/>
            <w:tcBorders>
              <w:top w:val="single" w:color="auto" w:sz="4" w:space="0"/>
              <w:left w:val="single" w:color="auto" w:sz="4" w:space="0"/>
              <w:bottom w:val="single" w:color="auto" w:sz="4" w:space="0"/>
              <w:right w:val="single" w:color="auto" w:sz="4" w:space="0"/>
            </w:tcBorders>
            <w:vAlign w:val="center"/>
          </w:tcPr>
          <w:p w14:paraId="31468129">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原产地和</w:t>
            </w:r>
          </w:p>
          <w:p w14:paraId="444BF893">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制造商名称</w:t>
            </w:r>
          </w:p>
        </w:tc>
        <w:tc>
          <w:tcPr>
            <w:tcW w:w="501" w:type="pct"/>
            <w:tcBorders>
              <w:top w:val="single" w:color="auto" w:sz="4" w:space="0"/>
              <w:left w:val="single" w:color="auto" w:sz="4" w:space="0"/>
              <w:bottom w:val="single" w:color="auto" w:sz="4" w:space="0"/>
              <w:right w:val="single" w:color="auto" w:sz="4" w:space="0"/>
            </w:tcBorders>
            <w:vAlign w:val="center"/>
          </w:tcPr>
          <w:p w14:paraId="69152A94">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740" w:type="pct"/>
            <w:tcBorders>
              <w:top w:val="single" w:color="auto" w:sz="4" w:space="0"/>
              <w:left w:val="single" w:color="auto" w:sz="4" w:space="0"/>
              <w:bottom w:val="single" w:color="auto" w:sz="4" w:space="0"/>
              <w:right w:val="single" w:color="auto" w:sz="4" w:space="0"/>
            </w:tcBorders>
            <w:vAlign w:val="center"/>
          </w:tcPr>
          <w:p w14:paraId="2DF47915">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单项金额（元）</w:t>
            </w:r>
          </w:p>
        </w:tc>
        <w:tc>
          <w:tcPr>
            <w:tcW w:w="740" w:type="pct"/>
            <w:tcBorders>
              <w:top w:val="single" w:color="auto" w:sz="4" w:space="0"/>
              <w:left w:val="single" w:color="auto" w:sz="4" w:space="0"/>
              <w:bottom w:val="single" w:color="auto" w:sz="4" w:space="0"/>
              <w:right w:val="single" w:color="auto" w:sz="4" w:space="0"/>
            </w:tcBorders>
            <w:vAlign w:val="center"/>
          </w:tcPr>
          <w:p w14:paraId="424542A2">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总价金额（元）</w:t>
            </w:r>
          </w:p>
        </w:tc>
      </w:tr>
      <w:tr w14:paraId="70275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pct"/>
          <w:jc w:val="center"/>
        </w:trPr>
        <w:tc>
          <w:tcPr>
            <w:tcW w:w="373" w:type="pct"/>
            <w:tcBorders>
              <w:top w:val="single" w:color="auto" w:sz="4" w:space="0"/>
              <w:left w:val="single" w:color="auto" w:sz="4" w:space="0"/>
              <w:bottom w:val="single" w:color="auto" w:sz="4" w:space="0"/>
              <w:right w:val="single" w:color="auto" w:sz="4" w:space="0"/>
            </w:tcBorders>
          </w:tcPr>
          <w:p w14:paraId="56C96288">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733" w:type="pct"/>
            <w:tcBorders>
              <w:top w:val="single" w:color="auto" w:sz="4" w:space="0"/>
              <w:left w:val="single" w:color="auto" w:sz="4" w:space="0"/>
              <w:bottom w:val="single" w:color="auto" w:sz="4" w:space="0"/>
              <w:right w:val="single" w:color="auto" w:sz="4" w:space="0"/>
            </w:tcBorders>
          </w:tcPr>
          <w:p w14:paraId="6D3806D8">
            <w:pPr>
              <w:spacing w:line="360" w:lineRule="auto"/>
              <w:rPr>
                <w:rFonts w:hint="default" w:ascii="Times New Roman" w:hAnsi="Times New Roman" w:cs="Times New Roman"/>
                <w:color w:val="auto"/>
                <w:szCs w:val="21"/>
                <w:highlight w:val="none"/>
              </w:rPr>
            </w:pPr>
          </w:p>
        </w:tc>
        <w:tc>
          <w:tcPr>
            <w:tcW w:w="528" w:type="pct"/>
            <w:tcBorders>
              <w:top w:val="single" w:color="auto" w:sz="4" w:space="0"/>
              <w:left w:val="single" w:color="auto" w:sz="4" w:space="0"/>
              <w:bottom w:val="single" w:color="auto" w:sz="4" w:space="0"/>
              <w:right w:val="single" w:color="auto" w:sz="4" w:space="0"/>
            </w:tcBorders>
          </w:tcPr>
          <w:p w14:paraId="7F4A4BD1">
            <w:pPr>
              <w:spacing w:line="360" w:lineRule="auto"/>
              <w:rPr>
                <w:rFonts w:hint="default" w:ascii="Times New Roman" w:hAnsi="Times New Roman" w:cs="Times New Roman"/>
                <w:color w:val="auto"/>
                <w:szCs w:val="21"/>
                <w:highlight w:val="none"/>
              </w:rPr>
            </w:pPr>
          </w:p>
        </w:tc>
        <w:tc>
          <w:tcPr>
            <w:tcW w:w="616" w:type="pct"/>
            <w:tcBorders>
              <w:top w:val="single" w:color="auto" w:sz="4" w:space="0"/>
              <w:left w:val="single" w:color="auto" w:sz="4" w:space="0"/>
              <w:bottom w:val="single" w:color="auto" w:sz="4" w:space="0"/>
              <w:right w:val="single" w:color="auto" w:sz="4" w:space="0"/>
            </w:tcBorders>
          </w:tcPr>
          <w:p w14:paraId="3D01965C">
            <w:pPr>
              <w:spacing w:line="360" w:lineRule="auto"/>
              <w:rPr>
                <w:rFonts w:hint="default" w:ascii="Times New Roman" w:hAnsi="Times New Roman" w:cs="Times New Roman"/>
                <w:color w:val="auto"/>
                <w:szCs w:val="21"/>
                <w:highlight w:val="none"/>
              </w:rPr>
            </w:pPr>
          </w:p>
        </w:tc>
        <w:tc>
          <w:tcPr>
            <w:tcW w:w="760" w:type="pct"/>
            <w:tcBorders>
              <w:top w:val="single" w:color="auto" w:sz="4" w:space="0"/>
              <w:left w:val="single" w:color="auto" w:sz="4" w:space="0"/>
              <w:bottom w:val="single" w:color="auto" w:sz="4" w:space="0"/>
              <w:right w:val="single" w:color="auto" w:sz="4" w:space="0"/>
            </w:tcBorders>
          </w:tcPr>
          <w:p w14:paraId="194FBFBA">
            <w:pPr>
              <w:spacing w:line="360" w:lineRule="auto"/>
              <w:rPr>
                <w:rFonts w:hint="default" w:ascii="Times New Roman" w:hAnsi="Times New Roman" w:cs="Times New Roman"/>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tcPr>
          <w:p w14:paraId="63EB6F46">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705D2B88">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6868DC8B">
            <w:pPr>
              <w:spacing w:line="360" w:lineRule="auto"/>
              <w:rPr>
                <w:rFonts w:hint="default" w:ascii="Times New Roman" w:hAnsi="Times New Roman" w:cs="Times New Roman"/>
                <w:color w:val="auto"/>
                <w:szCs w:val="21"/>
                <w:highlight w:val="none"/>
              </w:rPr>
            </w:pPr>
          </w:p>
        </w:tc>
      </w:tr>
      <w:tr w14:paraId="2DC57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pct"/>
          <w:jc w:val="center"/>
        </w:trPr>
        <w:tc>
          <w:tcPr>
            <w:tcW w:w="373" w:type="pct"/>
            <w:tcBorders>
              <w:top w:val="single" w:color="auto" w:sz="4" w:space="0"/>
              <w:left w:val="single" w:color="auto" w:sz="4" w:space="0"/>
              <w:bottom w:val="single" w:color="auto" w:sz="4" w:space="0"/>
              <w:right w:val="single" w:color="auto" w:sz="4" w:space="0"/>
            </w:tcBorders>
          </w:tcPr>
          <w:p w14:paraId="2299E6BF">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733" w:type="pct"/>
            <w:tcBorders>
              <w:top w:val="single" w:color="auto" w:sz="4" w:space="0"/>
              <w:left w:val="single" w:color="auto" w:sz="4" w:space="0"/>
              <w:bottom w:val="single" w:color="auto" w:sz="4" w:space="0"/>
              <w:right w:val="single" w:color="auto" w:sz="4" w:space="0"/>
            </w:tcBorders>
          </w:tcPr>
          <w:p w14:paraId="7FC06354">
            <w:pPr>
              <w:spacing w:line="360" w:lineRule="auto"/>
              <w:rPr>
                <w:rFonts w:hint="default" w:ascii="Times New Roman" w:hAnsi="Times New Roman" w:cs="Times New Roman"/>
                <w:color w:val="auto"/>
                <w:szCs w:val="21"/>
                <w:highlight w:val="none"/>
              </w:rPr>
            </w:pPr>
          </w:p>
        </w:tc>
        <w:tc>
          <w:tcPr>
            <w:tcW w:w="528" w:type="pct"/>
            <w:tcBorders>
              <w:top w:val="single" w:color="auto" w:sz="4" w:space="0"/>
              <w:left w:val="single" w:color="auto" w:sz="4" w:space="0"/>
              <w:bottom w:val="single" w:color="auto" w:sz="4" w:space="0"/>
              <w:right w:val="single" w:color="auto" w:sz="4" w:space="0"/>
            </w:tcBorders>
          </w:tcPr>
          <w:p w14:paraId="624BF6E2">
            <w:pPr>
              <w:spacing w:line="360" w:lineRule="auto"/>
              <w:rPr>
                <w:rFonts w:hint="default" w:ascii="Times New Roman" w:hAnsi="Times New Roman" w:cs="Times New Roman"/>
                <w:color w:val="auto"/>
                <w:szCs w:val="21"/>
                <w:highlight w:val="none"/>
              </w:rPr>
            </w:pPr>
          </w:p>
        </w:tc>
        <w:tc>
          <w:tcPr>
            <w:tcW w:w="616" w:type="pct"/>
            <w:tcBorders>
              <w:top w:val="single" w:color="auto" w:sz="4" w:space="0"/>
              <w:left w:val="single" w:color="auto" w:sz="4" w:space="0"/>
              <w:bottom w:val="single" w:color="auto" w:sz="4" w:space="0"/>
              <w:right w:val="single" w:color="auto" w:sz="4" w:space="0"/>
            </w:tcBorders>
          </w:tcPr>
          <w:p w14:paraId="578343EB">
            <w:pPr>
              <w:spacing w:line="360" w:lineRule="auto"/>
              <w:rPr>
                <w:rFonts w:hint="default" w:ascii="Times New Roman" w:hAnsi="Times New Roman" w:cs="Times New Roman"/>
                <w:color w:val="auto"/>
                <w:szCs w:val="21"/>
                <w:highlight w:val="none"/>
              </w:rPr>
            </w:pPr>
          </w:p>
        </w:tc>
        <w:tc>
          <w:tcPr>
            <w:tcW w:w="760" w:type="pct"/>
            <w:tcBorders>
              <w:top w:val="single" w:color="auto" w:sz="4" w:space="0"/>
              <w:left w:val="single" w:color="auto" w:sz="4" w:space="0"/>
              <w:bottom w:val="single" w:color="auto" w:sz="4" w:space="0"/>
              <w:right w:val="single" w:color="auto" w:sz="4" w:space="0"/>
            </w:tcBorders>
          </w:tcPr>
          <w:p w14:paraId="7BEC5D05">
            <w:pPr>
              <w:spacing w:line="360" w:lineRule="auto"/>
              <w:rPr>
                <w:rFonts w:hint="default" w:ascii="Times New Roman" w:hAnsi="Times New Roman" w:cs="Times New Roman"/>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tcPr>
          <w:p w14:paraId="5BE5A487">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0FEF9E9F">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699079BE">
            <w:pPr>
              <w:spacing w:line="360" w:lineRule="auto"/>
              <w:rPr>
                <w:rFonts w:hint="default" w:ascii="Times New Roman" w:hAnsi="Times New Roman" w:cs="Times New Roman"/>
                <w:color w:val="auto"/>
                <w:szCs w:val="21"/>
                <w:highlight w:val="none"/>
              </w:rPr>
            </w:pPr>
          </w:p>
        </w:tc>
      </w:tr>
      <w:tr w14:paraId="498051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pct"/>
          <w:jc w:val="center"/>
        </w:trPr>
        <w:tc>
          <w:tcPr>
            <w:tcW w:w="373" w:type="pct"/>
            <w:tcBorders>
              <w:top w:val="single" w:color="auto" w:sz="4" w:space="0"/>
              <w:left w:val="single" w:color="auto" w:sz="4" w:space="0"/>
              <w:bottom w:val="single" w:color="auto" w:sz="4" w:space="0"/>
              <w:right w:val="single" w:color="auto" w:sz="4" w:space="0"/>
            </w:tcBorders>
          </w:tcPr>
          <w:p w14:paraId="2C1CC8BE">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733" w:type="pct"/>
            <w:tcBorders>
              <w:top w:val="single" w:color="auto" w:sz="4" w:space="0"/>
              <w:left w:val="single" w:color="auto" w:sz="4" w:space="0"/>
              <w:bottom w:val="single" w:color="auto" w:sz="4" w:space="0"/>
              <w:right w:val="single" w:color="auto" w:sz="4" w:space="0"/>
            </w:tcBorders>
          </w:tcPr>
          <w:p w14:paraId="1D3F15BF">
            <w:pPr>
              <w:spacing w:line="360" w:lineRule="auto"/>
              <w:ind w:left="-827" w:firstLine="827"/>
              <w:rPr>
                <w:rFonts w:hint="default" w:ascii="Times New Roman" w:hAnsi="Times New Roman" w:cs="Times New Roman"/>
                <w:color w:val="auto"/>
                <w:szCs w:val="21"/>
                <w:highlight w:val="none"/>
              </w:rPr>
            </w:pPr>
          </w:p>
        </w:tc>
        <w:tc>
          <w:tcPr>
            <w:tcW w:w="528" w:type="pct"/>
            <w:tcBorders>
              <w:top w:val="single" w:color="auto" w:sz="4" w:space="0"/>
              <w:left w:val="single" w:color="auto" w:sz="4" w:space="0"/>
              <w:bottom w:val="single" w:color="auto" w:sz="4" w:space="0"/>
              <w:right w:val="single" w:color="auto" w:sz="4" w:space="0"/>
            </w:tcBorders>
          </w:tcPr>
          <w:p w14:paraId="048A3150">
            <w:pPr>
              <w:spacing w:line="360" w:lineRule="auto"/>
              <w:rPr>
                <w:rFonts w:hint="default" w:ascii="Times New Roman" w:hAnsi="Times New Roman" w:cs="Times New Roman"/>
                <w:color w:val="auto"/>
                <w:szCs w:val="21"/>
                <w:highlight w:val="none"/>
              </w:rPr>
            </w:pPr>
          </w:p>
        </w:tc>
        <w:tc>
          <w:tcPr>
            <w:tcW w:w="616" w:type="pct"/>
            <w:tcBorders>
              <w:top w:val="single" w:color="auto" w:sz="4" w:space="0"/>
              <w:left w:val="single" w:color="auto" w:sz="4" w:space="0"/>
              <w:bottom w:val="single" w:color="auto" w:sz="4" w:space="0"/>
              <w:right w:val="single" w:color="auto" w:sz="4" w:space="0"/>
            </w:tcBorders>
          </w:tcPr>
          <w:p w14:paraId="3F209D6C">
            <w:pPr>
              <w:spacing w:line="360" w:lineRule="auto"/>
              <w:rPr>
                <w:rFonts w:hint="default" w:ascii="Times New Roman" w:hAnsi="Times New Roman" w:cs="Times New Roman"/>
                <w:color w:val="auto"/>
                <w:szCs w:val="21"/>
                <w:highlight w:val="none"/>
              </w:rPr>
            </w:pPr>
          </w:p>
        </w:tc>
        <w:tc>
          <w:tcPr>
            <w:tcW w:w="760" w:type="pct"/>
            <w:tcBorders>
              <w:top w:val="single" w:color="auto" w:sz="4" w:space="0"/>
              <w:left w:val="single" w:color="auto" w:sz="4" w:space="0"/>
              <w:bottom w:val="single" w:color="auto" w:sz="4" w:space="0"/>
              <w:right w:val="single" w:color="auto" w:sz="4" w:space="0"/>
            </w:tcBorders>
          </w:tcPr>
          <w:p w14:paraId="76C619A2">
            <w:pPr>
              <w:spacing w:line="360" w:lineRule="auto"/>
              <w:rPr>
                <w:rFonts w:hint="default" w:ascii="Times New Roman" w:hAnsi="Times New Roman" w:cs="Times New Roman"/>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tcPr>
          <w:p w14:paraId="6CBA7C7D">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74BA5BDA">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22C36B8A">
            <w:pPr>
              <w:spacing w:line="360" w:lineRule="auto"/>
              <w:rPr>
                <w:rFonts w:hint="default" w:ascii="Times New Roman" w:hAnsi="Times New Roman" w:cs="Times New Roman"/>
                <w:color w:val="auto"/>
                <w:szCs w:val="21"/>
                <w:highlight w:val="none"/>
              </w:rPr>
            </w:pPr>
          </w:p>
        </w:tc>
      </w:tr>
      <w:tr w14:paraId="284E04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pct"/>
          <w:jc w:val="center"/>
        </w:trPr>
        <w:tc>
          <w:tcPr>
            <w:tcW w:w="373" w:type="pct"/>
            <w:tcBorders>
              <w:top w:val="single" w:color="auto" w:sz="4" w:space="0"/>
              <w:left w:val="single" w:color="auto" w:sz="4" w:space="0"/>
              <w:bottom w:val="single" w:color="auto" w:sz="4" w:space="0"/>
              <w:right w:val="single" w:color="auto" w:sz="4" w:space="0"/>
            </w:tcBorders>
          </w:tcPr>
          <w:p w14:paraId="63264EFC">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733" w:type="pct"/>
            <w:tcBorders>
              <w:top w:val="single" w:color="auto" w:sz="4" w:space="0"/>
              <w:left w:val="single" w:color="auto" w:sz="4" w:space="0"/>
              <w:bottom w:val="single" w:color="auto" w:sz="4" w:space="0"/>
              <w:right w:val="single" w:color="auto" w:sz="4" w:space="0"/>
            </w:tcBorders>
          </w:tcPr>
          <w:p w14:paraId="15207917">
            <w:pPr>
              <w:spacing w:line="360" w:lineRule="auto"/>
              <w:rPr>
                <w:rFonts w:hint="default" w:ascii="Times New Roman" w:hAnsi="Times New Roman" w:cs="Times New Roman"/>
                <w:color w:val="auto"/>
                <w:szCs w:val="21"/>
                <w:highlight w:val="none"/>
              </w:rPr>
            </w:pPr>
          </w:p>
        </w:tc>
        <w:tc>
          <w:tcPr>
            <w:tcW w:w="528" w:type="pct"/>
            <w:tcBorders>
              <w:top w:val="single" w:color="auto" w:sz="4" w:space="0"/>
              <w:left w:val="single" w:color="auto" w:sz="4" w:space="0"/>
              <w:bottom w:val="single" w:color="auto" w:sz="4" w:space="0"/>
              <w:right w:val="single" w:color="auto" w:sz="4" w:space="0"/>
            </w:tcBorders>
          </w:tcPr>
          <w:p w14:paraId="07D6129B">
            <w:pPr>
              <w:spacing w:line="360" w:lineRule="auto"/>
              <w:rPr>
                <w:rFonts w:hint="default" w:ascii="Times New Roman" w:hAnsi="Times New Roman" w:cs="Times New Roman"/>
                <w:color w:val="auto"/>
                <w:szCs w:val="21"/>
                <w:highlight w:val="none"/>
              </w:rPr>
            </w:pPr>
          </w:p>
        </w:tc>
        <w:tc>
          <w:tcPr>
            <w:tcW w:w="616" w:type="pct"/>
            <w:tcBorders>
              <w:top w:val="single" w:color="auto" w:sz="4" w:space="0"/>
              <w:left w:val="single" w:color="auto" w:sz="4" w:space="0"/>
              <w:bottom w:val="single" w:color="auto" w:sz="4" w:space="0"/>
              <w:right w:val="single" w:color="auto" w:sz="4" w:space="0"/>
            </w:tcBorders>
          </w:tcPr>
          <w:p w14:paraId="630CDAEF">
            <w:pPr>
              <w:spacing w:line="360" w:lineRule="auto"/>
              <w:rPr>
                <w:rFonts w:hint="default" w:ascii="Times New Roman" w:hAnsi="Times New Roman" w:cs="Times New Roman"/>
                <w:color w:val="auto"/>
                <w:szCs w:val="21"/>
                <w:highlight w:val="none"/>
              </w:rPr>
            </w:pPr>
          </w:p>
        </w:tc>
        <w:tc>
          <w:tcPr>
            <w:tcW w:w="760" w:type="pct"/>
            <w:tcBorders>
              <w:top w:val="single" w:color="auto" w:sz="4" w:space="0"/>
              <w:left w:val="single" w:color="auto" w:sz="4" w:space="0"/>
              <w:bottom w:val="single" w:color="auto" w:sz="4" w:space="0"/>
              <w:right w:val="single" w:color="auto" w:sz="4" w:space="0"/>
            </w:tcBorders>
          </w:tcPr>
          <w:p w14:paraId="0BBAFF01">
            <w:pPr>
              <w:spacing w:line="360" w:lineRule="auto"/>
              <w:rPr>
                <w:rFonts w:hint="default" w:ascii="Times New Roman" w:hAnsi="Times New Roman" w:cs="Times New Roman"/>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tcPr>
          <w:p w14:paraId="4B65DEA1">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05050CD1">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3D1F26ED">
            <w:pPr>
              <w:spacing w:line="360" w:lineRule="auto"/>
              <w:rPr>
                <w:rFonts w:hint="default" w:ascii="Times New Roman" w:hAnsi="Times New Roman" w:cs="Times New Roman"/>
                <w:color w:val="auto"/>
                <w:szCs w:val="21"/>
                <w:highlight w:val="none"/>
              </w:rPr>
            </w:pPr>
          </w:p>
        </w:tc>
      </w:tr>
      <w:tr w14:paraId="71A791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pct"/>
          <w:jc w:val="center"/>
        </w:trPr>
        <w:tc>
          <w:tcPr>
            <w:tcW w:w="373" w:type="pct"/>
            <w:tcBorders>
              <w:top w:val="single" w:color="auto" w:sz="4" w:space="0"/>
              <w:left w:val="single" w:color="auto" w:sz="4" w:space="0"/>
              <w:bottom w:val="single" w:color="auto" w:sz="4" w:space="0"/>
              <w:right w:val="single" w:color="auto" w:sz="4" w:space="0"/>
            </w:tcBorders>
          </w:tcPr>
          <w:p w14:paraId="048645F8">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733" w:type="pct"/>
            <w:tcBorders>
              <w:top w:val="single" w:color="auto" w:sz="4" w:space="0"/>
              <w:left w:val="single" w:color="auto" w:sz="4" w:space="0"/>
              <w:bottom w:val="single" w:color="auto" w:sz="4" w:space="0"/>
              <w:right w:val="single" w:color="auto" w:sz="4" w:space="0"/>
            </w:tcBorders>
          </w:tcPr>
          <w:p w14:paraId="596946BA">
            <w:pPr>
              <w:spacing w:line="360" w:lineRule="auto"/>
              <w:rPr>
                <w:rFonts w:hint="default" w:ascii="Times New Roman" w:hAnsi="Times New Roman" w:cs="Times New Roman"/>
                <w:color w:val="auto"/>
                <w:szCs w:val="21"/>
                <w:highlight w:val="none"/>
              </w:rPr>
            </w:pPr>
          </w:p>
        </w:tc>
        <w:tc>
          <w:tcPr>
            <w:tcW w:w="528" w:type="pct"/>
            <w:tcBorders>
              <w:top w:val="single" w:color="auto" w:sz="4" w:space="0"/>
              <w:left w:val="single" w:color="auto" w:sz="4" w:space="0"/>
              <w:bottom w:val="single" w:color="auto" w:sz="4" w:space="0"/>
              <w:right w:val="single" w:color="auto" w:sz="4" w:space="0"/>
            </w:tcBorders>
          </w:tcPr>
          <w:p w14:paraId="2CA5DB47">
            <w:pPr>
              <w:spacing w:line="360" w:lineRule="auto"/>
              <w:rPr>
                <w:rFonts w:hint="default" w:ascii="Times New Roman" w:hAnsi="Times New Roman" w:cs="Times New Roman"/>
                <w:color w:val="auto"/>
                <w:szCs w:val="21"/>
                <w:highlight w:val="none"/>
              </w:rPr>
            </w:pPr>
          </w:p>
        </w:tc>
        <w:tc>
          <w:tcPr>
            <w:tcW w:w="616" w:type="pct"/>
            <w:tcBorders>
              <w:top w:val="single" w:color="auto" w:sz="4" w:space="0"/>
              <w:left w:val="single" w:color="auto" w:sz="4" w:space="0"/>
              <w:bottom w:val="single" w:color="auto" w:sz="4" w:space="0"/>
              <w:right w:val="single" w:color="auto" w:sz="4" w:space="0"/>
            </w:tcBorders>
          </w:tcPr>
          <w:p w14:paraId="6764D52C">
            <w:pPr>
              <w:spacing w:line="360" w:lineRule="auto"/>
              <w:rPr>
                <w:rFonts w:hint="default" w:ascii="Times New Roman" w:hAnsi="Times New Roman" w:cs="Times New Roman"/>
                <w:color w:val="auto"/>
                <w:szCs w:val="21"/>
                <w:highlight w:val="none"/>
              </w:rPr>
            </w:pPr>
          </w:p>
        </w:tc>
        <w:tc>
          <w:tcPr>
            <w:tcW w:w="760" w:type="pct"/>
            <w:tcBorders>
              <w:top w:val="single" w:color="auto" w:sz="4" w:space="0"/>
              <w:left w:val="single" w:color="auto" w:sz="4" w:space="0"/>
              <w:bottom w:val="single" w:color="auto" w:sz="4" w:space="0"/>
              <w:right w:val="single" w:color="auto" w:sz="4" w:space="0"/>
            </w:tcBorders>
          </w:tcPr>
          <w:p w14:paraId="15E48D39">
            <w:pPr>
              <w:spacing w:line="360" w:lineRule="auto"/>
              <w:rPr>
                <w:rFonts w:hint="default" w:ascii="Times New Roman" w:hAnsi="Times New Roman" w:cs="Times New Roman"/>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tcPr>
          <w:p w14:paraId="3B65A6F1">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71DCDF42">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0583F1CE">
            <w:pPr>
              <w:spacing w:line="360" w:lineRule="auto"/>
              <w:rPr>
                <w:rFonts w:hint="default" w:ascii="Times New Roman" w:hAnsi="Times New Roman" w:cs="Times New Roman"/>
                <w:color w:val="auto"/>
                <w:szCs w:val="21"/>
                <w:highlight w:val="none"/>
              </w:rPr>
            </w:pPr>
          </w:p>
        </w:tc>
      </w:tr>
      <w:tr w14:paraId="4B76B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pct"/>
          <w:jc w:val="center"/>
        </w:trPr>
        <w:tc>
          <w:tcPr>
            <w:tcW w:w="373" w:type="pct"/>
            <w:tcBorders>
              <w:top w:val="single" w:color="auto" w:sz="4" w:space="0"/>
              <w:left w:val="single" w:color="auto" w:sz="4" w:space="0"/>
              <w:bottom w:val="single" w:color="auto" w:sz="4" w:space="0"/>
              <w:right w:val="single" w:color="auto" w:sz="4" w:space="0"/>
            </w:tcBorders>
          </w:tcPr>
          <w:p w14:paraId="79C0B3E6">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733" w:type="pct"/>
            <w:tcBorders>
              <w:top w:val="single" w:color="auto" w:sz="4" w:space="0"/>
              <w:left w:val="single" w:color="auto" w:sz="4" w:space="0"/>
              <w:bottom w:val="single" w:color="auto" w:sz="4" w:space="0"/>
              <w:right w:val="single" w:color="auto" w:sz="4" w:space="0"/>
            </w:tcBorders>
          </w:tcPr>
          <w:p w14:paraId="632E6938">
            <w:pPr>
              <w:spacing w:line="360" w:lineRule="auto"/>
              <w:rPr>
                <w:rFonts w:hint="default" w:ascii="Times New Roman" w:hAnsi="Times New Roman" w:cs="Times New Roman"/>
                <w:color w:val="auto"/>
                <w:szCs w:val="21"/>
                <w:highlight w:val="none"/>
              </w:rPr>
            </w:pPr>
          </w:p>
        </w:tc>
        <w:tc>
          <w:tcPr>
            <w:tcW w:w="528" w:type="pct"/>
            <w:tcBorders>
              <w:top w:val="single" w:color="auto" w:sz="4" w:space="0"/>
              <w:left w:val="single" w:color="auto" w:sz="4" w:space="0"/>
              <w:bottom w:val="single" w:color="auto" w:sz="4" w:space="0"/>
              <w:right w:val="single" w:color="auto" w:sz="4" w:space="0"/>
            </w:tcBorders>
          </w:tcPr>
          <w:p w14:paraId="7A27C3BD">
            <w:pPr>
              <w:spacing w:line="360" w:lineRule="auto"/>
              <w:rPr>
                <w:rFonts w:hint="default" w:ascii="Times New Roman" w:hAnsi="Times New Roman" w:cs="Times New Roman"/>
                <w:color w:val="auto"/>
                <w:szCs w:val="21"/>
                <w:highlight w:val="none"/>
              </w:rPr>
            </w:pPr>
          </w:p>
        </w:tc>
        <w:tc>
          <w:tcPr>
            <w:tcW w:w="616" w:type="pct"/>
            <w:tcBorders>
              <w:top w:val="single" w:color="auto" w:sz="4" w:space="0"/>
              <w:left w:val="single" w:color="auto" w:sz="4" w:space="0"/>
              <w:bottom w:val="single" w:color="auto" w:sz="4" w:space="0"/>
              <w:right w:val="single" w:color="auto" w:sz="4" w:space="0"/>
            </w:tcBorders>
          </w:tcPr>
          <w:p w14:paraId="4E965D3B">
            <w:pPr>
              <w:spacing w:line="360" w:lineRule="auto"/>
              <w:rPr>
                <w:rFonts w:hint="default" w:ascii="Times New Roman" w:hAnsi="Times New Roman" w:cs="Times New Roman"/>
                <w:color w:val="auto"/>
                <w:szCs w:val="21"/>
                <w:highlight w:val="none"/>
              </w:rPr>
            </w:pPr>
          </w:p>
        </w:tc>
        <w:tc>
          <w:tcPr>
            <w:tcW w:w="760" w:type="pct"/>
            <w:tcBorders>
              <w:top w:val="single" w:color="auto" w:sz="4" w:space="0"/>
              <w:left w:val="single" w:color="auto" w:sz="4" w:space="0"/>
              <w:bottom w:val="single" w:color="auto" w:sz="4" w:space="0"/>
              <w:right w:val="single" w:color="auto" w:sz="4" w:space="0"/>
            </w:tcBorders>
          </w:tcPr>
          <w:p w14:paraId="7B2C793B">
            <w:pPr>
              <w:spacing w:line="360" w:lineRule="auto"/>
              <w:rPr>
                <w:rFonts w:hint="default" w:ascii="Times New Roman" w:hAnsi="Times New Roman" w:cs="Times New Roman"/>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tcPr>
          <w:p w14:paraId="78C8CF9E">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73DA2365">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452EF134">
            <w:pPr>
              <w:spacing w:line="360" w:lineRule="auto"/>
              <w:rPr>
                <w:rFonts w:hint="default" w:ascii="Times New Roman" w:hAnsi="Times New Roman" w:cs="Times New Roman"/>
                <w:color w:val="auto"/>
                <w:szCs w:val="21"/>
                <w:highlight w:val="none"/>
              </w:rPr>
            </w:pPr>
          </w:p>
        </w:tc>
      </w:tr>
      <w:tr w14:paraId="748EDA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pct"/>
          <w:jc w:val="center"/>
        </w:trPr>
        <w:tc>
          <w:tcPr>
            <w:tcW w:w="373" w:type="pct"/>
            <w:tcBorders>
              <w:top w:val="single" w:color="auto" w:sz="4" w:space="0"/>
              <w:left w:val="single" w:color="auto" w:sz="4" w:space="0"/>
              <w:bottom w:val="single" w:color="auto" w:sz="4" w:space="0"/>
              <w:right w:val="single" w:color="auto" w:sz="4" w:space="0"/>
            </w:tcBorders>
          </w:tcPr>
          <w:p w14:paraId="7B31B389">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733" w:type="pct"/>
            <w:tcBorders>
              <w:top w:val="single" w:color="auto" w:sz="4" w:space="0"/>
              <w:left w:val="single" w:color="auto" w:sz="4" w:space="0"/>
              <w:bottom w:val="single" w:color="auto" w:sz="4" w:space="0"/>
              <w:right w:val="single" w:color="auto" w:sz="4" w:space="0"/>
            </w:tcBorders>
          </w:tcPr>
          <w:p w14:paraId="57F6683A">
            <w:pPr>
              <w:spacing w:line="360" w:lineRule="auto"/>
              <w:rPr>
                <w:rFonts w:hint="default" w:ascii="Times New Roman" w:hAnsi="Times New Roman" w:cs="Times New Roman"/>
                <w:color w:val="auto"/>
                <w:szCs w:val="21"/>
                <w:highlight w:val="none"/>
              </w:rPr>
            </w:pPr>
          </w:p>
        </w:tc>
        <w:tc>
          <w:tcPr>
            <w:tcW w:w="528" w:type="pct"/>
            <w:tcBorders>
              <w:top w:val="single" w:color="auto" w:sz="4" w:space="0"/>
              <w:left w:val="single" w:color="auto" w:sz="4" w:space="0"/>
              <w:bottom w:val="single" w:color="auto" w:sz="4" w:space="0"/>
              <w:right w:val="single" w:color="auto" w:sz="4" w:space="0"/>
            </w:tcBorders>
          </w:tcPr>
          <w:p w14:paraId="1F923777">
            <w:pPr>
              <w:spacing w:line="360" w:lineRule="auto"/>
              <w:rPr>
                <w:rFonts w:hint="default" w:ascii="Times New Roman" w:hAnsi="Times New Roman" w:cs="Times New Roman"/>
                <w:color w:val="auto"/>
                <w:szCs w:val="21"/>
                <w:highlight w:val="none"/>
              </w:rPr>
            </w:pPr>
          </w:p>
        </w:tc>
        <w:tc>
          <w:tcPr>
            <w:tcW w:w="616" w:type="pct"/>
            <w:tcBorders>
              <w:top w:val="single" w:color="auto" w:sz="4" w:space="0"/>
              <w:left w:val="single" w:color="auto" w:sz="4" w:space="0"/>
              <w:bottom w:val="single" w:color="auto" w:sz="4" w:space="0"/>
              <w:right w:val="single" w:color="auto" w:sz="4" w:space="0"/>
            </w:tcBorders>
          </w:tcPr>
          <w:p w14:paraId="47927C52">
            <w:pPr>
              <w:spacing w:line="360" w:lineRule="auto"/>
              <w:rPr>
                <w:rFonts w:hint="default" w:ascii="Times New Roman" w:hAnsi="Times New Roman" w:cs="Times New Roman"/>
                <w:color w:val="auto"/>
                <w:szCs w:val="21"/>
                <w:highlight w:val="none"/>
              </w:rPr>
            </w:pPr>
          </w:p>
        </w:tc>
        <w:tc>
          <w:tcPr>
            <w:tcW w:w="760" w:type="pct"/>
            <w:tcBorders>
              <w:top w:val="single" w:color="auto" w:sz="4" w:space="0"/>
              <w:left w:val="single" w:color="auto" w:sz="4" w:space="0"/>
              <w:bottom w:val="single" w:color="auto" w:sz="4" w:space="0"/>
              <w:right w:val="single" w:color="auto" w:sz="4" w:space="0"/>
            </w:tcBorders>
          </w:tcPr>
          <w:p w14:paraId="24EE8733">
            <w:pPr>
              <w:spacing w:line="360" w:lineRule="auto"/>
              <w:rPr>
                <w:rFonts w:hint="default" w:ascii="Times New Roman" w:hAnsi="Times New Roman" w:cs="Times New Roman"/>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tcPr>
          <w:p w14:paraId="2EB05C5B">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47208411">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5ECC35BE">
            <w:pPr>
              <w:spacing w:line="360" w:lineRule="auto"/>
              <w:rPr>
                <w:rFonts w:hint="default" w:ascii="Times New Roman" w:hAnsi="Times New Roman" w:cs="Times New Roman"/>
                <w:color w:val="auto"/>
                <w:szCs w:val="21"/>
                <w:highlight w:val="none"/>
              </w:rPr>
            </w:pPr>
          </w:p>
        </w:tc>
      </w:tr>
      <w:tr w14:paraId="2E9329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6" w:type="pct"/>
          <w:jc w:val="center"/>
        </w:trPr>
        <w:tc>
          <w:tcPr>
            <w:tcW w:w="373" w:type="pct"/>
            <w:tcBorders>
              <w:top w:val="single" w:color="auto" w:sz="4" w:space="0"/>
              <w:left w:val="single" w:color="auto" w:sz="4" w:space="0"/>
              <w:bottom w:val="single" w:color="auto" w:sz="4" w:space="0"/>
              <w:right w:val="single" w:color="auto" w:sz="4" w:space="0"/>
            </w:tcBorders>
          </w:tcPr>
          <w:p w14:paraId="4222D10F">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733" w:type="pct"/>
            <w:tcBorders>
              <w:top w:val="single" w:color="auto" w:sz="4" w:space="0"/>
              <w:left w:val="single" w:color="auto" w:sz="4" w:space="0"/>
              <w:bottom w:val="single" w:color="auto" w:sz="4" w:space="0"/>
              <w:right w:val="single" w:color="auto" w:sz="4" w:space="0"/>
            </w:tcBorders>
          </w:tcPr>
          <w:p w14:paraId="39A2DE72">
            <w:pPr>
              <w:spacing w:line="360" w:lineRule="auto"/>
              <w:rPr>
                <w:rFonts w:hint="default" w:ascii="Times New Roman" w:hAnsi="Times New Roman" w:cs="Times New Roman"/>
                <w:color w:val="auto"/>
                <w:szCs w:val="21"/>
                <w:highlight w:val="none"/>
              </w:rPr>
            </w:pPr>
          </w:p>
        </w:tc>
        <w:tc>
          <w:tcPr>
            <w:tcW w:w="528" w:type="pct"/>
            <w:tcBorders>
              <w:top w:val="single" w:color="auto" w:sz="4" w:space="0"/>
              <w:left w:val="single" w:color="auto" w:sz="4" w:space="0"/>
              <w:bottom w:val="single" w:color="auto" w:sz="4" w:space="0"/>
              <w:right w:val="single" w:color="auto" w:sz="4" w:space="0"/>
            </w:tcBorders>
          </w:tcPr>
          <w:p w14:paraId="07AFEF9D">
            <w:pPr>
              <w:spacing w:line="360" w:lineRule="auto"/>
              <w:rPr>
                <w:rFonts w:hint="default" w:ascii="Times New Roman" w:hAnsi="Times New Roman" w:cs="Times New Roman"/>
                <w:color w:val="auto"/>
                <w:szCs w:val="21"/>
                <w:highlight w:val="none"/>
              </w:rPr>
            </w:pPr>
          </w:p>
        </w:tc>
        <w:tc>
          <w:tcPr>
            <w:tcW w:w="616" w:type="pct"/>
            <w:tcBorders>
              <w:top w:val="single" w:color="auto" w:sz="4" w:space="0"/>
              <w:left w:val="single" w:color="auto" w:sz="4" w:space="0"/>
              <w:bottom w:val="single" w:color="auto" w:sz="4" w:space="0"/>
              <w:right w:val="single" w:color="auto" w:sz="4" w:space="0"/>
            </w:tcBorders>
          </w:tcPr>
          <w:p w14:paraId="76EA2862">
            <w:pPr>
              <w:spacing w:line="360" w:lineRule="auto"/>
              <w:rPr>
                <w:rFonts w:hint="default" w:ascii="Times New Roman" w:hAnsi="Times New Roman" w:cs="Times New Roman"/>
                <w:color w:val="auto"/>
                <w:szCs w:val="21"/>
                <w:highlight w:val="none"/>
              </w:rPr>
            </w:pPr>
          </w:p>
        </w:tc>
        <w:tc>
          <w:tcPr>
            <w:tcW w:w="760" w:type="pct"/>
            <w:tcBorders>
              <w:top w:val="single" w:color="auto" w:sz="4" w:space="0"/>
              <w:left w:val="single" w:color="auto" w:sz="4" w:space="0"/>
              <w:bottom w:val="single" w:color="auto" w:sz="4" w:space="0"/>
              <w:right w:val="single" w:color="auto" w:sz="4" w:space="0"/>
            </w:tcBorders>
          </w:tcPr>
          <w:p w14:paraId="013F4B80">
            <w:pPr>
              <w:spacing w:line="360" w:lineRule="auto"/>
              <w:rPr>
                <w:rFonts w:hint="default" w:ascii="Times New Roman" w:hAnsi="Times New Roman" w:cs="Times New Roman"/>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tcPr>
          <w:p w14:paraId="0316DAD7">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62EED6A5">
            <w:pPr>
              <w:spacing w:line="360" w:lineRule="auto"/>
              <w:rPr>
                <w:rFonts w:hint="default" w:ascii="Times New Roman" w:hAnsi="Times New Roman" w:cs="Times New Roman"/>
                <w:color w:val="auto"/>
                <w:szCs w:val="21"/>
                <w:highlight w:val="none"/>
              </w:rPr>
            </w:pPr>
          </w:p>
        </w:tc>
        <w:tc>
          <w:tcPr>
            <w:tcW w:w="740" w:type="pct"/>
            <w:tcBorders>
              <w:top w:val="single" w:color="auto" w:sz="4" w:space="0"/>
              <w:left w:val="single" w:color="auto" w:sz="4" w:space="0"/>
              <w:bottom w:val="single" w:color="auto" w:sz="4" w:space="0"/>
              <w:right w:val="single" w:color="auto" w:sz="4" w:space="0"/>
            </w:tcBorders>
          </w:tcPr>
          <w:p w14:paraId="4BA0284A">
            <w:pPr>
              <w:spacing w:line="360" w:lineRule="auto"/>
              <w:rPr>
                <w:rFonts w:hint="default" w:ascii="Times New Roman" w:hAnsi="Times New Roman" w:cs="Times New Roman"/>
                <w:color w:val="auto"/>
                <w:szCs w:val="21"/>
                <w:highlight w:val="none"/>
              </w:rPr>
            </w:pPr>
          </w:p>
        </w:tc>
      </w:tr>
      <w:tr w14:paraId="705B9A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52" w:type="pct"/>
            <w:gridSpan w:val="4"/>
            <w:tcBorders>
              <w:top w:val="single" w:color="auto" w:sz="4" w:space="0"/>
              <w:left w:val="single" w:color="auto" w:sz="4" w:space="0"/>
              <w:bottom w:val="single" w:color="auto" w:sz="4" w:space="0"/>
              <w:right w:val="single" w:color="auto" w:sz="4" w:space="0"/>
            </w:tcBorders>
          </w:tcPr>
          <w:p w14:paraId="17F48E17">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投标总价合计（元）：</w:t>
            </w:r>
          </w:p>
        </w:tc>
        <w:tc>
          <w:tcPr>
            <w:tcW w:w="2747" w:type="pct"/>
            <w:gridSpan w:val="5"/>
            <w:tcBorders>
              <w:top w:val="single" w:color="auto" w:sz="4" w:space="0"/>
              <w:left w:val="single" w:color="auto" w:sz="4" w:space="0"/>
              <w:bottom w:val="single" w:color="auto" w:sz="4" w:space="0"/>
              <w:right w:val="single" w:color="auto" w:sz="4" w:space="0"/>
            </w:tcBorders>
          </w:tcPr>
          <w:p w14:paraId="62334B73">
            <w:pPr>
              <w:spacing w:line="360" w:lineRule="auto"/>
              <w:rPr>
                <w:rFonts w:hint="default" w:ascii="Times New Roman" w:hAnsi="Times New Roman" w:cs="Times New Roman"/>
                <w:color w:val="auto"/>
                <w:szCs w:val="21"/>
                <w:highlight w:val="none"/>
              </w:rPr>
            </w:pPr>
          </w:p>
        </w:tc>
      </w:tr>
    </w:tbl>
    <w:p w14:paraId="2D15A14D">
      <w:pPr>
        <w:rPr>
          <w:rFonts w:hint="default" w:ascii="Times New Roman" w:hAnsi="Times New Roman" w:cs="Times New Roman"/>
          <w:color w:val="auto"/>
          <w:highlight w:val="none"/>
        </w:rPr>
      </w:pPr>
    </w:p>
    <w:p w14:paraId="4E899A2A">
      <w:pPr>
        <w:rPr>
          <w:rFonts w:hint="default" w:ascii="Times New Roman" w:hAnsi="Times New Roman" w:cs="Times New Roman"/>
          <w:color w:val="auto"/>
          <w:highlight w:val="none"/>
        </w:rPr>
      </w:pPr>
    </w:p>
    <w:p w14:paraId="20872A23">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3ED7F89B">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362F8DC3">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p>
    <w:p w14:paraId="2A439F77">
      <w:pPr>
        <w:rPr>
          <w:rFonts w:hint="default" w:ascii="Times New Roman" w:hAnsi="Times New Roman" w:cs="Times New Roman"/>
          <w:color w:val="auto"/>
          <w:highlight w:val="none"/>
        </w:rPr>
      </w:pPr>
    </w:p>
    <w:p w14:paraId="054B73E0">
      <w:pPr>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注：1.投标人应根据其项目情况提供详细分项报价。投标人应对上述每项内容列明组成的详细分项价格。</w:t>
      </w:r>
    </w:p>
    <w:p w14:paraId="3FCDD532">
      <w:pPr>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2.如果不提供详细分项报价将视为没有实质性响应招标文件。</w:t>
      </w:r>
    </w:p>
    <w:p w14:paraId="6DAB95ED">
      <w:pPr>
        <w:spacing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3.本采购项目中含有多种产品时，供应商未填写本采购项目中提供的符合本国产品标准的产品成本之和占该采购项目提供的全部产品成本之和的比例数值的，或比例数值未达到80%的，将不享受本国产品价格评审优惠。</w:t>
      </w:r>
    </w:p>
    <w:p w14:paraId="430F787E">
      <w:pPr>
        <w:spacing w:line="360" w:lineRule="auto"/>
        <w:ind w:firstLine="420" w:firstLineChars="200"/>
        <w:rPr>
          <w:rFonts w:hint="default" w:ascii="Times New Roman" w:hAnsi="Times New Roman" w:cs="Times New Roman"/>
          <w:color w:val="auto"/>
          <w:highlight w:val="none"/>
        </w:rPr>
        <w:sectPr>
          <w:pgSz w:w="11906" w:h="16838"/>
          <w:pgMar w:top="1134" w:right="1134" w:bottom="1134" w:left="1134" w:header="851" w:footer="992" w:gutter="0"/>
          <w:cols w:space="720" w:num="1"/>
          <w:titlePg/>
          <w:docGrid w:type="lines" w:linePitch="312" w:charSpace="0"/>
        </w:sectPr>
      </w:pPr>
      <w:r>
        <w:rPr>
          <w:rFonts w:hint="default" w:ascii="Times New Roman" w:hAnsi="Times New Roman" w:cs="Times New Roman"/>
          <w:color w:val="auto"/>
          <w:highlight w:val="none"/>
        </w:rPr>
        <w:t>4.表中表格行数可自行添加。</w:t>
      </w:r>
    </w:p>
    <w:p w14:paraId="6E051A11">
      <w:pPr>
        <w:spacing w:line="360" w:lineRule="auto"/>
        <w:outlineLvl w:val="1"/>
        <w:rPr>
          <w:rFonts w:hint="default" w:ascii="Times New Roman" w:hAnsi="Times New Roman" w:cs="Times New Roman"/>
          <w:b/>
          <w:bCs/>
          <w:color w:val="auto"/>
          <w:sz w:val="24"/>
          <w:szCs w:val="22"/>
          <w:highlight w:val="none"/>
        </w:rPr>
      </w:pPr>
      <w:bookmarkStart w:id="238" w:name="_Toc31558"/>
      <w:bookmarkStart w:id="239" w:name="_Toc40"/>
      <w:r>
        <w:rPr>
          <w:rFonts w:hint="default" w:ascii="Times New Roman" w:hAnsi="Times New Roman" w:cs="Times New Roman"/>
          <w:b/>
          <w:bCs/>
          <w:color w:val="auto"/>
          <w:sz w:val="24"/>
          <w:szCs w:val="22"/>
          <w:highlight w:val="none"/>
        </w:rPr>
        <w:t>附件四 商务条款偏离表</w:t>
      </w:r>
      <w:bookmarkEnd w:id="238"/>
      <w:bookmarkEnd w:id="239"/>
    </w:p>
    <w:tbl>
      <w:tblPr>
        <w:tblStyle w:val="47"/>
        <w:tblW w:w="499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2"/>
        <w:gridCol w:w="3664"/>
        <w:gridCol w:w="3703"/>
        <w:gridCol w:w="1625"/>
      </w:tblGrid>
      <w:tr w14:paraId="30439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428" w:type="pct"/>
            <w:tcBorders>
              <w:top w:val="single" w:color="auto" w:sz="4" w:space="0"/>
              <w:left w:val="single" w:color="auto" w:sz="4" w:space="0"/>
              <w:bottom w:val="single" w:color="auto" w:sz="4" w:space="0"/>
              <w:right w:val="single" w:color="auto" w:sz="4" w:space="0"/>
            </w:tcBorders>
            <w:vAlign w:val="center"/>
          </w:tcPr>
          <w:p w14:paraId="00CA94EF">
            <w:pPr>
              <w:snapToGri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862" w:type="pct"/>
            <w:tcBorders>
              <w:top w:val="single" w:color="auto" w:sz="4" w:space="0"/>
              <w:left w:val="single" w:color="auto" w:sz="4" w:space="0"/>
              <w:bottom w:val="single" w:color="auto" w:sz="4" w:space="0"/>
              <w:right w:val="single" w:color="auto" w:sz="4" w:space="0"/>
            </w:tcBorders>
            <w:vAlign w:val="center"/>
          </w:tcPr>
          <w:p w14:paraId="00425E6F">
            <w:pPr>
              <w:snapToGri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招标文件的商务条款</w:t>
            </w:r>
          </w:p>
        </w:tc>
        <w:tc>
          <w:tcPr>
            <w:tcW w:w="1882" w:type="pct"/>
            <w:tcBorders>
              <w:top w:val="single" w:color="auto" w:sz="4" w:space="0"/>
              <w:left w:val="single" w:color="auto" w:sz="4" w:space="0"/>
              <w:bottom w:val="single" w:color="auto" w:sz="4" w:space="0"/>
              <w:right w:val="single" w:color="auto" w:sz="4" w:space="0"/>
            </w:tcBorders>
            <w:vAlign w:val="center"/>
          </w:tcPr>
          <w:p w14:paraId="31425E94">
            <w:pPr>
              <w:snapToGri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投标文件响应</w:t>
            </w:r>
          </w:p>
        </w:tc>
        <w:tc>
          <w:tcPr>
            <w:tcW w:w="826" w:type="pct"/>
            <w:tcBorders>
              <w:top w:val="single" w:color="auto" w:sz="4" w:space="0"/>
              <w:left w:val="single" w:color="auto" w:sz="4" w:space="0"/>
              <w:bottom w:val="single" w:color="auto" w:sz="4" w:space="0"/>
              <w:right w:val="single" w:color="auto" w:sz="4" w:space="0"/>
            </w:tcBorders>
            <w:vAlign w:val="center"/>
          </w:tcPr>
          <w:p w14:paraId="6ABAB981">
            <w:pPr>
              <w:snapToGrid w:val="0"/>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供应商的承诺或说明</w:t>
            </w:r>
          </w:p>
        </w:tc>
      </w:tr>
      <w:tr w14:paraId="5DE4AF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428" w:type="pct"/>
            <w:tcBorders>
              <w:top w:val="single" w:color="auto" w:sz="4" w:space="0"/>
              <w:left w:val="single" w:color="auto" w:sz="4" w:space="0"/>
              <w:bottom w:val="single" w:color="auto" w:sz="4" w:space="0"/>
              <w:right w:val="single" w:color="auto" w:sz="4" w:space="0"/>
            </w:tcBorders>
            <w:vAlign w:val="center"/>
          </w:tcPr>
          <w:p w14:paraId="519CB378">
            <w:pPr>
              <w:snapToGrid w:val="0"/>
              <w:spacing w:line="360" w:lineRule="auto"/>
              <w:jc w:val="center"/>
              <w:rPr>
                <w:rFonts w:hint="default" w:ascii="Times New Roman" w:hAnsi="Times New Roman" w:cs="Times New Roman"/>
                <w:color w:val="auto"/>
                <w:szCs w:val="21"/>
                <w:highlight w:val="none"/>
              </w:rPr>
            </w:pPr>
          </w:p>
        </w:tc>
        <w:tc>
          <w:tcPr>
            <w:tcW w:w="1862" w:type="pct"/>
            <w:tcBorders>
              <w:top w:val="single" w:color="auto" w:sz="4" w:space="0"/>
              <w:left w:val="single" w:color="auto" w:sz="4" w:space="0"/>
              <w:bottom w:val="single" w:color="auto" w:sz="4" w:space="0"/>
              <w:right w:val="single" w:color="auto" w:sz="4" w:space="0"/>
            </w:tcBorders>
            <w:vAlign w:val="center"/>
          </w:tcPr>
          <w:p w14:paraId="37D11DE4">
            <w:pPr>
              <w:snapToGrid w:val="0"/>
              <w:spacing w:line="360" w:lineRule="auto"/>
              <w:jc w:val="center"/>
              <w:rPr>
                <w:rFonts w:hint="default" w:ascii="Times New Roman" w:hAnsi="Times New Roman" w:cs="Times New Roman"/>
                <w:color w:val="auto"/>
                <w:szCs w:val="21"/>
                <w:highlight w:val="none"/>
              </w:rPr>
            </w:pPr>
          </w:p>
        </w:tc>
        <w:tc>
          <w:tcPr>
            <w:tcW w:w="1882" w:type="pct"/>
            <w:tcBorders>
              <w:top w:val="single" w:color="auto" w:sz="4" w:space="0"/>
              <w:left w:val="single" w:color="auto" w:sz="4" w:space="0"/>
              <w:bottom w:val="single" w:color="auto" w:sz="4" w:space="0"/>
              <w:right w:val="single" w:color="auto" w:sz="4" w:space="0"/>
            </w:tcBorders>
            <w:vAlign w:val="center"/>
          </w:tcPr>
          <w:p w14:paraId="3594547B">
            <w:pPr>
              <w:snapToGrid w:val="0"/>
              <w:spacing w:line="360" w:lineRule="auto"/>
              <w:jc w:val="center"/>
              <w:rPr>
                <w:rFonts w:hint="default" w:ascii="Times New Roman" w:hAnsi="Times New Roman" w:cs="Times New Roman"/>
                <w:color w:val="auto"/>
                <w:szCs w:val="21"/>
                <w:highlight w:val="none"/>
              </w:rPr>
            </w:pPr>
          </w:p>
        </w:tc>
        <w:tc>
          <w:tcPr>
            <w:tcW w:w="826" w:type="pct"/>
            <w:tcBorders>
              <w:top w:val="single" w:color="auto" w:sz="4" w:space="0"/>
              <w:left w:val="single" w:color="auto" w:sz="4" w:space="0"/>
              <w:bottom w:val="single" w:color="auto" w:sz="4" w:space="0"/>
              <w:right w:val="single" w:color="auto" w:sz="4" w:space="0"/>
            </w:tcBorders>
            <w:vAlign w:val="center"/>
          </w:tcPr>
          <w:p w14:paraId="4578839C">
            <w:pPr>
              <w:snapToGrid w:val="0"/>
              <w:spacing w:line="360" w:lineRule="auto"/>
              <w:jc w:val="center"/>
              <w:rPr>
                <w:rFonts w:hint="default" w:ascii="Times New Roman" w:hAnsi="Times New Roman" w:cs="Times New Roman"/>
                <w:color w:val="auto"/>
                <w:szCs w:val="21"/>
                <w:highlight w:val="none"/>
              </w:rPr>
            </w:pPr>
          </w:p>
        </w:tc>
      </w:tr>
      <w:tr w14:paraId="2D905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428" w:type="pct"/>
            <w:tcBorders>
              <w:top w:val="single" w:color="auto" w:sz="4" w:space="0"/>
              <w:left w:val="single" w:color="auto" w:sz="4" w:space="0"/>
              <w:bottom w:val="single" w:color="auto" w:sz="4" w:space="0"/>
              <w:right w:val="single" w:color="auto" w:sz="4" w:space="0"/>
            </w:tcBorders>
            <w:vAlign w:val="center"/>
          </w:tcPr>
          <w:p w14:paraId="56857EB6">
            <w:pPr>
              <w:snapToGrid w:val="0"/>
              <w:spacing w:line="360" w:lineRule="auto"/>
              <w:jc w:val="center"/>
              <w:rPr>
                <w:rFonts w:hint="default" w:ascii="Times New Roman" w:hAnsi="Times New Roman" w:cs="Times New Roman"/>
                <w:color w:val="auto"/>
                <w:szCs w:val="21"/>
                <w:highlight w:val="none"/>
              </w:rPr>
            </w:pPr>
          </w:p>
        </w:tc>
        <w:tc>
          <w:tcPr>
            <w:tcW w:w="1862" w:type="pct"/>
            <w:tcBorders>
              <w:top w:val="single" w:color="auto" w:sz="4" w:space="0"/>
              <w:left w:val="single" w:color="auto" w:sz="4" w:space="0"/>
              <w:bottom w:val="single" w:color="auto" w:sz="4" w:space="0"/>
              <w:right w:val="single" w:color="auto" w:sz="4" w:space="0"/>
            </w:tcBorders>
            <w:vAlign w:val="center"/>
          </w:tcPr>
          <w:p w14:paraId="66CD549E">
            <w:pPr>
              <w:snapToGrid w:val="0"/>
              <w:spacing w:line="360" w:lineRule="auto"/>
              <w:jc w:val="center"/>
              <w:rPr>
                <w:rFonts w:hint="default" w:ascii="Times New Roman" w:hAnsi="Times New Roman" w:cs="Times New Roman"/>
                <w:color w:val="auto"/>
                <w:szCs w:val="21"/>
                <w:highlight w:val="none"/>
              </w:rPr>
            </w:pPr>
          </w:p>
        </w:tc>
        <w:tc>
          <w:tcPr>
            <w:tcW w:w="1882" w:type="pct"/>
            <w:tcBorders>
              <w:top w:val="single" w:color="auto" w:sz="4" w:space="0"/>
              <w:left w:val="single" w:color="auto" w:sz="4" w:space="0"/>
              <w:bottom w:val="single" w:color="auto" w:sz="4" w:space="0"/>
              <w:right w:val="single" w:color="auto" w:sz="4" w:space="0"/>
            </w:tcBorders>
            <w:vAlign w:val="center"/>
          </w:tcPr>
          <w:p w14:paraId="3A49F472">
            <w:pPr>
              <w:snapToGrid w:val="0"/>
              <w:spacing w:line="360" w:lineRule="auto"/>
              <w:jc w:val="center"/>
              <w:rPr>
                <w:rFonts w:hint="default" w:ascii="Times New Roman" w:hAnsi="Times New Roman" w:cs="Times New Roman"/>
                <w:color w:val="auto"/>
                <w:szCs w:val="21"/>
                <w:highlight w:val="none"/>
              </w:rPr>
            </w:pPr>
          </w:p>
        </w:tc>
        <w:tc>
          <w:tcPr>
            <w:tcW w:w="826" w:type="pct"/>
            <w:tcBorders>
              <w:top w:val="single" w:color="auto" w:sz="4" w:space="0"/>
              <w:left w:val="single" w:color="auto" w:sz="4" w:space="0"/>
              <w:bottom w:val="single" w:color="auto" w:sz="4" w:space="0"/>
              <w:right w:val="single" w:color="auto" w:sz="4" w:space="0"/>
            </w:tcBorders>
            <w:vAlign w:val="center"/>
          </w:tcPr>
          <w:p w14:paraId="1365EBD1">
            <w:pPr>
              <w:snapToGrid w:val="0"/>
              <w:spacing w:line="360" w:lineRule="auto"/>
              <w:jc w:val="center"/>
              <w:rPr>
                <w:rFonts w:hint="default" w:ascii="Times New Roman" w:hAnsi="Times New Roman" w:cs="Times New Roman"/>
                <w:color w:val="auto"/>
                <w:szCs w:val="21"/>
                <w:highlight w:val="none"/>
              </w:rPr>
            </w:pPr>
          </w:p>
        </w:tc>
      </w:tr>
      <w:tr w14:paraId="59C0F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28" w:type="pct"/>
            <w:tcBorders>
              <w:top w:val="single" w:color="auto" w:sz="4" w:space="0"/>
              <w:left w:val="single" w:color="auto" w:sz="4" w:space="0"/>
              <w:bottom w:val="single" w:color="auto" w:sz="4" w:space="0"/>
              <w:right w:val="single" w:color="auto" w:sz="4" w:space="0"/>
            </w:tcBorders>
            <w:vAlign w:val="center"/>
          </w:tcPr>
          <w:p w14:paraId="092C7859">
            <w:pPr>
              <w:snapToGrid w:val="0"/>
              <w:spacing w:line="360" w:lineRule="auto"/>
              <w:jc w:val="center"/>
              <w:rPr>
                <w:rFonts w:hint="default" w:ascii="Times New Roman" w:hAnsi="Times New Roman" w:cs="Times New Roman"/>
                <w:color w:val="auto"/>
                <w:kern w:val="0"/>
                <w:szCs w:val="21"/>
                <w:highlight w:val="none"/>
              </w:rPr>
            </w:pPr>
          </w:p>
        </w:tc>
        <w:tc>
          <w:tcPr>
            <w:tcW w:w="1862" w:type="pct"/>
            <w:tcBorders>
              <w:top w:val="single" w:color="auto" w:sz="4" w:space="0"/>
              <w:left w:val="single" w:color="auto" w:sz="4" w:space="0"/>
              <w:bottom w:val="single" w:color="auto" w:sz="4" w:space="0"/>
              <w:right w:val="single" w:color="auto" w:sz="4" w:space="0"/>
            </w:tcBorders>
            <w:vAlign w:val="center"/>
          </w:tcPr>
          <w:p w14:paraId="7BA9AC0C">
            <w:pPr>
              <w:snapToGrid w:val="0"/>
              <w:spacing w:line="360" w:lineRule="auto"/>
              <w:jc w:val="center"/>
              <w:rPr>
                <w:rFonts w:hint="default" w:ascii="Times New Roman" w:hAnsi="Times New Roman" w:cs="Times New Roman"/>
                <w:color w:val="auto"/>
                <w:szCs w:val="21"/>
                <w:highlight w:val="none"/>
              </w:rPr>
            </w:pPr>
          </w:p>
        </w:tc>
        <w:tc>
          <w:tcPr>
            <w:tcW w:w="1882" w:type="pct"/>
            <w:tcBorders>
              <w:top w:val="single" w:color="auto" w:sz="4" w:space="0"/>
              <w:left w:val="single" w:color="auto" w:sz="4" w:space="0"/>
              <w:bottom w:val="single" w:color="auto" w:sz="4" w:space="0"/>
              <w:right w:val="single" w:color="auto" w:sz="4" w:space="0"/>
            </w:tcBorders>
            <w:vAlign w:val="center"/>
          </w:tcPr>
          <w:p w14:paraId="3FF98F45">
            <w:pPr>
              <w:snapToGrid w:val="0"/>
              <w:spacing w:line="360" w:lineRule="auto"/>
              <w:ind w:left="43"/>
              <w:jc w:val="center"/>
              <w:rPr>
                <w:rFonts w:hint="default" w:ascii="Times New Roman" w:hAnsi="Times New Roman" w:cs="Times New Roman"/>
                <w:color w:val="auto"/>
                <w:szCs w:val="21"/>
                <w:highlight w:val="none"/>
              </w:rPr>
            </w:pPr>
          </w:p>
        </w:tc>
        <w:tc>
          <w:tcPr>
            <w:tcW w:w="826" w:type="pct"/>
            <w:tcBorders>
              <w:top w:val="single" w:color="auto" w:sz="4" w:space="0"/>
              <w:left w:val="single" w:color="auto" w:sz="4" w:space="0"/>
              <w:bottom w:val="single" w:color="auto" w:sz="4" w:space="0"/>
              <w:right w:val="single" w:color="auto" w:sz="4" w:space="0"/>
            </w:tcBorders>
            <w:vAlign w:val="center"/>
          </w:tcPr>
          <w:p w14:paraId="0A607888">
            <w:pPr>
              <w:snapToGrid w:val="0"/>
              <w:spacing w:line="360" w:lineRule="auto"/>
              <w:ind w:left="43"/>
              <w:jc w:val="center"/>
              <w:rPr>
                <w:rFonts w:hint="default" w:ascii="Times New Roman" w:hAnsi="Times New Roman" w:cs="Times New Roman"/>
                <w:color w:val="auto"/>
                <w:szCs w:val="21"/>
                <w:highlight w:val="none"/>
              </w:rPr>
            </w:pPr>
          </w:p>
        </w:tc>
      </w:tr>
      <w:tr w14:paraId="4B6866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428" w:type="pct"/>
            <w:tcBorders>
              <w:top w:val="single" w:color="auto" w:sz="4" w:space="0"/>
              <w:left w:val="single" w:color="auto" w:sz="4" w:space="0"/>
              <w:bottom w:val="single" w:color="auto" w:sz="4" w:space="0"/>
              <w:right w:val="single" w:color="auto" w:sz="4" w:space="0"/>
            </w:tcBorders>
            <w:vAlign w:val="center"/>
          </w:tcPr>
          <w:p w14:paraId="05D26000">
            <w:pPr>
              <w:snapToGrid w:val="0"/>
              <w:spacing w:line="360" w:lineRule="auto"/>
              <w:jc w:val="center"/>
              <w:rPr>
                <w:rFonts w:hint="default" w:ascii="Times New Roman" w:hAnsi="Times New Roman" w:cs="Times New Roman"/>
                <w:color w:val="auto"/>
                <w:szCs w:val="21"/>
                <w:highlight w:val="none"/>
              </w:rPr>
            </w:pPr>
          </w:p>
        </w:tc>
        <w:tc>
          <w:tcPr>
            <w:tcW w:w="1862" w:type="pct"/>
            <w:tcBorders>
              <w:top w:val="single" w:color="auto" w:sz="4" w:space="0"/>
              <w:left w:val="single" w:color="auto" w:sz="4" w:space="0"/>
              <w:bottom w:val="single" w:color="auto" w:sz="4" w:space="0"/>
              <w:right w:val="single" w:color="auto" w:sz="4" w:space="0"/>
            </w:tcBorders>
            <w:vAlign w:val="center"/>
          </w:tcPr>
          <w:p w14:paraId="72652780">
            <w:pPr>
              <w:snapToGrid w:val="0"/>
              <w:spacing w:line="360" w:lineRule="auto"/>
              <w:jc w:val="center"/>
              <w:rPr>
                <w:rFonts w:hint="default" w:ascii="Times New Roman" w:hAnsi="Times New Roman" w:cs="Times New Roman"/>
                <w:color w:val="auto"/>
                <w:szCs w:val="21"/>
                <w:highlight w:val="none"/>
              </w:rPr>
            </w:pPr>
          </w:p>
        </w:tc>
        <w:tc>
          <w:tcPr>
            <w:tcW w:w="1882" w:type="pct"/>
            <w:tcBorders>
              <w:top w:val="single" w:color="auto" w:sz="4" w:space="0"/>
              <w:left w:val="single" w:color="auto" w:sz="4" w:space="0"/>
              <w:bottom w:val="single" w:color="auto" w:sz="4" w:space="0"/>
              <w:right w:val="single" w:color="auto" w:sz="4" w:space="0"/>
            </w:tcBorders>
            <w:vAlign w:val="center"/>
          </w:tcPr>
          <w:p w14:paraId="3D225139">
            <w:pPr>
              <w:snapToGrid w:val="0"/>
              <w:spacing w:line="360" w:lineRule="auto"/>
              <w:ind w:left="43"/>
              <w:jc w:val="center"/>
              <w:rPr>
                <w:rFonts w:hint="default" w:ascii="Times New Roman" w:hAnsi="Times New Roman" w:cs="Times New Roman"/>
                <w:color w:val="auto"/>
                <w:szCs w:val="21"/>
                <w:highlight w:val="none"/>
              </w:rPr>
            </w:pPr>
          </w:p>
        </w:tc>
        <w:tc>
          <w:tcPr>
            <w:tcW w:w="826" w:type="pct"/>
            <w:tcBorders>
              <w:top w:val="single" w:color="auto" w:sz="4" w:space="0"/>
              <w:left w:val="single" w:color="auto" w:sz="4" w:space="0"/>
              <w:bottom w:val="single" w:color="auto" w:sz="4" w:space="0"/>
              <w:right w:val="single" w:color="auto" w:sz="4" w:space="0"/>
            </w:tcBorders>
            <w:vAlign w:val="center"/>
          </w:tcPr>
          <w:p w14:paraId="5641860F">
            <w:pPr>
              <w:snapToGrid w:val="0"/>
              <w:spacing w:line="360" w:lineRule="auto"/>
              <w:ind w:left="43"/>
              <w:jc w:val="center"/>
              <w:rPr>
                <w:rFonts w:hint="default" w:ascii="Times New Roman" w:hAnsi="Times New Roman" w:cs="Times New Roman"/>
                <w:color w:val="auto"/>
                <w:szCs w:val="21"/>
                <w:highlight w:val="none"/>
              </w:rPr>
            </w:pPr>
          </w:p>
        </w:tc>
      </w:tr>
      <w:tr w14:paraId="52EEDA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28" w:type="pct"/>
            <w:tcBorders>
              <w:top w:val="single" w:color="auto" w:sz="4" w:space="0"/>
              <w:left w:val="single" w:color="auto" w:sz="4" w:space="0"/>
              <w:bottom w:val="single" w:color="auto" w:sz="4" w:space="0"/>
              <w:right w:val="single" w:color="auto" w:sz="4" w:space="0"/>
            </w:tcBorders>
            <w:vAlign w:val="center"/>
          </w:tcPr>
          <w:p w14:paraId="2F9B507E">
            <w:pPr>
              <w:snapToGrid w:val="0"/>
              <w:spacing w:line="360" w:lineRule="auto"/>
              <w:jc w:val="center"/>
              <w:rPr>
                <w:rFonts w:hint="default" w:ascii="Times New Roman" w:hAnsi="Times New Roman" w:cs="Times New Roman"/>
                <w:color w:val="auto"/>
                <w:szCs w:val="21"/>
                <w:highlight w:val="none"/>
              </w:rPr>
            </w:pPr>
          </w:p>
        </w:tc>
        <w:tc>
          <w:tcPr>
            <w:tcW w:w="1862" w:type="pct"/>
            <w:tcBorders>
              <w:top w:val="single" w:color="auto" w:sz="4" w:space="0"/>
              <w:left w:val="single" w:color="auto" w:sz="4" w:space="0"/>
              <w:bottom w:val="single" w:color="auto" w:sz="4" w:space="0"/>
              <w:right w:val="single" w:color="auto" w:sz="4" w:space="0"/>
            </w:tcBorders>
            <w:vAlign w:val="center"/>
          </w:tcPr>
          <w:p w14:paraId="7652F2E0">
            <w:pPr>
              <w:snapToGrid w:val="0"/>
              <w:spacing w:line="360" w:lineRule="auto"/>
              <w:jc w:val="center"/>
              <w:rPr>
                <w:rFonts w:hint="default" w:ascii="Times New Roman" w:hAnsi="Times New Roman" w:cs="Times New Roman"/>
                <w:color w:val="auto"/>
                <w:szCs w:val="21"/>
                <w:highlight w:val="none"/>
              </w:rPr>
            </w:pPr>
          </w:p>
        </w:tc>
        <w:tc>
          <w:tcPr>
            <w:tcW w:w="1882" w:type="pct"/>
            <w:tcBorders>
              <w:top w:val="single" w:color="auto" w:sz="4" w:space="0"/>
              <w:left w:val="single" w:color="auto" w:sz="4" w:space="0"/>
              <w:bottom w:val="single" w:color="auto" w:sz="4" w:space="0"/>
              <w:right w:val="single" w:color="auto" w:sz="4" w:space="0"/>
            </w:tcBorders>
            <w:vAlign w:val="center"/>
          </w:tcPr>
          <w:p w14:paraId="78EE3F82">
            <w:pPr>
              <w:snapToGrid w:val="0"/>
              <w:spacing w:line="360" w:lineRule="auto"/>
              <w:ind w:left="43"/>
              <w:jc w:val="center"/>
              <w:rPr>
                <w:rFonts w:hint="default" w:ascii="Times New Roman" w:hAnsi="Times New Roman" w:cs="Times New Roman"/>
                <w:color w:val="auto"/>
                <w:szCs w:val="21"/>
                <w:highlight w:val="none"/>
              </w:rPr>
            </w:pPr>
          </w:p>
        </w:tc>
        <w:tc>
          <w:tcPr>
            <w:tcW w:w="826" w:type="pct"/>
            <w:tcBorders>
              <w:top w:val="single" w:color="auto" w:sz="4" w:space="0"/>
              <w:left w:val="single" w:color="auto" w:sz="4" w:space="0"/>
              <w:bottom w:val="single" w:color="auto" w:sz="4" w:space="0"/>
              <w:right w:val="single" w:color="auto" w:sz="4" w:space="0"/>
            </w:tcBorders>
            <w:vAlign w:val="center"/>
          </w:tcPr>
          <w:p w14:paraId="5003AE41">
            <w:pPr>
              <w:snapToGrid w:val="0"/>
              <w:spacing w:line="360" w:lineRule="auto"/>
              <w:ind w:left="43"/>
              <w:jc w:val="center"/>
              <w:rPr>
                <w:rFonts w:hint="default" w:ascii="Times New Roman" w:hAnsi="Times New Roman" w:cs="Times New Roman"/>
                <w:color w:val="auto"/>
                <w:szCs w:val="21"/>
                <w:highlight w:val="none"/>
              </w:rPr>
            </w:pPr>
          </w:p>
        </w:tc>
      </w:tr>
      <w:tr w14:paraId="0EFC1B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28" w:type="pct"/>
            <w:tcBorders>
              <w:top w:val="single" w:color="auto" w:sz="4" w:space="0"/>
              <w:left w:val="single" w:color="auto" w:sz="4" w:space="0"/>
              <w:bottom w:val="single" w:color="auto" w:sz="4" w:space="0"/>
              <w:right w:val="single" w:color="auto" w:sz="4" w:space="0"/>
            </w:tcBorders>
            <w:vAlign w:val="center"/>
          </w:tcPr>
          <w:p w14:paraId="0B635DD4">
            <w:pPr>
              <w:snapToGrid w:val="0"/>
              <w:spacing w:line="360" w:lineRule="auto"/>
              <w:jc w:val="center"/>
              <w:rPr>
                <w:rFonts w:hint="default" w:ascii="Times New Roman" w:hAnsi="Times New Roman" w:cs="Times New Roman"/>
                <w:color w:val="auto"/>
                <w:szCs w:val="21"/>
                <w:highlight w:val="none"/>
              </w:rPr>
            </w:pPr>
          </w:p>
        </w:tc>
        <w:tc>
          <w:tcPr>
            <w:tcW w:w="1862" w:type="pct"/>
            <w:tcBorders>
              <w:top w:val="single" w:color="auto" w:sz="4" w:space="0"/>
              <w:left w:val="single" w:color="auto" w:sz="4" w:space="0"/>
              <w:bottom w:val="single" w:color="auto" w:sz="4" w:space="0"/>
              <w:right w:val="single" w:color="auto" w:sz="4" w:space="0"/>
            </w:tcBorders>
            <w:vAlign w:val="center"/>
          </w:tcPr>
          <w:p w14:paraId="36EEDDE0">
            <w:pPr>
              <w:snapToGrid w:val="0"/>
              <w:spacing w:line="360" w:lineRule="auto"/>
              <w:jc w:val="center"/>
              <w:rPr>
                <w:rFonts w:hint="default" w:ascii="Times New Roman" w:hAnsi="Times New Roman" w:cs="Times New Roman"/>
                <w:color w:val="auto"/>
                <w:szCs w:val="21"/>
                <w:highlight w:val="none"/>
              </w:rPr>
            </w:pPr>
          </w:p>
        </w:tc>
        <w:tc>
          <w:tcPr>
            <w:tcW w:w="1882" w:type="pct"/>
            <w:tcBorders>
              <w:top w:val="single" w:color="auto" w:sz="4" w:space="0"/>
              <w:left w:val="single" w:color="auto" w:sz="4" w:space="0"/>
              <w:bottom w:val="single" w:color="auto" w:sz="4" w:space="0"/>
              <w:right w:val="single" w:color="auto" w:sz="4" w:space="0"/>
            </w:tcBorders>
            <w:vAlign w:val="center"/>
          </w:tcPr>
          <w:p w14:paraId="53320979">
            <w:pPr>
              <w:snapToGrid w:val="0"/>
              <w:spacing w:line="360" w:lineRule="auto"/>
              <w:ind w:left="43"/>
              <w:jc w:val="center"/>
              <w:rPr>
                <w:rFonts w:hint="default" w:ascii="Times New Roman" w:hAnsi="Times New Roman" w:cs="Times New Roman"/>
                <w:color w:val="auto"/>
                <w:szCs w:val="21"/>
                <w:highlight w:val="none"/>
              </w:rPr>
            </w:pPr>
          </w:p>
        </w:tc>
        <w:tc>
          <w:tcPr>
            <w:tcW w:w="826" w:type="pct"/>
            <w:tcBorders>
              <w:top w:val="single" w:color="auto" w:sz="4" w:space="0"/>
              <w:left w:val="single" w:color="auto" w:sz="4" w:space="0"/>
              <w:bottom w:val="single" w:color="auto" w:sz="4" w:space="0"/>
              <w:right w:val="single" w:color="auto" w:sz="4" w:space="0"/>
            </w:tcBorders>
            <w:vAlign w:val="center"/>
          </w:tcPr>
          <w:p w14:paraId="3A34CD68">
            <w:pPr>
              <w:snapToGrid w:val="0"/>
              <w:spacing w:line="360" w:lineRule="auto"/>
              <w:ind w:left="43"/>
              <w:jc w:val="center"/>
              <w:rPr>
                <w:rFonts w:hint="default" w:ascii="Times New Roman" w:hAnsi="Times New Roman" w:cs="Times New Roman"/>
                <w:color w:val="auto"/>
                <w:szCs w:val="21"/>
                <w:highlight w:val="none"/>
              </w:rPr>
            </w:pPr>
          </w:p>
        </w:tc>
      </w:tr>
    </w:tbl>
    <w:p w14:paraId="5ECB4A8C">
      <w:pPr>
        <w:rPr>
          <w:rFonts w:hint="default" w:ascii="Times New Roman" w:hAnsi="Times New Roman" w:cs="Times New Roman"/>
          <w:color w:val="auto"/>
          <w:highlight w:val="none"/>
        </w:rPr>
      </w:pPr>
    </w:p>
    <w:p w14:paraId="73625D36">
      <w:pPr>
        <w:rPr>
          <w:rFonts w:hint="default" w:ascii="Times New Roman" w:hAnsi="Times New Roman" w:cs="Times New Roman"/>
          <w:color w:val="auto"/>
          <w:highlight w:val="none"/>
        </w:rPr>
      </w:pPr>
    </w:p>
    <w:p w14:paraId="4A29F2D2">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69336EAF">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27AD44AF">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p>
    <w:p w14:paraId="02AB92AD">
      <w:pPr>
        <w:rPr>
          <w:rFonts w:hint="default" w:ascii="Times New Roman" w:hAnsi="Times New Roman" w:cs="Times New Roman"/>
          <w:color w:val="auto"/>
          <w:highlight w:val="none"/>
        </w:rPr>
      </w:pPr>
    </w:p>
    <w:p w14:paraId="053E6438">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注：1、供应商如对包括</w:t>
      </w:r>
      <w:r>
        <w:rPr>
          <w:rFonts w:hint="default" w:ascii="Times New Roman" w:hAnsi="Times New Roman" w:cs="Times New Roman"/>
          <w:b/>
          <w:bCs/>
          <w:color w:val="auto"/>
          <w:szCs w:val="21"/>
          <w:highlight w:val="none"/>
        </w:rPr>
        <w:t>合同履行期限（交货期）、质保期、付款方式、合同文本等</w:t>
      </w:r>
      <w:r>
        <w:rPr>
          <w:rFonts w:hint="default" w:ascii="Times New Roman" w:hAnsi="Times New Roman" w:cs="Times New Roman"/>
          <w:color w:val="auto"/>
          <w:szCs w:val="21"/>
          <w:highlight w:val="none"/>
        </w:rPr>
        <w:t>商务条款的响应有任何偏离，请在本表中详细填写。如不列出，则视为供应商完全同意招标文件的商务条款。</w:t>
      </w:r>
    </w:p>
    <w:p w14:paraId="5D631A2F">
      <w:pPr>
        <w:numPr>
          <w:ilvl w:val="0"/>
          <w:numId w:val="1"/>
        </w:num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“供应商的承诺或说明”栏请注明“响应/正偏离/负偏离”，正偏离指供应商的响应高于招标文件要求，负偏离指供应商的响应低于招标文件要求。</w:t>
      </w:r>
    </w:p>
    <w:p w14:paraId="50A00543">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3、如果行数不够，请自行增加。</w:t>
      </w:r>
    </w:p>
    <w:p w14:paraId="76D4FD26">
      <w:pPr>
        <w:spacing w:line="440" w:lineRule="exact"/>
        <w:ind w:right="-334"/>
        <w:rPr>
          <w:rFonts w:hint="default" w:ascii="Times New Roman" w:hAnsi="Times New Roman" w:cs="Times New Roman"/>
          <w:color w:val="auto"/>
          <w:sz w:val="24"/>
          <w:highlight w:val="none"/>
        </w:rPr>
      </w:pPr>
    </w:p>
    <w:p w14:paraId="4CEA8413">
      <w:pPr>
        <w:spacing w:line="440" w:lineRule="exact"/>
        <w:ind w:right="-334"/>
        <w:rPr>
          <w:rFonts w:hint="default" w:ascii="Times New Roman" w:hAnsi="Times New Roman" w:cs="Times New Roman"/>
          <w:color w:val="auto"/>
          <w:sz w:val="24"/>
          <w:highlight w:val="none"/>
        </w:rPr>
        <w:sectPr>
          <w:pgSz w:w="11906" w:h="16838"/>
          <w:pgMar w:top="1134" w:right="1134" w:bottom="1134" w:left="1134" w:header="851" w:footer="992" w:gutter="0"/>
          <w:cols w:space="720" w:num="1"/>
          <w:titlePg/>
          <w:docGrid w:type="lines" w:linePitch="312" w:charSpace="0"/>
        </w:sectPr>
      </w:pPr>
    </w:p>
    <w:p w14:paraId="3D76C30C">
      <w:pPr>
        <w:spacing w:after="156" w:afterLines="50" w:line="360" w:lineRule="auto"/>
        <w:outlineLvl w:val="1"/>
        <w:rPr>
          <w:rFonts w:hint="default" w:ascii="Times New Roman" w:hAnsi="Times New Roman" w:cs="Times New Roman"/>
          <w:b/>
          <w:bCs/>
          <w:color w:val="auto"/>
          <w:sz w:val="24"/>
          <w:szCs w:val="22"/>
          <w:highlight w:val="none"/>
        </w:rPr>
      </w:pPr>
      <w:bookmarkStart w:id="240" w:name="_Toc20"/>
      <w:r>
        <w:rPr>
          <w:rFonts w:hint="default" w:ascii="Times New Roman" w:hAnsi="Times New Roman" w:cs="Times New Roman"/>
          <w:b/>
          <w:bCs/>
          <w:color w:val="auto"/>
          <w:sz w:val="24"/>
          <w:szCs w:val="22"/>
          <w:highlight w:val="none"/>
        </w:rPr>
        <w:t>附件五 技术条款偏离表</w:t>
      </w:r>
      <w:bookmarkEnd w:id="240"/>
    </w:p>
    <w:tbl>
      <w:tblPr>
        <w:tblStyle w:val="47"/>
        <w:tblW w:w="4994"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19"/>
        <w:gridCol w:w="1650"/>
        <w:gridCol w:w="2129"/>
        <w:gridCol w:w="2270"/>
        <w:gridCol w:w="1185"/>
        <w:gridCol w:w="1889"/>
      </w:tblGrid>
      <w:tr w14:paraId="2C1B52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365" w:type="pct"/>
            <w:vMerge w:val="restart"/>
            <w:tcBorders>
              <w:top w:val="single" w:color="auto" w:sz="4" w:space="0"/>
              <w:left w:val="single" w:color="auto" w:sz="4" w:space="0"/>
              <w:bottom w:val="single" w:color="auto" w:sz="4" w:space="0"/>
              <w:right w:val="single" w:color="auto" w:sz="4" w:space="0"/>
            </w:tcBorders>
            <w:vAlign w:val="center"/>
          </w:tcPr>
          <w:p w14:paraId="10F5B008">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919" w:type="pct"/>
            <w:gridSpan w:val="2"/>
            <w:tcBorders>
              <w:top w:val="single" w:color="auto" w:sz="4" w:space="0"/>
              <w:left w:val="single" w:color="auto" w:sz="4" w:space="0"/>
              <w:bottom w:val="single" w:color="auto" w:sz="4" w:space="0"/>
              <w:right w:val="single" w:color="auto" w:sz="4" w:space="0"/>
            </w:tcBorders>
            <w:vAlign w:val="center"/>
          </w:tcPr>
          <w:p w14:paraId="20BCABF9">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招标文件</w:t>
            </w:r>
          </w:p>
        </w:tc>
        <w:tc>
          <w:tcPr>
            <w:tcW w:w="1153" w:type="pct"/>
            <w:tcBorders>
              <w:top w:val="single" w:color="auto" w:sz="4" w:space="0"/>
              <w:left w:val="single" w:color="auto" w:sz="4" w:space="0"/>
              <w:bottom w:val="single" w:color="auto" w:sz="4" w:space="0"/>
              <w:right w:val="single" w:color="auto" w:sz="4" w:space="0"/>
            </w:tcBorders>
            <w:vAlign w:val="center"/>
          </w:tcPr>
          <w:p w14:paraId="2F6F3534">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投标文件</w:t>
            </w:r>
          </w:p>
        </w:tc>
        <w:tc>
          <w:tcPr>
            <w:tcW w:w="602" w:type="pct"/>
            <w:vMerge w:val="restart"/>
            <w:tcBorders>
              <w:top w:val="single" w:color="auto" w:sz="4" w:space="0"/>
              <w:left w:val="single" w:color="auto" w:sz="4" w:space="0"/>
              <w:right w:val="single" w:color="auto" w:sz="4" w:space="0"/>
            </w:tcBorders>
            <w:vAlign w:val="center"/>
          </w:tcPr>
          <w:p w14:paraId="4876440C">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说明</w:t>
            </w:r>
          </w:p>
        </w:tc>
        <w:tc>
          <w:tcPr>
            <w:tcW w:w="959" w:type="pct"/>
            <w:vMerge w:val="restart"/>
            <w:tcBorders>
              <w:top w:val="single" w:color="auto" w:sz="4" w:space="0"/>
              <w:left w:val="single" w:color="auto" w:sz="4" w:space="0"/>
              <w:right w:val="single" w:color="auto" w:sz="4" w:space="0"/>
            </w:tcBorders>
            <w:vAlign w:val="center"/>
          </w:tcPr>
          <w:p w14:paraId="78488FC8">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b/>
                <w:color w:val="auto"/>
                <w:szCs w:val="21"/>
                <w:highlight w:val="none"/>
              </w:rPr>
              <w:t>★</w:t>
            </w:r>
            <w:r>
              <w:rPr>
                <w:rFonts w:hint="default" w:ascii="Times New Roman" w:hAnsi="Times New Roman" w:cs="Times New Roman"/>
                <w:color w:val="auto"/>
                <w:szCs w:val="21"/>
                <w:highlight w:val="none"/>
              </w:rPr>
              <w:t>”和“</w:t>
            </w:r>
            <w:r>
              <w:rPr>
                <w:rFonts w:hint="default" w:ascii="Times New Roman" w:hAnsi="Times New Roman" w:cs="Times New Roman"/>
                <w:b/>
                <w:color w:val="auto"/>
                <w:szCs w:val="21"/>
                <w:highlight w:val="none"/>
              </w:rPr>
              <w:t>▲</w:t>
            </w:r>
            <w:r>
              <w:rPr>
                <w:rFonts w:hint="default" w:ascii="Times New Roman" w:hAnsi="Times New Roman" w:cs="Times New Roman"/>
                <w:color w:val="auto"/>
                <w:szCs w:val="21"/>
                <w:highlight w:val="none"/>
              </w:rPr>
              <w:t>”技术规格响应证明文件的具体位置</w:t>
            </w:r>
          </w:p>
        </w:tc>
      </w:tr>
      <w:tr w14:paraId="2F800F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365" w:type="pct"/>
            <w:vMerge w:val="continue"/>
            <w:tcBorders>
              <w:top w:val="single" w:color="auto" w:sz="4" w:space="0"/>
              <w:left w:val="single" w:color="auto" w:sz="4" w:space="0"/>
              <w:bottom w:val="single" w:color="auto" w:sz="4" w:space="0"/>
              <w:right w:val="single" w:color="auto" w:sz="4" w:space="0"/>
            </w:tcBorders>
            <w:vAlign w:val="center"/>
          </w:tcPr>
          <w:p w14:paraId="740EDEDE">
            <w:pPr>
              <w:widowControl/>
              <w:spacing w:line="360" w:lineRule="auto"/>
              <w:jc w:val="center"/>
              <w:rPr>
                <w:rFonts w:hint="default" w:ascii="Times New Roman" w:hAnsi="Times New Roman" w:cs="Times New Roman"/>
                <w:color w:val="auto"/>
                <w:szCs w:val="21"/>
                <w:highlight w:val="none"/>
              </w:rPr>
            </w:pPr>
          </w:p>
        </w:tc>
        <w:tc>
          <w:tcPr>
            <w:tcW w:w="838" w:type="pct"/>
            <w:tcBorders>
              <w:top w:val="single" w:color="auto" w:sz="4" w:space="0"/>
              <w:left w:val="single" w:color="auto" w:sz="4" w:space="0"/>
              <w:bottom w:val="single" w:color="auto" w:sz="4" w:space="0"/>
              <w:right w:val="single" w:color="auto" w:sz="4" w:space="0"/>
            </w:tcBorders>
            <w:vAlign w:val="center"/>
          </w:tcPr>
          <w:p w14:paraId="34721A10">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条目号</w:t>
            </w:r>
          </w:p>
        </w:tc>
        <w:tc>
          <w:tcPr>
            <w:tcW w:w="1080" w:type="pct"/>
            <w:tcBorders>
              <w:top w:val="single" w:color="auto" w:sz="4" w:space="0"/>
              <w:left w:val="single" w:color="auto" w:sz="4" w:space="0"/>
              <w:bottom w:val="single" w:color="auto" w:sz="4" w:space="0"/>
              <w:right w:val="single" w:color="auto" w:sz="4" w:space="0"/>
            </w:tcBorders>
            <w:vAlign w:val="center"/>
          </w:tcPr>
          <w:p w14:paraId="5FD7EF4C">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采购要求规格</w:t>
            </w:r>
          </w:p>
        </w:tc>
        <w:tc>
          <w:tcPr>
            <w:tcW w:w="1153" w:type="pct"/>
            <w:tcBorders>
              <w:top w:val="single" w:color="auto" w:sz="4" w:space="0"/>
              <w:left w:val="single" w:color="auto" w:sz="4" w:space="0"/>
              <w:bottom w:val="single" w:color="auto" w:sz="4" w:space="0"/>
              <w:right w:val="single" w:color="auto" w:sz="4" w:space="0"/>
            </w:tcBorders>
            <w:vAlign w:val="center"/>
          </w:tcPr>
          <w:p w14:paraId="2A0C5A15">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响应具体情况</w:t>
            </w:r>
          </w:p>
        </w:tc>
        <w:tc>
          <w:tcPr>
            <w:tcW w:w="602" w:type="pct"/>
            <w:vMerge w:val="continue"/>
            <w:tcBorders>
              <w:left w:val="single" w:color="auto" w:sz="4" w:space="0"/>
              <w:bottom w:val="single" w:color="auto" w:sz="4" w:space="0"/>
              <w:right w:val="single" w:color="auto" w:sz="4" w:space="0"/>
            </w:tcBorders>
            <w:vAlign w:val="center"/>
          </w:tcPr>
          <w:p w14:paraId="0B670910">
            <w:pPr>
              <w:spacing w:line="360" w:lineRule="auto"/>
              <w:jc w:val="center"/>
              <w:rPr>
                <w:rFonts w:hint="default" w:ascii="Times New Roman" w:hAnsi="Times New Roman" w:cs="Times New Roman"/>
                <w:color w:val="auto"/>
                <w:szCs w:val="21"/>
                <w:highlight w:val="none"/>
              </w:rPr>
            </w:pPr>
          </w:p>
        </w:tc>
        <w:tc>
          <w:tcPr>
            <w:tcW w:w="959" w:type="pct"/>
            <w:vMerge w:val="continue"/>
            <w:tcBorders>
              <w:left w:val="single" w:color="auto" w:sz="4" w:space="0"/>
              <w:bottom w:val="single" w:color="auto" w:sz="4" w:space="0"/>
              <w:right w:val="single" w:color="auto" w:sz="4" w:space="0"/>
            </w:tcBorders>
            <w:vAlign w:val="center"/>
          </w:tcPr>
          <w:p w14:paraId="2A3D421B">
            <w:pPr>
              <w:spacing w:line="360" w:lineRule="auto"/>
              <w:jc w:val="center"/>
              <w:rPr>
                <w:rFonts w:hint="default" w:ascii="Times New Roman" w:hAnsi="Times New Roman" w:cs="Times New Roman"/>
                <w:color w:val="auto"/>
                <w:szCs w:val="21"/>
                <w:highlight w:val="none"/>
              </w:rPr>
            </w:pPr>
          </w:p>
        </w:tc>
      </w:tr>
      <w:tr w14:paraId="127BA1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tcPr>
          <w:p w14:paraId="4698FFEB">
            <w:pPr>
              <w:spacing w:line="360" w:lineRule="auto"/>
              <w:rPr>
                <w:rFonts w:hint="default" w:ascii="Times New Roman" w:hAnsi="Times New Roman" w:cs="Times New Roman"/>
                <w:color w:val="auto"/>
                <w:szCs w:val="21"/>
                <w:highlight w:val="none"/>
              </w:rPr>
            </w:pPr>
          </w:p>
        </w:tc>
        <w:tc>
          <w:tcPr>
            <w:tcW w:w="838" w:type="pct"/>
            <w:tcBorders>
              <w:top w:val="single" w:color="auto" w:sz="4" w:space="0"/>
              <w:left w:val="single" w:color="auto" w:sz="4" w:space="0"/>
              <w:bottom w:val="single" w:color="auto" w:sz="4" w:space="0"/>
              <w:right w:val="single" w:color="auto" w:sz="4" w:space="0"/>
            </w:tcBorders>
          </w:tcPr>
          <w:p w14:paraId="63AF8C09">
            <w:pPr>
              <w:spacing w:line="360" w:lineRule="auto"/>
              <w:rPr>
                <w:rFonts w:hint="default" w:ascii="Times New Roman" w:hAnsi="Times New Roman" w:cs="Times New Roman"/>
                <w:color w:val="auto"/>
                <w:szCs w:val="21"/>
                <w:highlight w:val="none"/>
              </w:rPr>
            </w:pPr>
          </w:p>
        </w:tc>
        <w:tc>
          <w:tcPr>
            <w:tcW w:w="1080" w:type="pct"/>
            <w:tcBorders>
              <w:top w:val="single" w:color="auto" w:sz="4" w:space="0"/>
              <w:left w:val="single" w:color="auto" w:sz="4" w:space="0"/>
              <w:bottom w:val="single" w:color="auto" w:sz="4" w:space="0"/>
              <w:right w:val="single" w:color="auto" w:sz="4" w:space="0"/>
            </w:tcBorders>
          </w:tcPr>
          <w:p w14:paraId="6430B4C0">
            <w:pPr>
              <w:spacing w:line="360" w:lineRule="auto"/>
              <w:rPr>
                <w:rFonts w:hint="default" w:ascii="Times New Roman" w:hAnsi="Times New Roman" w:cs="Times New Roman"/>
                <w:color w:val="auto"/>
                <w:szCs w:val="21"/>
                <w:highlight w:val="none"/>
              </w:rPr>
            </w:pPr>
          </w:p>
        </w:tc>
        <w:tc>
          <w:tcPr>
            <w:tcW w:w="1153" w:type="pct"/>
            <w:tcBorders>
              <w:top w:val="single" w:color="auto" w:sz="4" w:space="0"/>
              <w:left w:val="single" w:color="auto" w:sz="4" w:space="0"/>
              <w:bottom w:val="single" w:color="auto" w:sz="4" w:space="0"/>
              <w:right w:val="single" w:color="auto" w:sz="4" w:space="0"/>
            </w:tcBorders>
          </w:tcPr>
          <w:p w14:paraId="2CC4187F">
            <w:pPr>
              <w:spacing w:line="360" w:lineRule="auto"/>
              <w:rPr>
                <w:rFonts w:hint="default" w:ascii="Times New Roman" w:hAnsi="Times New Roman" w:cs="Times New Roman"/>
                <w:color w:val="auto"/>
                <w:szCs w:val="21"/>
                <w:highlight w:val="none"/>
              </w:rPr>
            </w:pPr>
          </w:p>
        </w:tc>
        <w:tc>
          <w:tcPr>
            <w:tcW w:w="602" w:type="pct"/>
            <w:tcBorders>
              <w:top w:val="single" w:color="auto" w:sz="4" w:space="0"/>
              <w:left w:val="single" w:color="auto" w:sz="4" w:space="0"/>
              <w:bottom w:val="single" w:color="auto" w:sz="4" w:space="0"/>
              <w:right w:val="single" w:color="auto" w:sz="4" w:space="0"/>
            </w:tcBorders>
          </w:tcPr>
          <w:p w14:paraId="7A5FFC0C">
            <w:pPr>
              <w:spacing w:line="360" w:lineRule="auto"/>
              <w:rPr>
                <w:rFonts w:hint="default" w:ascii="Times New Roman" w:hAnsi="Times New Roman" w:cs="Times New Roman"/>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tcPr>
          <w:p w14:paraId="409C87EB">
            <w:pPr>
              <w:spacing w:line="360" w:lineRule="auto"/>
              <w:rPr>
                <w:rFonts w:hint="default" w:ascii="Times New Roman" w:hAnsi="Times New Roman" w:cs="Times New Roman"/>
                <w:color w:val="auto"/>
                <w:szCs w:val="21"/>
                <w:highlight w:val="none"/>
              </w:rPr>
            </w:pPr>
          </w:p>
        </w:tc>
      </w:tr>
      <w:tr w14:paraId="676059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tcPr>
          <w:p w14:paraId="2375DAA6">
            <w:pPr>
              <w:spacing w:line="360" w:lineRule="auto"/>
              <w:rPr>
                <w:rFonts w:hint="default" w:ascii="Times New Roman" w:hAnsi="Times New Roman" w:cs="Times New Roman"/>
                <w:color w:val="auto"/>
                <w:szCs w:val="21"/>
                <w:highlight w:val="none"/>
              </w:rPr>
            </w:pPr>
          </w:p>
        </w:tc>
        <w:tc>
          <w:tcPr>
            <w:tcW w:w="838" w:type="pct"/>
            <w:tcBorders>
              <w:top w:val="single" w:color="auto" w:sz="4" w:space="0"/>
              <w:left w:val="single" w:color="auto" w:sz="4" w:space="0"/>
              <w:bottom w:val="single" w:color="auto" w:sz="4" w:space="0"/>
              <w:right w:val="single" w:color="auto" w:sz="4" w:space="0"/>
            </w:tcBorders>
          </w:tcPr>
          <w:p w14:paraId="6B3AF04F">
            <w:pPr>
              <w:spacing w:line="360" w:lineRule="auto"/>
              <w:rPr>
                <w:rFonts w:hint="default" w:ascii="Times New Roman" w:hAnsi="Times New Roman" w:cs="Times New Roman"/>
                <w:color w:val="auto"/>
                <w:szCs w:val="21"/>
                <w:highlight w:val="none"/>
              </w:rPr>
            </w:pPr>
          </w:p>
        </w:tc>
        <w:tc>
          <w:tcPr>
            <w:tcW w:w="1080" w:type="pct"/>
            <w:tcBorders>
              <w:top w:val="single" w:color="auto" w:sz="4" w:space="0"/>
              <w:left w:val="single" w:color="auto" w:sz="4" w:space="0"/>
              <w:bottom w:val="single" w:color="auto" w:sz="4" w:space="0"/>
              <w:right w:val="single" w:color="auto" w:sz="4" w:space="0"/>
            </w:tcBorders>
          </w:tcPr>
          <w:p w14:paraId="0356C219">
            <w:pPr>
              <w:spacing w:line="360" w:lineRule="auto"/>
              <w:rPr>
                <w:rFonts w:hint="default" w:ascii="Times New Roman" w:hAnsi="Times New Roman" w:cs="Times New Roman"/>
                <w:color w:val="auto"/>
                <w:szCs w:val="21"/>
                <w:highlight w:val="none"/>
              </w:rPr>
            </w:pPr>
          </w:p>
        </w:tc>
        <w:tc>
          <w:tcPr>
            <w:tcW w:w="1153" w:type="pct"/>
            <w:tcBorders>
              <w:top w:val="single" w:color="auto" w:sz="4" w:space="0"/>
              <w:left w:val="single" w:color="auto" w:sz="4" w:space="0"/>
              <w:bottom w:val="single" w:color="auto" w:sz="4" w:space="0"/>
              <w:right w:val="single" w:color="auto" w:sz="4" w:space="0"/>
            </w:tcBorders>
          </w:tcPr>
          <w:p w14:paraId="5B21079F">
            <w:pPr>
              <w:spacing w:line="360" w:lineRule="auto"/>
              <w:rPr>
                <w:rFonts w:hint="default" w:ascii="Times New Roman" w:hAnsi="Times New Roman" w:cs="Times New Roman"/>
                <w:color w:val="auto"/>
                <w:szCs w:val="21"/>
                <w:highlight w:val="none"/>
              </w:rPr>
            </w:pPr>
          </w:p>
        </w:tc>
        <w:tc>
          <w:tcPr>
            <w:tcW w:w="602" w:type="pct"/>
            <w:tcBorders>
              <w:top w:val="single" w:color="auto" w:sz="4" w:space="0"/>
              <w:left w:val="single" w:color="auto" w:sz="4" w:space="0"/>
              <w:bottom w:val="single" w:color="auto" w:sz="4" w:space="0"/>
              <w:right w:val="single" w:color="auto" w:sz="4" w:space="0"/>
            </w:tcBorders>
          </w:tcPr>
          <w:p w14:paraId="6681506D">
            <w:pPr>
              <w:spacing w:line="360" w:lineRule="auto"/>
              <w:rPr>
                <w:rFonts w:hint="default" w:ascii="Times New Roman" w:hAnsi="Times New Roman" w:cs="Times New Roman"/>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tcPr>
          <w:p w14:paraId="65E53177">
            <w:pPr>
              <w:spacing w:line="360" w:lineRule="auto"/>
              <w:rPr>
                <w:rFonts w:hint="default" w:ascii="Times New Roman" w:hAnsi="Times New Roman" w:cs="Times New Roman"/>
                <w:color w:val="auto"/>
                <w:szCs w:val="21"/>
                <w:highlight w:val="none"/>
              </w:rPr>
            </w:pPr>
          </w:p>
        </w:tc>
      </w:tr>
      <w:tr w14:paraId="4759A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tcPr>
          <w:p w14:paraId="39A2D854">
            <w:pPr>
              <w:spacing w:line="360" w:lineRule="auto"/>
              <w:rPr>
                <w:rFonts w:hint="default" w:ascii="Times New Roman" w:hAnsi="Times New Roman" w:cs="Times New Roman"/>
                <w:color w:val="auto"/>
                <w:szCs w:val="21"/>
                <w:highlight w:val="none"/>
              </w:rPr>
            </w:pPr>
          </w:p>
        </w:tc>
        <w:tc>
          <w:tcPr>
            <w:tcW w:w="838" w:type="pct"/>
            <w:tcBorders>
              <w:top w:val="single" w:color="auto" w:sz="4" w:space="0"/>
              <w:left w:val="single" w:color="auto" w:sz="4" w:space="0"/>
              <w:bottom w:val="single" w:color="auto" w:sz="4" w:space="0"/>
              <w:right w:val="single" w:color="auto" w:sz="4" w:space="0"/>
            </w:tcBorders>
          </w:tcPr>
          <w:p w14:paraId="430F22FF">
            <w:pPr>
              <w:spacing w:line="360" w:lineRule="auto"/>
              <w:rPr>
                <w:rFonts w:hint="default" w:ascii="Times New Roman" w:hAnsi="Times New Roman" w:cs="Times New Roman"/>
                <w:color w:val="auto"/>
                <w:szCs w:val="21"/>
                <w:highlight w:val="none"/>
              </w:rPr>
            </w:pPr>
          </w:p>
        </w:tc>
        <w:tc>
          <w:tcPr>
            <w:tcW w:w="1080" w:type="pct"/>
            <w:tcBorders>
              <w:top w:val="single" w:color="auto" w:sz="4" w:space="0"/>
              <w:left w:val="single" w:color="auto" w:sz="4" w:space="0"/>
              <w:bottom w:val="single" w:color="auto" w:sz="4" w:space="0"/>
              <w:right w:val="single" w:color="auto" w:sz="4" w:space="0"/>
            </w:tcBorders>
          </w:tcPr>
          <w:p w14:paraId="66C252C9">
            <w:pPr>
              <w:spacing w:line="360" w:lineRule="auto"/>
              <w:rPr>
                <w:rFonts w:hint="default" w:ascii="Times New Roman" w:hAnsi="Times New Roman" w:cs="Times New Roman"/>
                <w:color w:val="auto"/>
                <w:szCs w:val="21"/>
                <w:highlight w:val="none"/>
              </w:rPr>
            </w:pPr>
          </w:p>
        </w:tc>
        <w:tc>
          <w:tcPr>
            <w:tcW w:w="1153" w:type="pct"/>
            <w:tcBorders>
              <w:top w:val="single" w:color="auto" w:sz="4" w:space="0"/>
              <w:left w:val="single" w:color="auto" w:sz="4" w:space="0"/>
              <w:bottom w:val="single" w:color="auto" w:sz="4" w:space="0"/>
              <w:right w:val="single" w:color="auto" w:sz="4" w:space="0"/>
            </w:tcBorders>
          </w:tcPr>
          <w:p w14:paraId="49CC4323">
            <w:pPr>
              <w:spacing w:line="360" w:lineRule="auto"/>
              <w:rPr>
                <w:rFonts w:hint="default" w:ascii="Times New Roman" w:hAnsi="Times New Roman" w:cs="Times New Roman"/>
                <w:color w:val="auto"/>
                <w:szCs w:val="21"/>
                <w:highlight w:val="none"/>
              </w:rPr>
            </w:pPr>
          </w:p>
        </w:tc>
        <w:tc>
          <w:tcPr>
            <w:tcW w:w="602" w:type="pct"/>
            <w:tcBorders>
              <w:top w:val="single" w:color="auto" w:sz="4" w:space="0"/>
              <w:left w:val="single" w:color="auto" w:sz="4" w:space="0"/>
              <w:bottom w:val="single" w:color="auto" w:sz="4" w:space="0"/>
              <w:right w:val="single" w:color="auto" w:sz="4" w:space="0"/>
            </w:tcBorders>
          </w:tcPr>
          <w:p w14:paraId="3E1B5B75">
            <w:pPr>
              <w:spacing w:line="360" w:lineRule="auto"/>
              <w:rPr>
                <w:rFonts w:hint="default" w:ascii="Times New Roman" w:hAnsi="Times New Roman" w:cs="Times New Roman"/>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tcPr>
          <w:p w14:paraId="0CEABC1F">
            <w:pPr>
              <w:spacing w:line="360" w:lineRule="auto"/>
              <w:rPr>
                <w:rFonts w:hint="default" w:ascii="Times New Roman" w:hAnsi="Times New Roman" w:cs="Times New Roman"/>
                <w:color w:val="auto"/>
                <w:szCs w:val="21"/>
                <w:highlight w:val="none"/>
              </w:rPr>
            </w:pPr>
          </w:p>
        </w:tc>
      </w:tr>
      <w:tr w14:paraId="4E7C40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tcPr>
          <w:p w14:paraId="2C26355E">
            <w:pPr>
              <w:spacing w:line="360" w:lineRule="auto"/>
              <w:rPr>
                <w:rFonts w:hint="default" w:ascii="Times New Roman" w:hAnsi="Times New Roman" w:cs="Times New Roman"/>
                <w:color w:val="auto"/>
                <w:szCs w:val="21"/>
                <w:highlight w:val="none"/>
              </w:rPr>
            </w:pPr>
          </w:p>
        </w:tc>
        <w:tc>
          <w:tcPr>
            <w:tcW w:w="838" w:type="pct"/>
            <w:tcBorders>
              <w:top w:val="single" w:color="auto" w:sz="4" w:space="0"/>
              <w:left w:val="single" w:color="auto" w:sz="4" w:space="0"/>
              <w:bottom w:val="single" w:color="auto" w:sz="4" w:space="0"/>
              <w:right w:val="single" w:color="auto" w:sz="4" w:space="0"/>
            </w:tcBorders>
          </w:tcPr>
          <w:p w14:paraId="06074233">
            <w:pPr>
              <w:spacing w:line="360" w:lineRule="auto"/>
              <w:rPr>
                <w:rFonts w:hint="default" w:ascii="Times New Roman" w:hAnsi="Times New Roman" w:cs="Times New Roman"/>
                <w:color w:val="auto"/>
                <w:szCs w:val="21"/>
                <w:highlight w:val="none"/>
              </w:rPr>
            </w:pPr>
          </w:p>
        </w:tc>
        <w:tc>
          <w:tcPr>
            <w:tcW w:w="1080" w:type="pct"/>
            <w:tcBorders>
              <w:top w:val="single" w:color="auto" w:sz="4" w:space="0"/>
              <w:left w:val="single" w:color="auto" w:sz="4" w:space="0"/>
              <w:bottom w:val="single" w:color="auto" w:sz="4" w:space="0"/>
              <w:right w:val="single" w:color="auto" w:sz="4" w:space="0"/>
            </w:tcBorders>
          </w:tcPr>
          <w:p w14:paraId="2FE3F964">
            <w:pPr>
              <w:spacing w:line="360" w:lineRule="auto"/>
              <w:rPr>
                <w:rFonts w:hint="default" w:ascii="Times New Roman" w:hAnsi="Times New Roman" w:cs="Times New Roman"/>
                <w:color w:val="auto"/>
                <w:szCs w:val="21"/>
                <w:highlight w:val="none"/>
              </w:rPr>
            </w:pPr>
          </w:p>
        </w:tc>
        <w:tc>
          <w:tcPr>
            <w:tcW w:w="1153" w:type="pct"/>
            <w:tcBorders>
              <w:top w:val="single" w:color="auto" w:sz="4" w:space="0"/>
              <w:left w:val="single" w:color="auto" w:sz="4" w:space="0"/>
              <w:bottom w:val="single" w:color="auto" w:sz="4" w:space="0"/>
              <w:right w:val="single" w:color="auto" w:sz="4" w:space="0"/>
            </w:tcBorders>
          </w:tcPr>
          <w:p w14:paraId="4BF530A2">
            <w:pPr>
              <w:spacing w:line="360" w:lineRule="auto"/>
              <w:rPr>
                <w:rFonts w:hint="default" w:ascii="Times New Roman" w:hAnsi="Times New Roman" w:cs="Times New Roman"/>
                <w:color w:val="auto"/>
                <w:szCs w:val="21"/>
                <w:highlight w:val="none"/>
              </w:rPr>
            </w:pPr>
          </w:p>
        </w:tc>
        <w:tc>
          <w:tcPr>
            <w:tcW w:w="602" w:type="pct"/>
            <w:tcBorders>
              <w:top w:val="single" w:color="auto" w:sz="4" w:space="0"/>
              <w:left w:val="single" w:color="auto" w:sz="4" w:space="0"/>
              <w:bottom w:val="single" w:color="auto" w:sz="4" w:space="0"/>
              <w:right w:val="single" w:color="auto" w:sz="4" w:space="0"/>
            </w:tcBorders>
          </w:tcPr>
          <w:p w14:paraId="2B6CD129">
            <w:pPr>
              <w:spacing w:line="360" w:lineRule="auto"/>
              <w:rPr>
                <w:rFonts w:hint="default" w:ascii="Times New Roman" w:hAnsi="Times New Roman" w:cs="Times New Roman"/>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tcPr>
          <w:p w14:paraId="3A522202">
            <w:pPr>
              <w:spacing w:line="360" w:lineRule="auto"/>
              <w:rPr>
                <w:rFonts w:hint="default" w:ascii="Times New Roman" w:hAnsi="Times New Roman" w:cs="Times New Roman"/>
                <w:color w:val="auto"/>
                <w:szCs w:val="21"/>
                <w:highlight w:val="none"/>
              </w:rPr>
            </w:pPr>
          </w:p>
        </w:tc>
      </w:tr>
      <w:tr w14:paraId="11B93B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tcPr>
          <w:p w14:paraId="1E01DC68">
            <w:pPr>
              <w:spacing w:line="360" w:lineRule="auto"/>
              <w:rPr>
                <w:rFonts w:hint="default" w:ascii="Times New Roman" w:hAnsi="Times New Roman" w:cs="Times New Roman"/>
                <w:color w:val="auto"/>
                <w:szCs w:val="21"/>
                <w:highlight w:val="none"/>
              </w:rPr>
            </w:pPr>
          </w:p>
        </w:tc>
        <w:tc>
          <w:tcPr>
            <w:tcW w:w="838" w:type="pct"/>
            <w:tcBorders>
              <w:top w:val="single" w:color="auto" w:sz="4" w:space="0"/>
              <w:left w:val="single" w:color="auto" w:sz="4" w:space="0"/>
              <w:bottom w:val="single" w:color="auto" w:sz="4" w:space="0"/>
              <w:right w:val="single" w:color="auto" w:sz="4" w:space="0"/>
            </w:tcBorders>
          </w:tcPr>
          <w:p w14:paraId="70B601D3">
            <w:pPr>
              <w:spacing w:line="360" w:lineRule="auto"/>
              <w:rPr>
                <w:rFonts w:hint="default" w:ascii="Times New Roman" w:hAnsi="Times New Roman" w:cs="Times New Roman"/>
                <w:color w:val="auto"/>
                <w:szCs w:val="21"/>
                <w:highlight w:val="none"/>
              </w:rPr>
            </w:pPr>
          </w:p>
        </w:tc>
        <w:tc>
          <w:tcPr>
            <w:tcW w:w="1080" w:type="pct"/>
            <w:tcBorders>
              <w:top w:val="single" w:color="auto" w:sz="4" w:space="0"/>
              <w:left w:val="single" w:color="auto" w:sz="4" w:space="0"/>
              <w:bottom w:val="single" w:color="auto" w:sz="4" w:space="0"/>
              <w:right w:val="single" w:color="auto" w:sz="4" w:space="0"/>
            </w:tcBorders>
          </w:tcPr>
          <w:p w14:paraId="7BF2E801">
            <w:pPr>
              <w:spacing w:line="360" w:lineRule="auto"/>
              <w:rPr>
                <w:rFonts w:hint="default" w:ascii="Times New Roman" w:hAnsi="Times New Roman" w:cs="Times New Roman"/>
                <w:color w:val="auto"/>
                <w:szCs w:val="21"/>
                <w:highlight w:val="none"/>
              </w:rPr>
            </w:pPr>
          </w:p>
        </w:tc>
        <w:tc>
          <w:tcPr>
            <w:tcW w:w="1153" w:type="pct"/>
            <w:tcBorders>
              <w:top w:val="single" w:color="auto" w:sz="4" w:space="0"/>
              <w:left w:val="single" w:color="auto" w:sz="4" w:space="0"/>
              <w:bottom w:val="single" w:color="auto" w:sz="4" w:space="0"/>
              <w:right w:val="single" w:color="auto" w:sz="4" w:space="0"/>
            </w:tcBorders>
          </w:tcPr>
          <w:p w14:paraId="77BA5073">
            <w:pPr>
              <w:spacing w:line="360" w:lineRule="auto"/>
              <w:rPr>
                <w:rFonts w:hint="default" w:ascii="Times New Roman" w:hAnsi="Times New Roman" w:cs="Times New Roman"/>
                <w:color w:val="auto"/>
                <w:szCs w:val="21"/>
                <w:highlight w:val="none"/>
              </w:rPr>
            </w:pPr>
          </w:p>
        </w:tc>
        <w:tc>
          <w:tcPr>
            <w:tcW w:w="602" w:type="pct"/>
            <w:tcBorders>
              <w:top w:val="single" w:color="auto" w:sz="4" w:space="0"/>
              <w:left w:val="single" w:color="auto" w:sz="4" w:space="0"/>
              <w:bottom w:val="single" w:color="auto" w:sz="4" w:space="0"/>
              <w:right w:val="single" w:color="auto" w:sz="4" w:space="0"/>
            </w:tcBorders>
          </w:tcPr>
          <w:p w14:paraId="247DB5B7">
            <w:pPr>
              <w:spacing w:line="360" w:lineRule="auto"/>
              <w:rPr>
                <w:rFonts w:hint="default" w:ascii="Times New Roman" w:hAnsi="Times New Roman" w:cs="Times New Roman"/>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tcPr>
          <w:p w14:paraId="44DE361D">
            <w:pPr>
              <w:spacing w:line="360" w:lineRule="auto"/>
              <w:rPr>
                <w:rFonts w:hint="default" w:ascii="Times New Roman" w:hAnsi="Times New Roman" w:cs="Times New Roman"/>
                <w:color w:val="auto"/>
                <w:szCs w:val="21"/>
                <w:highlight w:val="none"/>
              </w:rPr>
            </w:pPr>
          </w:p>
        </w:tc>
      </w:tr>
      <w:tr w14:paraId="2DD455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tcPr>
          <w:p w14:paraId="581AA60A">
            <w:pPr>
              <w:spacing w:line="360" w:lineRule="auto"/>
              <w:rPr>
                <w:rFonts w:hint="default" w:ascii="Times New Roman" w:hAnsi="Times New Roman" w:cs="Times New Roman"/>
                <w:color w:val="auto"/>
                <w:szCs w:val="21"/>
                <w:highlight w:val="none"/>
              </w:rPr>
            </w:pPr>
          </w:p>
        </w:tc>
        <w:tc>
          <w:tcPr>
            <w:tcW w:w="838" w:type="pct"/>
            <w:tcBorders>
              <w:top w:val="single" w:color="auto" w:sz="4" w:space="0"/>
              <w:left w:val="single" w:color="auto" w:sz="4" w:space="0"/>
              <w:bottom w:val="single" w:color="auto" w:sz="4" w:space="0"/>
              <w:right w:val="single" w:color="auto" w:sz="4" w:space="0"/>
            </w:tcBorders>
          </w:tcPr>
          <w:p w14:paraId="365E847C">
            <w:pPr>
              <w:spacing w:line="360" w:lineRule="auto"/>
              <w:rPr>
                <w:rFonts w:hint="default" w:ascii="Times New Roman" w:hAnsi="Times New Roman" w:cs="Times New Roman"/>
                <w:color w:val="auto"/>
                <w:szCs w:val="21"/>
                <w:highlight w:val="none"/>
              </w:rPr>
            </w:pPr>
          </w:p>
        </w:tc>
        <w:tc>
          <w:tcPr>
            <w:tcW w:w="1080" w:type="pct"/>
            <w:tcBorders>
              <w:top w:val="single" w:color="auto" w:sz="4" w:space="0"/>
              <w:left w:val="single" w:color="auto" w:sz="4" w:space="0"/>
              <w:bottom w:val="single" w:color="auto" w:sz="4" w:space="0"/>
              <w:right w:val="single" w:color="auto" w:sz="4" w:space="0"/>
            </w:tcBorders>
          </w:tcPr>
          <w:p w14:paraId="3B557B19">
            <w:pPr>
              <w:spacing w:line="360" w:lineRule="auto"/>
              <w:rPr>
                <w:rFonts w:hint="default" w:ascii="Times New Roman" w:hAnsi="Times New Roman" w:cs="Times New Roman"/>
                <w:color w:val="auto"/>
                <w:szCs w:val="21"/>
                <w:highlight w:val="none"/>
              </w:rPr>
            </w:pPr>
          </w:p>
        </w:tc>
        <w:tc>
          <w:tcPr>
            <w:tcW w:w="1153" w:type="pct"/>
            <w:tcBorders>
              <w:top w:val="single" w:color="auto" w:sz="4" w:space="0"/>
              <w:left w:val="single" w:color="auto" w:sz="4" w:space="0"/>
              <w:bottom w:val="single" w:color="auto" w:sz="4" w:space="0"/>
              <w:right w:val="single" w:color="auto" w:sz="4" w:space="0"/>
            </w:tcBorders>
          </w:tcPr>
          <w:p w14:paraId="15ADF772">
            <w:pPr>
              <w:spacing w:line="360" w:lineRule="auto"/>
              <w:rPr>
                <w:rFonts w:hint="default" w:ascii="Times New Roman" w:hAnsi="Times New Roman" w:cs="Times New Roman"/>
                <w:color w:val="auto"/>
                <w:szCs w:val="21"/>
                <w:highlight w:val="none"/>
              </w:rPr>
            </w:pPr>
          </w:p>
        </w:tc>
        <w:tc>
          <w:tcPr>
            <w:tcW w:w="602" w:type="pct"/>
            <w:tcBorders>
              <w:top w:val="single" w:color="auto" w:sz="4" w:space="0"/>
              <w:left w:val="single" w:color="auto" w:sz="4" w:space="0"/>
              <w:bottom w:val="single" w:color="auto" w:sz="4" w:space="0"/>
              <w:right w:val="single" w:color="auto" w:sz="4" w:space="0"/>
            </w:tcBorders>
          </w:tcPr>
          <w:p w14:paraId="2D76E533">
            <w:pPr>
              <w:spacing w:line="360" w:lineRule="auto"/>
              <w:rPr>
                <w:rFonts w:hint="default" w:ascii="Times New Roman" w:hAnsi="Times New Roman" w:cs="Times New Roman"/>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tcPr>
          <w:p w14:paraId="6389CF5C">
            <w:pPr>
              <w:spacing w:line="360" w:lineRule="auto"/>
              <w:rPr>
                <w:rFonts w:hint="default" w:ascii="Times New Roman" w:hAnsi="Times New Roman" w:cs="Times New Roman"/>
                <w:color w:val="auto"/>
                <w:szCs w:val="21"/>
                <w:highlight w:val="none"/>
              </w:rPr>
            </w:pPr>
          </w:p>
        </w:tc>
      </w:tr>
      <w:tr w14:paraId="4E28B3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tcPr>
          <w:p w14:paraId="752ABC00">
            <w:pPr>
              <w:spacing w:line="360" w:lineRule="auto"/>
              <w:rPr>
                <w:rFonts w:hint="default" w:ascii="Times New Roman" w:hAnsi="Times New Roman" w:cs="Times New Roman"/>
                <w:color w:val="auto"/>
                <w:szCs w:val="21"/>
                <w:highlight w:val="none"/>
              </w:rPr>
            </w:pPr>
          </w:p>
        </w:tc>
        <w:tc>
          <w:tcPr>
            <w:tcW w:w="838" w:type="pct"/>
            <w:tcBorders>
              <w:top w:val="single" w:color="auto" w:sz="4" w:space="0"/>
              <w:left w:val="single" w:color="auto" w:sz="4" w:space="0"/>
              <w:bottom w:val="single" w:color="auto" w:sz="4" w:space="0"/>
              <w:right w:val="single" w:color="auto" w:sz="4" w:space="0"/>
            </w:tcBorders>
          </w:tcPr>
          <w:p w14:paraId="6AA9852E">
            <w:pPr>
              <w:spacing w:line="360" w:lineRule="auto"/>
              <w:rPr>
                <w:rFonts w:hint="default" w:ascii="Times New Roman" w:hAnsi="Times New Roman" w:cs="Times New Roman"/>
                <w:color w:val="auto"/>
                <w:szCs w:val="21"/>
                <w:highlight w:val="none"/>
              </w:rPr>
            </w:pPr>
          </w:p>
        </w:tc>
        <w:tc>
          <w:tcPr>
            <w:tcW w:w="1080" w:type="pct"/>
            <w:tcBorders>
              <w:top w:val="single" w:color="auto" w:sz="4" w:space="0"/>
              <w:left w:val="single" w:color="auto" w:sz="4" w:space="0"/>
              <w:bottom w:val="single" w:color="auto" w:sz="4" w:space="0"/>
              <w:right w:val="single" w:color="auto" w:sz="4" w:space="0"/>
            </w:tcBorders>
          </w:tcPr>
          <w:p w14:paraId="67CBBD96">
            <w:pPr>
              <w:spacing w:line="360" w:lineRule="auto"/>
              <w:rPr>
                <w:rFonts w:hint="default" w:ascii="Times New Roman" w:hAnsi="Times New Roman" w:cs="Times New Roman"/>
                <w:color w:val="auto"/>
                <w:szCs w:val="21"/>
                <w:highlight w:val="none"/>
              </w:rPr>
            </w:pPr>
          </w:p>
        </w:tc>
        <w:tc>
          <w:tcPr>
            <w:tcW w:w="1153" w:type="pct"/>
            <w:tcBorders>
              <w:top w:val="single" w:color="auto" w:sz="4" w:space="0"/>
              <w:left w:val="single" w:color="auto" w:sz="4" w:space="0"/>
              <w:bottom w:val="single" w:color="auto" w:sz="4" w:space="0"/>
              <w:right w:val="single" w:color="auto" w:sz="4" w:space="0"/>
            </w:tcBorders>
          </w:tcPr>
          <w:p w14:paraId="1EA7C2FA">
            <w:pPr>
              <w:spacing w:line="360" w:lineRule="auto"/>
              <w:rPr>
                <w:rFonts w:hint="default" w:ascii="Times New Roman" w:hAnsi="Times New Roman" w:cs="Times New Roman"/>
                <w:color w:val="auto"/>
                <w:szCs w:val="21"/>
                <w:highlight w:val="none"/>
              </w:rPr>
            </w:pPr>
          </w:p>
        </w:tc>
        <w:tc>
          <w:tcPr>
            <w:tcW w:w="602" w:type="pct"/>
            <w:tcBorders>
              <w:top w:val="single" w:color="auto" w:sz="4" w:space="0"/>
              <w:left w:val="single" w:color="auto" w:sz="4" w:space="0"/>
              <w:bottom w:val="single" w:color="auto" w:sz="4" w:space="0"/>
              <w:right w:val="single" w:color="auto" w:sz="4" w:space="0"/>
            </w:tcBorders>
          </w:tcPr>
          <w:p w14:paraId="52A74E03">
            <w:pPr>
              <w:spacing w:line="360" w:lineRule="auto"/>
              <w:rPr>
                <w:rFonts w:hint="default" w:ascii="Times New Roman" w:hAnsi="Times New Roman" w:cs="Times New Roman"/>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tcPr>
          <w:p w14:paraId="10AA6E56">
            <w:pPr>
              <w:spacing w:line="360" w:lineRule="auto"/>
              <w:rPr>
                <w:rFonts w:hint="default" w:ascii="Times New Roman" w:hAnsi="Times New Roman" w:cs="Times New Roman"/>
                <w:color w:val="auto"/>
                <w:szCs w:val="21"/>
                <w:highlight w:val="none"/>
              </w:rPr>
            </w:pPr>
          </w:p>
        </w:tc>
      </w:tr>
      <w:tr w14:paraId="2C08F8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tcPr>
          <w:p w14:paraId="20FA96B7">
            <w:pPr>
              <w:spacing w:line="360" w:lineRule="auto"/>
              <w:rPr>
                <w:rFonts w:hint="default" w:ascii="Times New Roman" w:hAnsi="Times New Roman" w:cs="Times New Roman"/>
                <w:color w:val="auto"/>
                <w:szCs w:val="21"/>
                <w:highlight w:val="none"/>
              </w:rPr>
            </w:pPr>
          </w:p>
        </w:tc>
        <w:tc>
          <w:tcPr>
            <w:tcW w:w="838" w:type="pct"/>
            <w:tcBorders>
              <w:top w:val="single" w:color="auto" w:sz="4" w:space="0"/>
              <w:left w:val="single" w:color="auto" w:sz="4" w:space="0"/>
              <w:bottom w:val="single" w:color="auto" w:sz="4" w:space="0"/>
              <w:right w:val="single" w:color="auto" w:sz="4" w:space="0"/>
            </w:tcBorders>
          </w:tcPr>
          <w:p w14:paraId="11CF4BC5">
            <w:pPr>
              <w:spacing w:line="360" w:lineRule="auto"/>
              <w:rPr>
                <w:rFonts w:hint="default" w:ascii="Times New Roman" w:hAnsi="Times New Roman" w:cs="Times New Roman"/>
                <w:color w:val="auto"/>
                <w:szCs w:val="21"/>
                <w:highlight w:val="none"/>
              </w:rPr>
            </w:pPr>
          </w:p>
        </w:tc>
        <w:tc>
          <w:tcPr>
            <w:tcW w:w="1080" w:type="pct"/>
            <w:tcBorders>
              <w:top w:val="single" w:color="auto" w:sz="4" w:space="0"/>
              <w:left w:val="single" w:color="auto" w:sz="4" w:space="0"/>
              <w:bottom w:val="single" w:color="auto" w:sz="4" w:space="0"/>
              <w:right w:val="single" w:color="auto" w:sz="4" w:space="0"/>
            </w:tcBorders>
          </w:tcPr>
          <w:p w14:paraId="591D65D4">
            <w:pPr>
              <w:spacing w:line="360" w:lineRule="auto"/>
              <w:rPr>
                <w:rFonts w:hint="default" w:ascii="Times New Roman" w:hAnsi="Times New Roman" w:cs="Times New Roman"/>
                <w:color w:val="auto"/>
                <w:szCs w:val="21"/>
                <w:highlight w:val="none"/>
              </w:rPr>
            </w:pPr>
          </w:p>
        </w:tc>
        <w:tc>
          <w:tcPr>
            <w:tcW w:w="1153" w:type="pct"/>
            <w:tcBorders>
              <w:top w:val="single" w:color="auto" w:sz="4" w:space="0"/>
              <w:left w:val="single" w:color="auto" w:sz="4" w:space="0"/>
              <w:bottom w:val="single" w:color="auto" w:sz="4" w:space="0"/>
              <w:right w:val="single" w:color="auto" w:sz="4" w:space="0"/>
            </w:tcBorders>
          </w:tcPr>
          <w:p w14:paraId="63119625">
            <w:pPr>
              <w:spacing w:line="360" w:lineRule="auto"/>
              <w:rPr>
                <w:rFonts w:hint="default" w:ascii="Times New Roman" w:hAnsi="Times New Roman" w:cs="Times New Roman"/>
                <w:color w:val="auto"/>
                <w:szCs w:val="21"/>
                <w:highlight w:val="none"/>
              </w:rPr>
            </w:pPr>
          </w:p>
        </w:tc>
        <w:tc>
          <w:tcPr>
            <w:tcW w:w="602" w:type="pct"/>
            <w:tcBorders>
              <w:top w:val="single" w:color="auto" w:sz="4" w:space="0"/>
              <w:left w:val="single" w:color="auto" w:sz="4" w:space="0"/>
              <w:bottom w:val="single" w:color="auto" w:sz="4" w:space="0"/>
              <w:right w:val="single" w:color="auto" w:sz="4" w:space="0"/>
            </w:tcBorders>
          </w:tcPr>
          <w:p w14:paraId="183B9FBE">
            <w:pPr>
              <w:spacing w:line="360" w:lineRule="auto"/>
              <w:rPr>
                <w:rFonts w:hint="default" w:ascii="Times New Roman" w:hAnsi="Times New Roman" w:cs="Times New Roman"/>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tcPr>
          <w:p w14:paraId="1EA76402">
            <w:pPr>
              <w:spacing w:line="360" w:lineRule="auto"/>
              <w:rPr>
                <w:rFonts w:hint="default" w:ascii="Times New Roman" w:hAnsi="Times New Roman" w:cs="Times New Roman"/>
                <w:color w:val="auto"/>
                <w:szCs w:val="21"/>
                <w:highlight w:val="none"/>
              </w:rPr>
            </w:pPr>
          </w:p>
        </w:tc>
      </w:tr>
      <w:tr w14:paraId="31CCE7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65" w:type="pct"/>
            <w:tcBorders>
              <w:top w:val="single" w:color="auto" w:sz="4" w:space="0"/>
              <w:left w:val="single" w:color="auto" w:sz="4" w:space="0"/>
              <w:bottom w:val="single" w:color="auto" w:sz="4" w:space="0"/>
              <w:right w:val="single" w:color="auto" w:sz="4" w:space="0"/>
            </w:tcBorders>
          </w:tcPr>
          <w:p w14:paraId="2AB5C935">
            <w:pPr>
              <w:spacing w:line="360" w:lineRule="auto"/>
              <w:rPr>
                <w:rFonts w:hint="default" w:ascii="Times New Roman" w:hAnsi="Times New Roman" w:cs="Times New Roman"/>
                <w:color w:val="auto"/>
                <w:szCs w:val="21"/>
                <w:highlight w:val="none"/>
              </w:rPr>
            </w:pPr>
          </w:p>
        </w:tc>
        <w:tc>
          <w:tcPr>
            <w:tcW w:w="838" w:type="pct"/>
            <w:tcBorders>
              <w:top w:val="single" w:color="auto" w:sz="4" w:space="0"/>
              <w:left w:val="single" w:color="auto" w:sz="4" w:space="0"/>
              <w:bottom w:val="single" w:color="auto" w:sz="4" w:space="0"/>
              <w:right w:val="single" w:color="auto" w:sz="4" w:space="0"/>
            </w:tcBorders>
          </w:tcPr>
          <w:p w14:paraId="022A3EBA">
            <w:pPr>
              <w:spacing w:line="360" w:lineRule="auto"/>
              <w:rPr>
                <w:rFonts w:hint="default" w:ascii="Times New Roman" w:hAnsi="Times New Roman" w:cs="Times New Roman"/>
                <w:color w:val="auto"/>
                <w:szCs w:val="21"/>
                <w:highlight w:val="none"/>
              </w:rPr>
            </w:pPr>
          </w:p>
        </w:tc>
        <w:tc>
          <w:tcPr>
            <w:tcW w:w="1080" w:type="pct"/>
            <w:tcBorders>
              <w:top w:val="single" w:color="auto" w:sz="4" w:space="0"/>
              <w:left w:val="single" w:color="auto" w:sz="4" w:space="0"/>
              <w:bottom w:val="single" w:color="auto" w:sz="4" w:space="0"/>
              <w:right w:val="single" w:color="auto" w:sz="4" w:space="0"/>
            </w:tcBorders>
          </w:tcPr>
          <w:p w14:paraId="7027AEC4">
            <w:pPr>
              <w:spacing w:line="360" w:lineRule="auto"/>
              <w:rPr>
                <w:rFonts w:hint="default" w:ascii="Times New Roman" w:hAnsi="Times New Roman" w:cs="Times New Roman"/>
                <w:color w:val="auto"/>
                <w:szCs w:val="21"/>
                <w:highlight w:val="none"/>
              </w:rPr>
            </w:pPr>
          </w:p>
        </w:tc>
        <w:tc>
          <w:tcPr>
            <w:tcW w:w="1153" w:type="pct"/>
            <w:tcBorders>
              <w:top w:val="single" w:color="auto" w:sz="4" w:space="0"/>
              <w:left w:val="single" w:color="auto" w:sz="4" w:space="0"/>
              <w:bottom w:val="single" w:color="auto" w:sz="4" w:space="0"/>
              <w:right w:val="single" w:color="auto" w:sz="4" w:space="0"/>
            </w:tcBorders>
          </w:tcPr>
          <w:p w14:paraId="03A5C36C">
            <w:pPr>
              <w:spacing w:line="360" w:lineRule="auto"/>
              <w:rPr>
                <w:rFonts w:hint="default" w:ascii="Times New Roman" w:hAnsi="Times New Roman" w:cs="Times New Roman"/>
                <w:color w:val="auto"/>
                <w:szCs w:val="21"/>
                <w:highlight w:val="none"/>
              </w:rPr>
            </w:pPr>
          </w:p>
        </w:tc>
        <w:tc>
          <w:tcPr>
            <w:tcW w:w="602" w:type="pct"/>
            <w:tcBorders>
              <w:top w:val="single" w:color="auto" w:sz="4" w:space="0"/>
              <w:left w:val="single" w:color="auto" w:sz="4" w:space="0"/>
              <w:bottom w:val="single" w:color="auto" w:sz="4" w:space="0"/>
              <w:right w:val="single" w:color="auto" w:sz="4" w:space="0"/>
            </w:tcBorders>
          </w:tcPr>
          <w:p w14:paraId="43B4507F">
            <w:pPr>
              <w:spacing w:line="360" w:lineRule="auto"/>
              <w:rPr>
                <w:rFonts w:hint="default" w:ascii="Times New Roman" w:hAnsi="Times New Roman" w:cs="Times New Roman"/>
                <w:color w:val="auto"/>
                <w:szCs w:val="21"/>
                <w:highlight w:val="none"/>
              </w:rPr>
            </w:pPr>
          </w:p>
        </w:tc>
        <w:tc>
          <w:tcPr>
            <w:tcW w:w="959" w:type="pct"/>
            <w:tcBorders>
              <w:top w:val="single" w:color="auto" w:sz="4" w:space="0"/>
              <w:left w:val="single" w:color="auto" w:sz="4" w:space="0"/>
              <w:bottom w:val="single" w:color="auto" w:sz="4" w:space="0"/>
              <w:right w:val="single" w:color="auto" w:sz="4" w:space="0"/>
            </w:tcBorders>
          </w:tcPr>
          <w:p w14:paraId="7905C3C3">
            <w:pPr>
              <w:spacing w:line="360" w:lineRule="auto"/>
              <w:rPr>
                <w:rFonts w:hint="default" w:ascii="Times New Roman" w:hAnsi="Times New Roman" w:cs="Times New Roman"/>
                <w:color w:val="auto"/>
                <w:szCs w:val="21"/>
                <w:highlight w:val="none"/>
              </w:rPr>
            </w:pPr>
          </w:p>
        </w:tc>
      </w:tr>
    </w:tbl>
    <w:p w14:paraId="3D5366AA">
      <w:pPr>
        <w:rPr>
          <w:rFonts w:hint="default" w:ascii="Times New Roman" w:hAnsi="Times New Roman" w:cs="Times New Roman"/>
          <w:color w:val="auto"/>
          <w:highlight w:val="none"/>
        </w:rPr>
      </w:pPr>
    </w:p>
    <w:p w14:paraId="20F3CFA8">
      <w:pPr>
        <w:rPr>
          <w:rFonts w:hint="default" w:ascii="Times New Roman" w:hAnsi="Times New Roman" w:cs="Times New Roman"/>
          <w:color w:val="auto"/>
          <w:highlight w:val="none"/>
        </w:rPr>
      </w:pPr>
    </w:p>
    <w:p w14:paraId="5EA7B5C9">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13000E30">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381FEDA9">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p>
    <w:p w14:paraId="77281F3A">
      <w:pPr>
        <w:rPr>
          <w:rFonts w:hint="default" w:ascii="Times New Roman" w:hAnsi="Times New Roman" w:cs="Times New Roman"/>
          <w:color w:val="auto"/>
          <w:highlight w:val="none"/>
        </w:rPr>
      </w:pPr>
    </w:p>
    <w:p w14:paraId="4651B4CD">
      <w:pPr>
        <w:pStyle w:val="18"/>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注：1、供应商应对招标文件第四章招标技术规格及要求的内容给予</w:t>
      </w:r>
      <w:r>
        <w:rPr>
          <w:rFonts w:hint="default" w:ascii="Times New Roman" w:hAnsi="Times New Roman" w:cs="Times New Roman"/>
          <w:b/>
          <w:bCs/>
          <w:color w:val="auto"/>
          <w:szCs w:val="21"/>
          <w:highlight w:val="none"/>
        </w:rPr>
        <w:t>逐条响应</w:t>
      </w:r>
      <w:r>
        <w:rPr>
          <w:rFonts w:hint="default" w:ascii="Times New Roman" w:hAnsi="Times New Roman" w:cs="Times New Roman"/>
          <w:color w:val="auto"/>
          <w:szCs w:val="21"/>
          <w:highlight w:val="none"/>
        </w:rPr>
        <w:t>，</w:t>
      </w:r>
      <w:r>
        <w:rPr>
          <w:rFonts w:hint="default" w:ascii="Times New Roman" w:hAnsi="Times New Roman" w:cs="Times New Roman"/>
          <w:b/>
          <w:bCs/>
          <w:color w:val="auto"/>
          <w:highlight w:val="none"/>
        </w:rPr>
        <w:t>若漏项或不逐条应答视为负偏离。</w:t>
      </w:r>
      <w:r>
        <w:rPr>
          <w:rFonts w:hint="default" w:ascii="Times New Roman" w:hAnsi="Times New Roman" w:cs="Times New Roman"/>
          <w:color w:val="auto"/>
          <w:szCs w:val="21"/>
          <w:highlight w:val="none"/>
        </w:rPr>
        <w:t>以投标产品和服务所能达到的内容予以填写，而</w:t>
      </w:r>
      <w:r>
        <w:rPr>
          <w:rFonts w:hint="default" w:ascii="Times New Roman" w:hAnsi="Times New Roman" w:cs="Times New Roman"/>
          <w:b/>
          <w:bCs/>
          <w:color w:val="auto"/>
          <w:szCs w:val="21"/>
          <w:highlight w:val="none"/>
        </w:rPr>
        <w:t>不应通过简单拷贝招标文件技术要求作为响应内容</w:t>
      </w:r>
      <w:r>
        <w:rPr>
          <w:rFonts w:hint="default" w:ascii="Times New Roman" w:hAnsi="Times New Roman" w:cs="Times New Roman"/>
          <w:color w:val="auto"/>
          <w:szCs w:val="21"/>
          <w:highlight w:val="none"/>
        </w:rPr>
        <w:t>。</w:t>
      </w:r>
      <w:r>
        <w:rPr>
          <w:rFonts w:hint="default" w:ascii="Times New Roman" w:hAnsi="Times New Roman" w:cs="Times New Roman"/>
          <w:b/>
          <w:color w:val="auto"/>
          <w:highlight w:val="none"/>
        </w:rPr>
        <w:t>招标文件中标注“★”的内容为实质性要求，有一项不符合的，作无效投标处理；标注“</w:t>
      </w:r>
      <w:r>
        <w:rPr>
          <w:rFonts w:hint="default" w:ascii="Times New Roman" w:hAnsi="Times New Roman" w:cs="Times New Roman"/>
          <w:b/>
          <w:color w:val="auto"/>
          <w:szCs w:val="22"/>
          <w:highlight w:val="none"/>
        </w:rPr>
        <w:t>▲</w:t>
      </w:r>
      <w:r>
        <w:rPr>
          <w:rFonts w:hint="default" w:ascii="Times New Roman" w:hAnsi="Times New Roman" w:cs="Times New Roman"/>
          <w:b/>
          <w:color w:val="auto"/>
          <w:highlight w:val="none"/>
        </w:rPr>
        <w:t>”的为重要参数，</w:t>
      </w:r>
      <w:r>
        <w:rPr>
          <w:rFonts w:hint="default" w:ascii="Times New Roman" w:hAnsi="Times New Roman" w:cs="Times New Roman"/>
          <w:b/>
          <w:bCs/>
          <w:color w:val="auto"/>
          <w:kern w:val="0"/>
          <w:szCs w:val="21"/>
          <w:highlight w:val="none"/>
        </w:rPr>
        <w:t>供应商必须在投标文件内提供技术支持资料（具体以第三章评标标准要求为准）</w:t>
      </w:r>
      <w:r>
        <w:rPr>
          <w:rFonts w:hint="default" w:ascii="Times New Roman" w:hAnsi="Times New Roman" w:cs="Times New Roman"/>
          <w:b/>
          <w:color w:val="auto"/>
          <w:kern w:val="0"/>
          <w:szCs w:val="21"/>
          <w:highlight w:val="none"/>
        </w:rPr>
        <w:t>。</w:t>
      </w:r>
    </w:p>
    <w:p w14:paraId="07ADCE38">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2、投标文件“响应具体情况",指所投产品的技术应答情况。“说明”栏请注明“响应/正偏离/负偏离”，并且标注针对重要技术参数响应的证明文件在投标文件中的页码及具体位置。</w:t>
      </w:r>
    </w:p>
    <w:p w14:paraId="328799AF">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default" w:ascii="Times New Roman" w:hAnsi="Times New Roman" w:cs="Times New Roman"/>
          <w:b/>
          <w:bCs/>
          <w:color w:val="auto"/>
          <w:szCs w:val="21"/>
          <w:highlight w:val="none"/>
        </w:rPr>
        <w:t>供应商投标规格和招标规格不一致，而供应商却在此表应答为响应或正偏离时，必须提供充分理由说明（不提供或理由不充分将视为负偏离）；因此种情况在设备验收时产生争议，采购人有权按照招标文件的原始标准进行验收。</w:t>
      </w:r>
    </w:p>
    <w:p w14:paraId="058C4BDD">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4、如果行数不够，请自行增加。</w:t>
      </w:r>
    </w:p>
    <w:p w14:paraId="656E1A84">
      <w:pPr>
        <w:autoSpaceDE w:val="0"/>
        <w:autoSpaceDN w:val="0"/>
        <w:spacing w:line="360" w:lineRule="auto"/>
        <w:ind w:right="-5"/>
        <w:textAlignment w:val="bottom"/>
        <w:rPr>
          <w:rFonts w:hint="default" w:ascii="Times New Roman" w:hAnsi="Times New Roman" w:cs="Times New Roman"/>
          <w:b/>
          <w:color w:val="auto"/>
          <w:sz w:val="24"/>
          <w:szCs w:val="24"/>
          <w:highlight w:val="none"/>
        </w:rPr>
        <w:sectPr>
          <w:footerReference r:id="rId13" w:type="first"/>
          <w:pgSz w:w="11906" w:h="16838"/>
          <w:pgMar w:top="1134" w:right="1134" w:bottom="1134" w:left="1134" w:header="851" w:footer="992" w:gutter="0"/>
          <w:cols w:space="720" w:num="1"/>
          <w:titlePg/>
          <w:docGrid w:type="lines" w:linePitch="312" w:charSpace="0"/>
        </w:sectPr>
      </w:pPr>
      <w:bookmarkStart w:id="241" w:name="_Toc20842"/>
      <w:r>
        <w:rPr>
          <w:rFonts w:hint="default" w:ascii="Times New Roman" w:hAnsi="Times New Roman" w:cs="Times New Roman"/>
          <w:b/>
          <w:bCs/>
          <w:color w:val="auto"/>
          <w:sz w:val="24"/>
          <w:szCs w:val="22"/>
          <w:highlight w:val="none"/>
        </w:rPr>
        <w:br w:type="page"/>
      </w:r>
      <w:bookmarkEnd w:id="241"/>
    </w:p>
    <w:p w14:paraId="71B1CC0C">
      <w:pPr>
        <w:spacing w:line="360" w:lineRule="auto"/>
        <w:outlineLvl w:val="1"/>
        <w:rPr>
          <w:rFonts w:hint="default" w:ascii="Times New Roman" w:hAnsi="Times New Roman" w:cs="Times New Roman"/>
          <w:b/>
          <w:bCs/>
          <w:color w:val="auto"/>
          <w:sz w:val="24"/>
          <w:szCs w:val="22"/>
          <w:highlight w:val="none"/>
          <w:lang w:val="zh-CN"/>
        </w:rPr>
      </w:pPr>
      <w:bookmarkStart w:id="242" w:name="_Toc18298"/>
      <w:bookmarkStart w:id="243" w:name="_Toc509"/>
      <w:r>
        <w:rPr>
          <w:rFonts w:hint="default" w:ascii="Times New Roman" w:hAnsi="Times New Roman" w:cs="Times New Roman"/>
          <w:b/>
          <w:bCs/>
          <w:color w:val="auto"/>
          <w:sz w:val="24"/>
          <w:szCs w:val="22"/>
          <w:highlight w:val="none"/>
          <w:lang w:val="zh-CN"/>
        </w:rPr>
        <w:t>附件</w:t>
      </w:r>
      <w:r>
        <w:rPr>
          <w:rFonts w:hint="eastAsia" w:cs="Times New Roman"/>
          <w:b/>
          <w:bCs/>
          <w:color w:val="auto"/>
          <w:sz w:val="24"/>
          <w:szCs w:val="22"/>
          <w:highlight w:val="none"/>
          <w:lang w:val="en-US" w:eastAsia="zh-CN"/>
        </w:rPr>
        <w:t>六</w:t>
      </w:r>
      <w:r>
        <w:rPr>
          <w:rFonts w:hint="default" w:ascii="Times New Roman" w:hAnsi="Times New Roman" w:cs="Times New Roman"/>
          <w:b/>
          <w:bCs/>
          <w:color w:val="auto"/>
          <w:sz w:val="24"/>
          <w:szCs w:val="22"/>
          <w:highlight w:val="none"/>
        </w:rPr>
        <w:t xml:space="preserve"> </w:t>
      </w:r>
      <w:r>
        <w:rPr>
          <w:rFonts w:hint="default" w:ascii="Times New Roman" w:hAnsi="Times New Roman" w:cs="Times New Roman"/>
          <w:b/>
          <w:bCs/>
          <w:color w:val="auto"/>
          <w:sz w:val="24"/>
          <w:szCs w:val="22"/>
          <w:highlight w:val="none"/>
          <w:lang w:val="zh-CN"/>
        </w:rPr>
        <w:t>供应商基本情况表</w:t>
      </w:r>
      <w:bookmarkEnd w:id="242"/>
    </w:p>
    <w:tbl>
      <w:tblPr>
        <w:tblStyle w:val="4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7940"/>
      </w:tblGrid>
      <w:tr w14:paraId="5926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70" w:type="pct"/>
            <w:vAlign w:val="center"/>
          </w:tcPr>
          <w:p w14:paraId="3079CD65">
            <w:pPr>
              <w:adjustRightInd w:val="0"/>
              <w:spacing w:line="360" w:lineRule="auto"/>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供应商名称</w:t>
            </w:r>
          </w:p>
        </w:tc>
        <w:tc>
          <w:tcPr>
            <w:tcW w:w="4029" w:type="pct"/>
            <w:vAlign w:val="center"/>
          </w:tcPr>
          <w:p w14:paraId="34474CB3">
            <w:pPr>
              <w:adjustRightInd w:val="0"/>
              <w:spacing w:line="360" w:lineRule="auto"/>
              <w:textAlignment w:val="baseline"/>
              <w:rPr>
                <w:rFonts w:hint="default" w:ascii="Times New Roman" w:hAnsi="Times New Roman" w:cs="Times New Roman"/>
                <w:b/>
                <w:bCs/>
                <w:color w:val="auto"/>
                <w:szCs w:val="21"/>
                <w:highlight w:val="none"/>
              </w:rPr>
            </w:pPr>
          </w:p>
        </w:tc>
      </w:tr>
      <w:tr w14:paraId="7932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70" w:type="pct"/>
            <w:vAlign w:val="center"/>
          </w:tcPr>
          <w:p w14:paraId="141BE31B">
            <w:pPr>
              <w:adjustRightInd w:val="0"/>
              <w:spacing w:line="360" w:lineRule="auto"/>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社会机构统一信用代码</w:t>
            </w:r>
          </w:p>
        </w:tc>
        <w:tc>
          <w:tcPr>
            <w:tcW w:w="4029" w:type="pct"/>
            <w:vAlign w:val="center"/>
          </w:tcPr>
          <w:p w14:paraId="2DA707BB">
            <w:pPr>
              <w:adjustRightInd w:val="0"/>
              <w:spacing w:line="360" w:lineRule="auto"/>
              <w:textAlignment w:val="baseline"/>
              <w:rPr>
                <w:rFonts w:hint="default" w:ascii="Times New Roman" w:hAnsi="Times New Roman" w:cs="Times New Roman"/>
                <w:b/>
                <w:bCs/>
                <w:color w:val="auto"/>
                <w:szCs w:val="21"/>
                <w:highlight w:val="none"/>
              </w:rPr>
            </w:pPr>
          </w:p>
        </w:tc>
      </w:tr>
      <w:tr w14:paraId="0B1E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70" w:type="pct"/>
            <w:vAlign w:val="center"/>
          </w:tcPr>
          <w:p w14:paraId="38231C4E">
            <w:pPr>
              <w:adjustRightInd w:val="0"/>
              <w:spacing w:line="360" w:lineRule="auto"/>
              <w:jc w:val="center"/>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highlight w:val="none"/>
                <w:lang w:val="zh-CN"/>
              </w:rPr>
              <w:t>供应商规模</w:t>
            </w:r>
          </w:p>
        </w:tc>
        <w:tc>
          <w:tcPr>
            <w:tcW w:w="4029" w:type="pct"/>
            <w:vAlign w:val="center"/>
          </w:tcPr>
          <w:p w14:paraId="4BBB8055">
            <w:pPr>
              <w:adjustRightInd w:val="0"/>
              <w:spacing w:line="360" w:lineRule="auto"/>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 xml:space="preserve">     </w:t>
            </w:r>
            <w:r>
              <w:rPr>
                <w:rFonts w:hint="default" w:ascii="Times New Roman" w:hAnsi="Times New Roman" w:cs="Times New Roman"/>
                <w:color w:val="auto"/>
                <w:sz w:val="24"/>
                <w:szCs w:val="24"/>
                <w:highlight w:val="none"/>
              </w:rPr>
              <w:t>□</w:t>
            </w:r>
            <w:r>
              <w:rPr>
                <w:rFonts w:hint="default" w:ascii="Times New Roman" w:hAnsi="Times New Roman" w:cs="Times New Roman"/>
                <w:b/>
                <w:bCs/>
                <w:color w:val="auto"/>
                <w:szCs w:val="21"/>
                <w:highlight w:val="none"/>
              </w:rPr>
              <w:t xml:space="preserve">大型           </w:t>
            </w:r>
            <w:r>
              <w:rPr>
                <w:rFonts w:hint="default" w:ascii="Times New Roman" w:hAnsi="Times New Roman" w:cs="Times New Roman"/>
                <w:color w:val="auto"/>
                <w:sz w:val="24"/>
                <w:szCs w:val="24"/>
                <w:highlight w:val="none"/>
              </w:rPr>
              <w:t>□</w:t>
            </w:r>
            <w:r>
              <w:rPr>
                <w:rFonts w:hint="default" w:ascii="Times New Roman" w:hAnsi="Times New Roman" w:cs="Times New Roman"/>
                <w:b/>
                <w:bCs/>
                <w:color w:val="auto"/>
                <w:szCs w:val="21"/>
                <w:highlight w:val="none"/>
              </w:rPr>
              <w:t xml:space="preserve">中型          </w:t>
            </w:r>
            <w:r>
              <w:rPr>
                <w:rFonts w:hint="default" w:ascii="Times New Roman" w:hAnsi="Times New Roman" w:cs="Times New Roman"/>
                <w:color w:val="auto"/>
                <w:sz w:val="24"/>
                <w:szCs w:val="24"/>
                <w:highlight w:val="none"/>
              </w:rPr>
              <w:t>□</w:t>
            </w:r>
            <w:r>
              <w:rPr>
                <w:rFonts w:hint="default" w:ascii="Times New Roman" w:hAnsi="Times New Roman" w:cs="Times New Roman"/>
                <w:b/>
                <w:bCs/>
                <w:color w:val="auto"/>
                <w:szCs w:val="21"/>
                <w:highlight w:val="none"/>
              </w:rPr>
              <w:t xml:space="preserve">小微型      </w:t>
            </w:r>
          </w:p>
        </w:tc>
      </w:tr>
      <w:tr w14:paraId="58B1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70" w:type="pct"/>
            <w:vAlign w:val="center"/>
          </w:tcPr>
          <w:p w14:paraId="4CAFA22E">
            <w:pPr>
              <w:spacing w:line="360" w:lineRule="auto"/>
              <w:jc w:val="center"/>
              <w:rPr>
                <w:rFonts w:hint="default" w:ascii="Times New Roman" w:hAnsi="Times New Roman" w:cs="Times New Roman"/>
                <w:b/>
                <w:bCs/>
                <w:color w:val="auto"/>
                <w:highlight w:val="none"/>
                <w:lang w:val="zh-CN"/>
              </w:rPr>
            </w:pPr>
            <w:r>
              <w:rPr>
                <w:rFonts w:hint="default" w:ascii="Times New Roman" w:hAnsi="Times New Roman" w:cs="Times New Roman"/>
                <w:b/>
                <w:bCs/>
                <w:color w:val="auto"/>
                <w:highlight w:val="none"/>
                <w:lang w:val="zh-CN"/>
              </w:rPr>
              <w:t>供应商所在区域</w:t>
            </w:r>
          </w:p>
          <w:p w14:paraId="11FC3076">
            <w:pPr>
              <w:adjustRightInd w:val="0"/>
              <w:spacing w:line="360" w:lineRule="auto"/>
              <w:jc w:val="center"/>
              <w:textAlignment w:val="baseline"/>
              <w:rPr>
                <w:rFonts w:hint="default" w:ascii="Times New Roman" w:hAnsi="Times New Roman" w:cs="Times New Roman"/>
                <w:b/>
                <w:bCs/>
                <w:color w:val="auto"/>
                <w:highlight w:val="none"/>
                <w:lang w:val="zh-CN"/>
              </w:rPr>
            </w:pPr>
            <w:r>
              <w:rPr>
                <w:rFonts w:hint="default" w:ascii="Times New Roman" w:hAnsi="Times New Roman" w:cs="Times New Roman"/>
                <w:b/>
                <w:bCs/>
                <w:color w:val="auto"/>
                <w:highlight w:val="none"/>
                <w:lang w:val="zh-CN"/>
              </w:rPr>
              <w:t>（细化到省份）</w:t>
            </w:r>
          </w:p>
        </w:tc>
        <w:tc>
          <w:tcPr>
            <w:tcW w:w="4029" w:type="pct"/>
            <w:vAlign w:val="center"/>
          </w:tcPr>
          <w:p w14:paraId="2E981C7D">
            <w:pPr>
              <w:adjustRightInd w:val="0"/>
              <w:spacing w:line="360" w:lineRule="auto"/>
              <w:textAlignment w:val="baseline"/>
              <w:rPr>
                <w:rFonts w:hint="default" w:ascii="Times New Roman" w:hAnsi="Times New Roman" w:cs="Times New Roman"/>
                <w:b/>
                <w:bCs/>
                <w:color w:val="auto"/>
                <w:szCs w:val="21"/>
                <w:highlight w:val="none"/>
              </w:rPr>
            </w:pPr>
          </w:p>
        </w:tc>
      </w:tr>
      <w:tr w14:paraId="247E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70" w:type="pct"/>
            <w:vAlign w:val="center"/>
          </w:tcPr>
          <w:p w14:paraId="0558BADD">
            <w:pPr>
              <w:spacing w:line="360" w:lineRule="auto"/>
              <w:jc w:val="center"/>
              <w:rPr>
                <w:rFonts w:hint="default" w:ascii="Times New Roman" w:hAnsi="Times New Roman" w:cs="Times New Roman"/>
                <w:b/>
                <w:bCs/>
                <w:color w:val="auto"/>
                <w:highlight w:val="none"/>
                <w:lang w:val="zh-CN"/>
              </w:rPr>
            </w:pPr>
            <w:r>
              <w:rPr>
                <w:rFonts w:hint="default" w:ascii="Times New Roman" w:hAnsi="Times New Roman" w:cs="Times New Roman"/>
                <w:b/>
                <w:bCs/>
                <w:color w:val="auto"/>
                <w:highlight w:val="none"/>
                <w:lang w:val="zh-CN"/>
              </w:rPr>
              <w:t>是否特殊性质</w:t>
            </w:r>
          </w:p>
        </w:tc>
        <w:tc>
          <w:tcPr>
            <w:tcW w:w="4029" w:type="pct"/>
            <w:vAlign w:val="center"/>
          </w:tcPr>
          <w:p w14:paraId="169A8ECF">
            <w:pPr>
              <w:adjustRightInd w:val="0"/>
              <w:spacing w:line="360" w:lineRule="auto"/>
              <w:textAlignment w:val="baseline"/>
              <w:rPr>
                <w:rFonts w:hint="default" w:ascii="Times New Roman" w:hAnsi="Times New Roman" w:cs="Times New Roman"/>
                <w:b/>
                <w:bCs/>
                <w:color w:val="auto"/>
                <w:szCs w:val="21"/>
                <w:highlight w:val="none"/>
              </w:rPr>
            </w:pPr>
            <w:r>
              <w:rPr>
                <w:rFonts w:hint="default" w:ascii="Times New Roman" w:hAnsi="Times New Roman" w:cs="Times New Roman"/>
                <w:b/>
                <w:bCs/>
                <w:color w:val="auto"/>
                <w:highlight w:val="none"/>
                <w:lang w:val="zh-CN"/>
              </w:rPr>
              <w:t xml:space="preserve">   </w:t>
            </w:r>
            <w:r>
              <w:rPr>
                <w:rFonts w:hint="default" w:ascii="Times New Roman" w:hAnsi="Times New Roman" w:cs="Times New Roman"/>
                <w:color w:val="auto"/>
                <w:sz w:val="24"/>
                <w:szCs w:val="24"/>
                <w:highlight w:val="none"/>
              </w:rPr>
              <w:t>□</w:t>
            </w:r>
            <w:r>
              <w:rPr>
                <w:rFonts w:hint="default" w:ascii="Times New Roman" w:hAnsi="Times New Roman" w:cs="Times New Roman"/>
                <w:b/>
                <w:bCs/>
                <w:color w:val="auto"/>
                <w:highlight w:val="none"/>
                <w:lang w:val="zh-CN"/>
              </w:rPr>
              <w:t xml:space="preserve">监狱企业残疾人     </w:t>
            </w:r>
            <w:r>
              <w:rPr>
                <w:rFonts w:hint="default" w:ascii="Times New Roman" w:hAnsi="Times New Roman" w:cs="Times New Roman"/>
                <w:color w:val="auto"/>
                <w:sz w:val="24"/>
                <w:szCs w:val="24"/>
                <w:highlight w:val="none"/>
              </w:rPr>
              <w:t>□</w:t>
            </w:r>
            <w:r>
              <w:rPr>
                <w:rFonts w:hint="default" w:ascii="Times New Roman" w:hAnsi="Times New Roman" w:cs="Times New Roman"/>
                <w:b/>
                <w:bCs/>
                <w:color w:val="auto"/>
                <w:highlight w:val="none"/>
                <w:lang w:val="zh-CN"/>
              </w:rPr>
              <w:t xml:space="preserve">福利性单位     </w:t>
            </w:r>
            <w:r>
              <w:rPr>
                <w:rFonts w:hint="default" w:ascii="Times New Roman" w:hAnsi="Times New Roman" w:cs="Times New Roman"/>
                <w:color w:val="auto"/>
                <w:sz w:val="24"/>
                <w:szCs w:val="24"/>
                <w:highlight w:val="none"/>
              </w:rPr>
              <w:t>□</w:t>
            </w:r>
            <w:r>
              <w:rPr>
                <w:rFonts w:hint="default" w:ascii="Times New Roman" w:hAnsi="Times New Roman" w:cs="Times New Roman"/>
                <w:b/>
                <w:bCs/>
                <w:color w:val="auto"/>
                <w:highlight w:val="none"/>
                <w:lang w:val="zh-CN"/>
              </w:rPr>
              <w:t>其他</w:t>
            </w:r>
          </w:p>
        </w:tc>
      </w:tr>
    </w:tbl>
    <w:p w14:paraId="5461EF69">
      <w:pPr>
        <w:rPr>
          <w:rFonts w:hint="default" w:ascii="Times New Roman" w:hAnsi="Times New Roman" w:cs="Times New Roman"/>
          <w:color w:val="auto"/>
          <w:highlight w:val="none"/>
          <w:lang w:val="zh-CN"/>
        </w:rPr>
      </w:pPr>
    </w:p>
    <w:p w14:paraId="7FC7D4C3">
      <w:pPr>
        <w:spacing w:line="360" w:lineRule="auto"/>
        <w:rPr>
          <w:rFonts w:hint="default" w:ascii="Times New Roman" w:hAnsi="Times New Roman" w:cs="Times New Roman"/>
          <w:color w:val="auto"/>
          <w:highlight w:val="none"/>
          <w:lang w:val="zh-CN"/>
        </w:rPr>
      </w:pPr>
      <w:r>
        <w:rPr>
          <w:rFonts w:hint="default" w:ascii="Times New Roman" w:hAnsi="Times New Roman" w:cs="Times New Roman"/>
          <w:color w:val="auto"/>
          <w:highlight w:val="none"/>
          <w:lang w:val="zh-CN"/>
        </w:rPr>
        <w:t>注：</w:t>
      </w:r>
    </w:p>
    <w:p w14:paraId="3AFBB595">
      <w:pPr>
        <w:spacing w:line="360" w:lineRule="auto"/>
        <w:ind w:firstLine="218" w:firstLineChars="104"/>
        <w:rPr>
          <w:rFonts w:hint="default" w:ascii="Times New Roman" w:hAnsi="Times New Roman" w:cs="Times New Roman"/>
          <w:color w:val="auto"/>
          <w:highlight w:val="none"/>
        </w:rPr>
      </w:pPr>
      <w:r>
        <w:rPr>
          <w:rFonts w:hint="default" w:ascii="Times New Roman" w:hAnsi="Times New Roman" w:cs="Times New Roman"/>
          <w:color w:val="auto"/>
          <w:highlight w:val="none"/>
        </w:rPr>
        <w:t>1、供应商规模：供应商应对照工业和信息化部、国家统计局、国家发展改革委、财政部《关于印发中小企业划型标准规定的通知》（工信部联企业〔2011〕300 号）中的规模划分勾选自身规模；</w:t>
      </w:r>
    </w:p>
    <w:p w14:paraId="7739F80C">
      <w:pPr>
        <w:spacing w:line="360" w:lineRule="auto"/>
        <w:ind w:firstLine="218" w:firstLineChars="104"/>
        <w:rPr>
          <w:rFonts w:hint="default" w:ascii="Times New Roman" w:hAnsi="Times New Roman" w:cs="Times New Roman"/>
          <w:color w:val="auto"/>
          <w:highlight w:val="none"/>
        </w:rPr>
      </w:pPr>
      <w:r>
        <w:rPr>
          <w:rFonts w:hint="default" w:ascii="Times New Roman" w:hAnsi="Times New Roman" w:cs="Times New Roman"/>
          <w:color w:val="auto"/>
          <w:highlight w:val="none"/>
        </w:rPr>
        <w:t>2、供应商所在区域：指供应商注册地所在地区，具体细化到省份；</w:t>
      </w:r>
    </w:p>
    <w:p w14:paraId="4C3FC6B2">
      <w:pPr>
        <w:spacing w:line="360" w:lineRule="auto"/>
        <w:ind w:firstLine="218" w:firstLineChars="104"/>
        <w:rPr>
          <w:rFonts w:hint="default" w:ascii="Times New Roman" w:hAnsi="Times New Roman" w:cs="Times New Roman"/>
          <w:color w:val="auto"/>
          <w:highlight w:val="none"/>
        </w:rPr>
      </w:pPr>
      <w:r>
        <w:rPr>
          <w:rFonts w:hint="default" w:ascii="Times New Roman" w:hAnsi="Times New Roman" w:cs="Times New Roman"/>
          <w:color w:val="auto"/>
          <w:highlight w:val="none"/>
        </w:rPr>
        <w:t>3、是否特殊性质：供应商应对照《财政部司法部关于政府采购支持监狱企业发展有关问题的通知》（财库〔2014〕68号） 和《财政部民政部中国残疾人联合会关于促进残疾人就业政府采购政策的通知》（财库〔2017〕141号）的规定勾选自身性质。</w:t>
      </w:r>
    </w:p>
    <w:p w14:paraId="3D2A2D1C">
      <w:pPr>
        <w:spacing w:line="360" w:lineRule="auto"/>
        <w:outlineLvl w:val="1"/>
        <w:rPr>
          <w:rFonts w:hint="default" w:ascii="Times New Roman" w:hAnsi="Times New Roman" w:cs="Times New Roman"/>
          <w:b/>
          <w:bCs/>
          <w:color w:val="auto"/>
          <w:sz w:val="24"/>
          <w:szCs w:val="22"/>
          <w:highlight w:val="none"/>
          <w:lang w:val="zh-CN"/>
        </w:rPr>
        <w:sectPr>
          <w:pgSz w:w="11906" w:h="16838"/>
          <w:pgMar w:top="1134" w:right="1134" w:bottom="1134" w:left="1134" w:header="851" w:footer="992" w:gutter="0"/>
          <w:cols w:space="720" w:num="1"/>
          <w:titlePg/>
          <w:docGrid w:type="lines" w:linePitch="312" w:charSpace="0"/>
        </w:sectPr>
      </w:pPr>
      <w:bookmarkStart w:id="244" w:name="_Toc22359"/>
      <w:bookmarkStart w:id="245" w:name="_Toc15999"/>
    </w:p>
    <w:bookmarkEnd w:id="244"/>
    <w:bookmarkEnd w:id="245"/>
    <w:p w14:paraId="60B36520">
      <w:pPr>
        <w:spacing w:line="360" w:lineRule="auto"/>
        <w:outlineLvl w:val="1"/>
        <w:rPr>
          <w:rFonts w:hint="default" w:ascii="Times New Roman" w:hAnsi="Times New Roman" w:cs="Times New Roman"/>
          <w:b/>
          <w:color w:val="auto"/>
          <w:sz w:val="24"/>
          <w:szCs w:val="24"/>
          <w:highlight w:val="none"/>
        </w:rPr>
      </w:pPr>
      <w:bookmarkStart w:id="246" w:name="_Toc7350"/>
      <w:r>
        <w:rPr>
          <w:rFonts w:hint="default" w:ascii="Times New Roman" w:hAnsi="Times New Roman" w:cs="Times New Roman"/>
          <w:b/>
          <w:bCs/>
          <w:color w:val="auto"/>
          <w:sz w:val="24"/>
          <w:szCs w:val="22"/>
          <w:highlight w:val="none"/>
          <w:lang w:val="zh-CN"/>
        </w:rPr>
        <w:t>附件</w:t>
      </w:r>
      <w:r>
        <w:rPr>
          <w:rFonts w:hint="eastAsia" w:cs="Times New Roman"/>
          <w:b/>
          <w:bCs/>
          <w:color w:val="auto"/>
          <w:sz w:val="24"/>
          <w:szCs w:val="22"/>
          <w:highlight w:val="none"/>
          <w:lang w:val="en-US" w:eastAsia="zh-CN"/>
        </w:rPr>
        <w:t>七</w:t>
      </w:r>
      <w:r>
        <w:rPr>
          <w:rFonts w:hint="default" w:ascii="Times New Roman" w:hAnsi="Times New Roman" w:cs="Times New Roman"/>
          <w:b/>
          <w:bCs/>
          <w:color w:val="auto"/>
          <w:sz w:val="24"/>
          <w:szCs w:val="22"/>
          <w:highlight w:val="none"/>
        </w:rPr>
        <w:t xml:space="preserve"> </w:t>
      </w:r>
      <w:r>
        <w:rPr>
          <w:rFonts w:hint="default" w:ascii="Times New Roman" w:hAnsi="Times New Roman" w:cs="Times New Roman"/>
          <w:b/>
          <w:bCs/>
          <w:color w:val="auto"/>
          <w:sz w:val="24"/>
          <w:szCs w:val="22"/>
          <w:highlight w:val="none"/>
          <w:lang w:val="zh-CN"/>
        </w:rPr>
        <w:t>投标保证金交纳相关证明材料</w:t>
      </w:r>
      <w:bookmarkEnd w:id="243"/>
      <w:r>
        <w:rPr>
          <w:rFonts w:hint="default" w:ascii="Times New Roman" w:hAnsi="Times New Roman" w:cs="Times New Roman"/>
          <w:b/>
          <w:bCs/>
          <w:color w:val="auto"/>
          <w:sz w:val="24"/>
          <w:szCs w:val="22"/>
          <w:highlight w:val="none"/>
          <w:lang w:val="zh-CN"/>
        </w:rPr>
        <w:t>（如有）</w:t>
      </w:r>
      <w:bookmarkEnd w:id="246"/>
    </w:p>
    <w:p w14:paraId="082056DA">
      <w:pPr>
        <w:spacing w:line="360" w:lineRule="auto"/>
        <w:jc w:val="center"/>
        <w:outlineLvl w:val="2"/>
        <w:rPr>
          <w:rFonts w:hint="default" w:ascii="Times New Roman" w:hAnsi="Times New Roman" w:cs="Times New Roman"/>
          <w:b/>
          <w:bCs/>
          <w:color w:val="auto"/>
          <w:szCs w:val="21"/>
          <w:highlight w:val="none"/>
          <w:lang w:val="zh-CN"/>
        </w:rPr>
      </w:pPr>
      <w:bookmarkStart w:id="247" w:name="_Toc12320"/>
      <w:bookmarkStart w:id="248" w:name="_Toc22507"/>
      <w:r>
        <w:rPr>
          <w:rFonts w:hint="default" w:ascii="Times New Roman" w:hAnsi="Times New Roman" w:cs="Times New Roman"/>
          <w:b/>
          <w:bCs/>
          <w:color w:val="auto"/>
          <w:szCs w:val="21"/>
          <w:highlight w:val="none"/>
          <w:lang w:val="zh-CN"/>
        </w:rPr>
        <w:t>（一）投标保证金付款凭证复印件</w:t>
      </w:r>
      <w:bookmarkEnd w:id="247"/>
      <w:bookmarkEnd w:id="248"/>
    </w:p>
    <w:p w14:paraId="4F7EB1BC">
      <w:pPr>
        <w:autoSpaceDE w:val="0"/>
        <w:autoSpaceDN w:val="0"/>
        <w:spacing w:line="440" w:lineRule="exact"/>
        <w:ind w:right="-5"/>
        <w:textAlignment w:val="bottom"/>
        <w:rPr>
          <w:rFonts w:hint="default" w:ascii="Times New Roman" w:hAnsi="Times New Roman" w:cs="Times New Roman"/>
          <w:b/>
          <w:color w:val="auto"/>
          <w:sz w:val="24"/>
          <w:szCs w:val="24"/>
          <w:highlight w:val="none"/>
          <w:lang w:val="zh-CN"/>
        </w:rPr>
      </w:pPr>
    </w:p>
    <w:p w14:paraId="106579B0">
      <w:pPr>
        <w:autoSpaceDE w:val="0"/>
        <w:autoSpaceDN w:val="0"/>
        <w:spacing w:line="440" w:lineRule="exact"/>
        <w:ind w:right="-5"/>
        <w:textAlignment w:val="bottom"/>
        <w:rPr>
          <w:rFonts w:hint="default" w:ascii="Times New Roman" w:hAnsi="Times New Roman" w:cs="Times New Roman"/>
          <w:b/>
          <w:color w:val="auto"/>
          <w:sz w:val="24"/>
          <w:szCs w:val="24"/>
          <w:highlight w:val="none"/>
          <w:lang w:val="zh-CN"/>
        </w:rPr>
      </w:pPr>
    </w:p>
    <w:p w14:paraId="7BD30E1C">
      <w:pPr>
        <w:spacing w:line="360" w:lineRule="auto"/>
        <w:jc w:val="center"/>
        <w:outlineLvl w:val="2"/>
        <w:rPr>
          <w:rFonts w:hint="default" w:ascii="Times New Roman" w:hAnsi="Times New Roman" w:cs="Times New Roman"/>
          <w:b/>
          <w:bCs/>
          <w:color w:val="auto"/>
          <w:szCs w:val="21"/>
          <w:highlight w:val="none"/>
          <w:lang w:val="zh-CN"/>
        </w:rPr>
      </w:pPr>
      <w:bookmarkStart w:id="249" w:name="_Toc24114"/>
      <w:bookmarkStart w:id="250" w:name="_Toc32262"/>
      <w:r>
        <w:rPr>
          <w:rFonts w:hint="default" w:ascii="Times New Roman" w:hAnsi="Times New Roman" w:cs="Times New Roman"/>
          <w:b/>
          <w:bCs/>
          <w:color w:val="auto"/>
          <w:szCs w:val="21"/>
          <w:highlight w:val="none"/>
          <w:lang w:val="zh-CN"/>
        </w:rPr>
        <w:t>（二）投标保证金转账退还信息函</w:t>
      </w:r>
      <w:bookmarkEnd w:id="249"/>
      <w:bookmarkEnd w:id="250"/>
    </w:p>
    <w:p w14:paraId="41C5ACF6">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（说明：本格式适用于以本票、汇票或电汇形式递交的投标保证金的退还。</w:t>
      </w:r>
      <w:r>
        <w:rPr>
          <w:rFonts w:hint="default" w:ascii="Times New Roman" w:hAnsi="Times New Roman" w:cs="Times New Roman"/>
          <w:b/>
          <w:color w:val="auto"/>
          <w:szCs w:val="21"/>
          <w:highlight w:val="none"/>
        </w:rPr>
        <w:t xml:space="preserve"> 投标保证金转账退还信息函请随同投标保证金一起密封、递交</w:t>
      </w:r>
      <w:r>
        <w:rPr>
          <w:rFonts w:hint="default" w:ascii="Times New Roman" w:hAnsi="Times New Roman" w:cs="Times New Roman"/>
          <w:color w:val="auto"/>
          <w:szCs w:val="21"/>
          <w:highlight w:val="none"/>
        </w:rPr>
        <w:t>。）</w:t>
      </w:r>
    </w:p>
    <w:p w14:paraId="1A854DF3">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江苏苏美达仪器设备有限公司：</w:t>
      </w:r>
    </w:p>
    <w:p w14:paraId="34268FCB">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我公司参加贵单位代理的招标项目的投标，投标保证金退还信息及开票信息详见下表：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2"/>
        <w:gridCol w:w="3024"/>
        <w:gridCol w:w="1911"/>
        <w:gridCol w:w="3017"/>
      </w:tblGrid>
      <w:tr w14:paraId="27616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2" w:type="dxa"/>
            <w:vAlign w:val="center"/>
          </w:tcPr>
          <w:p w14:paraId="5A5F4847">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项目名称</w:t>
            </w:r>
          </w:p>
        </w:tc>
        <w:tc>
          <w:tcPr>
            <w:tcW w:w="3024" w:type="dxa"/>
            <w:vAlign w:val="center"/>
          </w:tcPr>
          <w:p w14:paraId="10EE4DC5">
            <w:pPr>
              <w:spacing w:line="360" w:lineRule="auto"/>
              <w:jc w:val="center"/>
              <w:rPr>
                <w:rFonts w:hint="default" w:ascii="Times New Roman" w:hAnsi="Times New Roman" w:cs="Times New Roman"/>
                <w:color w:val="auto"/>
                <w:szCs w:val="21"/>
                <w:highlight w:val="none"/>
              </w:rPr>
            </w:pPr>
          </w:p>
        </w:tc>
        <w:tc>
          <w:tcPr>
            <w:tcW w:w="1911" w:type="dxa"/>
            <w:vAlign w:val="center"/>
          </w:tcPr>
          <w:p w14:paraId="118A6030">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招标编号</w:t>
            </w:r>
          </w:p>
        </w:tc>
        <w:tc>
          <w:tcPr>
            <w:tcW w:w="3017" w:type="dxa"/>
            <w:vAlign w:val="center"/>
          </w:tcPr>
          <w:p w14:paraId="2568D3C9">
            <w:pPr>
              <w:spacing w:line="360" w:lineRule="auto"/>
              <w:jc w:val="center"/>
              <w:rPr>
                <w:rFonts w:hint="default" w:ascii="Times New Roman" w:hAnsi="Times New Roman" w:cs="Times New Roman"/>
                <w:color w:val="auto"/>
                <w:szCs w:val="21"/>
                <w:highlight w:val="none"/>
              </w:rPr>
            </w:pPr>
          </w:p>
        </w:tc>
      </w:tr>
      <w:tr w14:paraId="2134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2" w:type="dxa"/>
            <w:vAlign w:val="center"/>
          </w:tcPr>
          <w:p w14:paraId="0540FA4F">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单位名称</w:t>
            </w:r>
          </w:p>
        </w:tc>
        <w:tc>
          <w:tcPr>
            <w:tcW w:w="3024" w:type="dxa"/>
            <w:vAlign w:val="center"/>
          </w:tcPr>
          <w:p w14:paraId="497FE8B5">
            <w:pPr>
              <w:spacing w:line="360" w:lineRule="auto"/>
              <w:jc w:val="center"/>
              <w:rPr>
                <w:rFonts w:hint="default" w:ascii="Times New Roman" w:hAnsi="Times New Roman" w:cs="Times New Roman"/>
                <w:color w:val="auto"/>
                <w:szCs w:val="21"/>
                <w:highlight w:val="none"/>
              </w:rPr>
            </w:pPr>
          </w:p>
        </w:tc>
        <w:tc>
          <w:tcPr>
            <w:tcW w:w="1911" w:type="dxa"/>
            <w:vAlign w:val="center"/>
          </w:tcPr>
          <w:p w14:paraId="561B20E1">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保证金交纳方式</w:t>
            </w:r>
          </w:p>
        </w:tc>
        <w:tc>
          <w:tcPr>
            <w:tcW w:w="3017" w:type="dxa"/>
            <w:vAlign w:val="center"/>
          </w:tcPr>
          <w:p w14:paraId="74179A55">
            <w:pPr>
              <w:spacing w:line="360" w:lineRule="auto"/>
              <w:jc w:val="center"/>
              <w:rPr>
                <w:rFonts w:hint="default" w:ascii="Times New Roman" w:hAnsi="Times New Roman" w:cs="Times New Roman"/>
                <w:color w:val="auto"/>
                <w:szCs w:val="21"/>
                <w:highlight w:val="none"/>
              </w:rPr>
            </w:pPr>
          </w:p>
        </w:tc>
      </w:tr>
      <w:tr w14:paraId="0BDB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2" w:type="dxa"/>
            <w:vAlign w:val="center"/>
          </w:tcPr>
          <w:p w14:paraId="5785D17A">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开户银行</w:t>
            </w:r>
          </w:p>
        </w:tc>
        <w:tc>
          <w:tcPr>
            <w:tcW w:w="3024" w:type="dxa"/>
            <w:vAlign w:val="center"/>
          </w:tcPr>
          <w:p w14:paraId="731EEF5D">
            <w:pPr>
              <w:spacing w:line="360" w:lineRule="auto"/>
              <w:jc w:val="center"/>
              <w:rPr>
                <w:rFonts w:hint="default" w:ascii="Times New Roman" w:hAnsi="Times New Roman" w:cs="Times New Roman"/>
                <w:color w:val="auto"/>
                <w:szCs w:val="21"/>
                <w:highlight w:val="none"/>
              </w:rPr>
            </w:pPr>
          </w:p>
        </w:tc>
        <w:tc>
          <w:tcPr>
            <w:tcW w:w="1911" w:type="dxa"/>
            <w:vAlign w:val="center"/>
          </w:tcPr>
          <w:p w14:paraId="3A3B3EA1">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银行账号</w:t>
            </w:r>
          </w:p>
        </w:tc>
        <w:tc>
          <w:tcPr>
            <w:tcW w:w="3017" w:type="dxa"/>
            <w:vAlign w:val="center"/>
          </w:tcPr>
          <w:p w14:paraId="3666A9D1">
            <w:pPr>
              <w:spacing w:line="360" w:lineRule="auto"/>
              <w:jc w:val="center"/>
              <w:rPr>
                <w:rFonts w:hint="default" w:ascii="Times New Roman" w:hAnsi="Times New Roman" w:cs="Times New Roman"/>
                <w:color w:val="auto"/>
                <w:szCs w:val="21"/>
                <w:highlight w:val="none"/>
              </w:rPr>
            </w:pPr>
          </w:p>
        </w:tc>
      </w:tr>
      <w:tr w14:paraId="45F3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2" w:type="dxa"/>
            <w:vAlign w:val="center"/>
          </w:tcPr>
          <w:p w14:paraId="16CAEAF8">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汇款金额</w:t>
            </w:r>
          </w:p>
        </w:tc>
        <w:tc>
          <w:tcPr>
            <w:tcW w:w="7952" w:type="dxa"/>
            <w:gridSpan w:val="3"/>
            <w:vAlign w:val="center"/>
          </w:tcPr>
          <w:p w14:paraId="78BFAD9A">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人民币大写        小写</w:t>
            </w:r>
          </w:p>
        </w:tc>
      </w:tr>
      <w:tr w14:paraId="21362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2" w:type="dxa"/>
            <w:vAlign w:val="center"/>
          </w:tcPr>
          <w:p w14:paraId="7F05BF98">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汇出时间</w:t>
            </w:r>
          </w:p>
        </w:tc>
        <w:tc>
          <w:tcPr>
            <w:tcW w:w="7952" w:type="dxa"/>
            <w:gridSpan w:val="3"/>
            <w:vAlign w:val="center"/>
          </w:tcPr>
          <w:p w14:paraId="357FD250">
            <w:pPr>
              <w:spacing w:line="360" w:lineRule="auto"/>
              <w:jc w:val="center"/>
              <w:rPr>
                <w:rFonts w:hint="default" w:ascii="Times New Roman" w:hAnsi="Times New Roman" w:cs="Times New Roman"/>
                <w:color w:val="auto"/>
                <w:szCs w:val="21"/>
                <w:highlight w:val="none"/>
              </w:rPr>
            </w:pPr>
          </w:p>
        </w:tc>
      </w:tr>
      <w:tr w14:paraId="42EC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4"/>
            <w:vAlign w:val="center"/>
          </w:tcPr>
          <w:p w14:paraId="3D2789D4">
            <w:pPr>
              <w:spacing w:line="36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开具发票信息</w:t>
            </w:r>
          </w:p>
        </w:tc>
      </w:tr>
      <w:tr w14:paraId="17F9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2" w:type="dxa"/>
            <w:vAlign w:val="center"/>
          </w:tcPr>
          <w:p w14:paraId="2EE62F28">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发票类型</w:t>
            </w:r>
          </w:p>
        </w:tc>
        <w:tc>
          <w:tcPr>
            <w:tcW w:w="7952" w:type="dxa"/>
            <w:gridSpan w:val="3"/>
            <w:vAlign w:val="center"/>
          </w:tcPr>
          <w:p w14:paraId="388E9900">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2" w:char="00A3"/>
            </w:r>
            <w:r>
              <w:rPr>
                <w:rFonts w:hint="default" w:ascii="Times New Roman" w:hAnsi="Times New Roman" w:cs="Times New Roman"/>
                <w:color w:val="auto"/>
                <w:szCs w:val="21"/>
                <w:highlight w:val="none"/>
              </w:rPr>
              <w:t xml:space="preserve">增值税普通发票           </w:t>
            </w:r>
            <w:r>
              <w:rPr>
                <w:rFonts w:hint="default" w:ascii="Times New Roman" w:hAnsi="Times New Roman" w:cs="Times New Roman"/>
                <w:color w:val="auto"/>
                <w:szCs w:val="21"/>
                <w:highlight w:val="none"/>
              </w:rPr>
              <w:sym w:font="Wingdings 2" w:char="00A3"/>
            </w:r>
            <w:r>
              <w:rPr>
                <w:rFonts w:hint="default" w:ascii="Times New Roman" w:hAnsi="Times New Roman" w:cs="Times New Roman"/>
                <w:color w:val="auto"/>
                <w:szCs w:val="21"/>
                <w:highlight w:val="none"/>
              </w:rPr>
              <w:t xml:space="preserve">增值税专用发票       </w:t>
            </w:r>
          </w:p>
        </w:tc>
      </w:tr>
      <w:tr w14:paraId="5800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6" w:type="dxa"/>
            <w:gridSpan w:val="2"/>
            <w:vAlign w:val="center"/>
          </w:tcPr>
          <w:p w14:paraId="24868780">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税号（三证合一单位提供统一社会信用代码）</w:t>
            </w:r>
          </w:p>
        </w:tc>
        <w:tc>
          <w:tcPr>
            <w:tcW w:w="4928" w:type="dxa"/>
            <w:gridSpan w:val="2"/>
            <w:vAlign w:val="center"/>
          </w:tcPr>
          <w:p w14:paraId="12DE7C7C">
            <w:pPr>
              <w:spacing w:line="360" w:lineRule="auto"/>
              <w:jc w:val="center"/>
              <w:rPr>
                <w:rFonts w:hint="default" w:ascii="Times New Roman" w:hAnsi="Times New Roman" w:cs="Times New Roman"/>
                <w:color w:val="auto"/>
                <w:szCs w:val="21"/>
                <w:highlight w:val="none"/>
              </w:rPr>
            </w:pPr>
          </w:p>
        </w:tc>
      </w:tr>
      <w:tr w14:paraId="3A27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6" w:type="dxa"/>
            <w:gridSpan w:val="2"/>
            <w:vAlign w:val="center"/>
          </w:tcPr>
          <w:p w14:paraId="1A391A03">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单位注册地址</w:t>
            </w:r>
          </w:p>
        </w:tc>
        <w:tc>
          <w:tcPr>
            <w:tcW w:w="4928" w:type="dxa"/>
            <w:gridSpan w:val="2"/>
            <w:vAlign w:val="center"/>
          </w:tcPr>
          <w:p w14:paraId="5ABDCF1C">
            <w:pPr>
              <w:spacing w:line="360" w:lineRule="auto"/>
              <w:jc w:val="center"/>
              <w:rPr>
                <w:rFonts w:hint="default" w:ascii="Times New Roman" w:hAnsi="Times New Roman" w:cs="Times New Roman"/>
                <w:color w:val="auto"/>
                <w:szCs w:val="21"/>
                <w:highlight w:val="none"/>
              </w:rPr>
            </w:pPr>
          </w:p>
        </w:tc>
      </w:tr>
      <w:tr w14:paraId="74D4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6" w:type="dxa"/>
            <w:gridSpan w:val="2"/>
            <w:vAlign w:val="center"/>
          </w:tcPr>
          <w:p w14:paraId="1F7F4E64">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单位联系电话（增值税发票上填列的）</w:t>
            </w:r>
          </w:p>
        </w:tc>
        <w:tc>
          <w:tcPr>
            <w:tcW w:w="4928" w:type="dxa"/>
            <w:gridSpan w:val="2"/>
            <w:vAlign w:val="center"/>
          </w:tcPr>
          <w:p w14:paraId="598C4087">
            <w:pPr>
              <w:spacing w:line="360" w:lineRule="auto"/>
              <w:jc w:val="center"/>
              <w:rPr>
                <w:rFonts w:hint="default" w:ascii="Times New Roman" w:hAnsi="Times New Roman" w:cs="Times New Roman"/>
                <w:color w:val="auto"/>
                <w:szCs w:val="21"/>
                <w:highlight w:val="none"/>
              </w:rPr>
            </w:pPr>
          </w:p>
        </w:tc>
      </w:tr>
      <w:tr w14:paraId="27A6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6" w:type="dxa"/>
            <w:gridSpan w:val="2"/>
            <w:vAlign w:val="center"/>
          </w:tcPr>
          <w:p w14:paraId="68AFB37E">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开户银行及账号（在主管国税机关备案登记的）</w:t>
            </w:r>
          </w:p>
        </w:tc>
        <w:tc>
          <w:tcPr>
            <w:tcW w:w="4928" w:type="dxa"/>
            <w:gridSpan w:val="2"/>
            <w:vAlign w:val="center"/>
          </w:tcPr>
          <w:p w14:paraId="2C212C72">
            <w:pPr>
              <w:spacing w:line="360" w:lineRule="auto"/>
              <w:jc w:val="center"/>
              <w:rPr>
                <w:rFonts w:hint="default" w:ascii="Times New Roman" w:hAnsi="Times New Roman" w:cs="Times New Roman"/>
                <w:color w:val="auto"/>
                <w:szCs w:val="21"/>
                <w:highlight w:val="none"/>
              </w:rPr>
            </w:pPr>
          </w:p>
        </w:tc>
      </w:tr>
      <w:tr w14:paraId="5D895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4"/>
            <w:vAlign w:val="center"/>
          </w:tcPr>
          <w:p w14:paraId="5B3076F9">
            <w:pPr>
              <w:spacing w:line="36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如需邮寄发票，请填写如下内容：</w:t>
            </w:r>
          </w:p>
        </w:tc>
      </w:tr>
      <w:tr w14:paraId="269F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2" w:type="dxa"/>
            <w:vAlign w:val="center"/>
          </w:tcPr>
          <w:p w14:paraId="6BCCA005">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收件人地址</w:t>
            </w:r>
          </w:p>
        </w:tc>
        <w:tc>
          <w:tcPr>
            <w:tcW w:w="3024" w:type="dxa"/>
            <w:vAlign w:val="center"/>
          </w:tcPr>
          <w:p w14:paraId="1118B382">
            <w:pPr>
              <w:spacing w:line="360" w:lineRule="auto"/>
              <w:jc w:val="center"/>
              <w:rPr>
                <w:rFonts w:hint="default" w:ascii="Times New Roman" w:hAnsi="Times New Roman" w:cs="Times New Roman"/>
                <w:color w:val="auto"/>
                <w:szCs w:val="21"/>
                <w:highlight w:val="none"/>
              </w:rPr>
            </w:pPr>
          </w:p>
        </w:tc>
        <w:tc>
          <w:tcPr>
            <w:tcW w:w="1911" w:type="dxa"/>
            <w:vAlign w:val="center"/>
          </w:tcPr>
          <w:p w14:paraId="1FFD6152">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收件人单位名称</w:t>
            </w:r>
          </w:p>
        </w:tc>
        <w:tc>
          <w:tcPr>
            <w:tcW w:w="3017" w:type="dxa"/>
            <w:vAlign w:val="center"/>
          </w:tcPr>
          <w:p w14:paraId="59D29146">
            <w:pPr>
              <w:spacing w:line="360" w:lineRule="auto"/>
              <w:jc w:val="center"/>
              <w:rPr>
                <w:rFonts w:hint="default" w:ascii="Times New Roman" w:hAnsi="Times New Roman" w:cs="Times New Roman"/>
                <w:color w:val="auto"/>
                <w:szCs w:val="21"/>
                <w:highlight w:val="none"/>
              </w:rPr>
            </w:pPr>
          </w:p>
        </w:tc>
      </w:tr>
      <w:tr w14:paraId="530A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2" w:type="dxa"/>
            <w:vAlign w:val="center"/>
          </w:tcPr>
          <w:p w14:paraId="68D0922B">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联系人</w:t>
            </w:r>
          </w:p>
        </w:tc>
        <w:tc>
          <w:tcPr>
            <w:tcW w:w="3024" w:type="dxa"/>
            <w:vAlign w:val="center"/>
          </w:tcPr>
          <w:p w14:paraId="4F060A86">
            <w:pPr>
              <w:spacing w:line="360" w:lineRule="auto"/>
              <w:jc w:val="center"/>
              <w:rPr>
                <w:rFonts w:hint="default" w:ascii="Times New Roman" w:hAnsi="Times New Roman" w:cs="Times New Roman"/>
                <w:color w:val="auto"/>
                <w:szCs w:val="21"/>
                <w:highlight w:val="none"/>
              </w:rPr>
            </w:pPr>
          </w:p>
        </w:tc>
        <w:tc>
          <w:tcPr>
            <w:tcW w:w="1911" w:type="dxa"/>
            <w:vAlign w:val="center"/>
          </w:tcPr>
          <w:p w14:paraId="5EDCDE51">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联系电话</w:t>
            </w:r>
          </w:p>
        </w:tc>
        <w:tc>
          <w:tcPr>
            <w:tcW w:w="3017" w:type="dxa"/>
            <w:vAlign w:val="center"/>
          </w:tcPr>
          <w:p w14:paraId="1457F33A">
            <w:pPr>
              <w:spacing w:line="360" w:lineRule="auto"/>
              <w:jc w:val="center"/>
              <w:rPr>
                <w:rFonts w:hint="default" w:ascii="Times New Roman" w:hAnsi="Times New Roman" w:cs="Times New Roman"/>
                <w:color w:val="auto"/>
                <w:szCs w:val="21"/>
                <w:highlight w:val="none"/>
              </w:rPr>
            </w:pPr>
          </w:p>
        </w:tc>
      </w:tr>
    </w:tbl>
    <w:p w14:paraId="0BCAA8E8">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我公司承诺上述资料是真实正确的，并愿承担如因上述资料填写错误而导致的一切经济损失及法律责任。</w:t>
      </w:r>
    </w:p>
    <w:p w14:paraId="3BF5BC00">
      <w:pPr>
        <w:rPr>
          <w:rFonts w:hint="default" w:ascii="Times New Roman" w:hAnsi="Times New Roman" w:cs="Times New Roman"/>
          <w:color w:val="auto"/>
          <w:highlight w:val="none"/>
        </w:rPr>
      </w:pPr>
    </w:p>
    <w:p w14:paraId="34AAD56D">
      <w:pPr>
        <w:rPr>
          <w:rFonts w:hint="default" w:ascii="Times New Roman" w:hAnsi="Times New Roman" w:cs="Times New Roman"/>
          <w:color w:val="auto"/>
          <w:highlight w:val="none"/>
        </w:rPr>
      </w:pPr>
    </w:p>
    <w:p w14:paraId="10104CC5">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542572CB">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4EA6EEA6">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p>
    <w:p w14:paraId="73DF7EBF">
      <w:pPr>
        <w:spacing w:line="360" w:lineRule="auto"/>
        <w:outlineLvl w:val="1"/>
        <w:rPr>
          <w:rFonts w:hint="default" w:ascii="Times New Roman" w:hAnsi="Times New Roman" w:cs="Times New Roman"/>
          <w:b/>
          <w:color w:val="auto"/>
          <w:highlight w:val="none"/>
        </w:rPr>
      </w:pPr>
      <w:r>
        <w:rPr>
          <w:rFonts w:hint="default" w:ascii="Times New Roman" w:hAnsi="Times New Roman" w:cs="Times New Roman"/>
          <w:b/>
          <w:color w:val="auto"/>
          <w:sz w:val="24"/>
          <w:szCs w:val="24"/>
          <w:highlight w:val="none"/>
        </w:rPr>
        <w:br w:type="page"/>
      </w:r>
      <w:bookmarkStart w:id="251" w:name="_Toc3450"/>
      <w:bookmarkStart w:id="252" w:name="_Toc11062"/>
      <w:r>
        <w:rPr>
          <w:rFonts w:hint="default" w:ascii="Times New Roman" w:hAnsi="Times New Roman" w:cs="Times New Roman"/>
          <w:b/>
          <w:bCs/>
          <w:color w:val="auto"/>
          <w:sz w:val="24"/>
          <w:szCs w:val="22"/>
          <w:highlight w:val="none"/>
          <w:lang w:val="zh-CN"/>
        </w:rPr>
        <w:t>附件</w:t>
      </w:r>
      <w:r>
        <w:rPr>
          <w:rFonts w:hint="eastAsia" w:cs="Times New Roman"/>
          <w:b/>
          <w:bCs/>
          <w:color w:val="auto"/>
          <w:sz w:val="24"/>
          <w:szCs w:val="22"/>
          <w:highlight w:val="none"/>
          <w:lang w:val="en-US" w:eastAsia="zh-CN"/>
        </w:rPr>
        <w:t>八</w:t>
      </w:r>
      <w:r>
        <w:rPr>
          <w:rFonts w:hint="default" w:ascii="Times New Roman" w:hAnsi="Times New Roman" w:cs="Times New Roman"/>
          <w:b/>
          <w:bCs/>
          <w:color w:val="auto"/>
          <w:sz w:val="24"/>
          <w:szCs w:val="22"/>
          <w:highlight w:val="none"/>
          <w:lang w:val="zh-CN"/>
        </w:rPr>
        <w:t xml:space="preserve"> 资格证明文件</w:t>
      </w:r>
      <w:bookmarkEnd w:id="251"/>
      <w:bookmarkEnd w:id="252"/>
    </w:p>
    <w:p w14:paraId="30405057">
      <w:pPr>
        <w:spacing w:line="360" w:lineRule="auto"/>
        <w:jc w:val="left"/>
        <w:outlineLvl w:val="2"/>
        <w:rPr>
          <w:rFonts w:hint="default" w:ascii="Times New Roman" w:hAnsi="Times New Roman" w:cs="Times New Roman"/>
          <w:b/>
          <w:bCs/>
          <w:color w:val="auto"/>
          <w:szCs w:val="21"/>
          <w:highlight w:val="none"/>
          <w:lang w:val="zh-CN"/>
        </w:rPr>
      </w:pPr>
      <w:bookmarkStart w:id="253" w:name="_Toc27229"/>
      <w:bookmarkStart w:id="254" w:name="_Toc4365"/>
      <w:r>
        <w:rPr>
          <w:rFonts w:hint="default" w:ascii="Times New Roman" w:hAnsi="Times New Roman" w:cs="Times New Roman"/>
          <w:b/>
          <w:bCs/>
          <w:color w:val="auto"/>
          <w:szCs w:val="21"/>
          <w:highlight w:val="none"/>
          <w:lang w:val="zh-CN"/>
        </w:rPr>
        <w:t>1、法人或其他组织的营业执照等证明文件（复印件加盖公章）</w:t>
      </w:r>
      <w:bookmarkEnd w:id="253"/>
      <w:bookmarkEnd w:id="254"/>
    </w:p>
    <w:p w14:paraId="1D7D900A">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注：投标人为法人单位的需提交有效的营业执照并加盖公章，投标人为其他组织的需提供有效的证明文件并加盖有效印章。 </w:t>
      </w:r>
    </w:p>
    <w:p w14:paraId="5A204E85">
      <w:pPr>
        <w:rPr>
          <w:rFonts w:hint="default" w:ascii="Times New Roman" w:hAnsi="Times New Roman" w:cs="Times New Roman"/>
          <w:color w:val="auto"/>
          <w:highlight w:val="none"/>
        </w:rPr>
      </w:pPr>
    </w:p>
    <w:p w14:paraId="3174B53F">
      <w:pPr>
        <w:rPr>
          <w:rFonts w:hint="default" w:ascii="Times New Roman" w:hAnsi="Times New Roman" w:cs="Times New Roman"/>
          <w:color w:val="auto"/>
          <w:highlight w:val="none"/>
        </w:rPr>
      </w:pPr>
    </w:p>
    <w:p w14:paraId="6301BB01">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469192D2">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28A471E1">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p>
    <w:p w14:paraId="652B0F85">
      <w:pPr>
        <w:spacing w:line="440" w:lineRule="exact"/>
        <w:rPr>
          <w:rFonts w:hint="default" w:ascii="Times New Roman" w:hAnsi="Times New Roman" w:cs="Times New Roman"/>
          <w:color w:val="auto"/>
          <w:sz w:val="24"/>
          <w:szCs w:val="24"/>
          <w:highlight w:val="none"/>
        </w:rPr>
      </w:pPr>
    </w:p>
    <w:p w14:paraId="74BE88BB">
      <w:pPr>
        <w:spacing w:line="360" w:lineRule="auto"/>
        <w:jc w:val="left"/>
        <w:outlineLvl w:val="2"/>
        <w:rPr>
          <w:rFonts w:hint="default" w:ascii="Times New Roman" w:hAnsi="Times New Roman" w:cs="Times New Roman"/>
          <w:b/>
          <w:bCs/>
          <w:color w:val="auto"/>
          <w:szCs w:val="21"/>
          <w:highlight w:val="none"/>
          <w:lang w:val="zh-CN"/>
        </w:rPr>
        <w:sectPr>
          <w:pgSz w:w="11906" w:h="16838"/>
          <w:pgMar w:top="1134" w:right="1134" w:bottom="1134" w:left="1134" w:header="851" w:footer="992" w:gutter="0"/>
          <w:cols w:space="720" w:num="1"/>
          <w:titlePg/>
          <w:docGrid w:type="lines" w:linePitch="312" w:charSpace="0"/>
        </w:sectPr>
      </w:pPr>
    </w:p>
    <w:p w14:paraId="0F2F9B47">
      <w:pPr>
        <w:spacing w:line="360" w:lineRule="auto"/>
        <w:jc w:val="left"/>
        <w:outlineLvl w:val="2"/>
        <w:rPr>
          <w:rFonts w:hint="default" w:ascii="Times New Roman" w:hAnsi="Times New Roman" w:cs="Times New Roman"/>
          <w:b/>
          <w:bCs/>
          <w:color w:val="auto"/>
          <w:szCs w:val="21"/>
          <w:highlight w:val="none"/>
          <w:lang w:val="zh-CN"/>
        </w:rPr>
      </w:pPr>
      <w:bookmarkStart w:id="255" w:name="_Toc3569"/>
      <w:bookmarkStart w:id="256" w:name="_Toc29565"/>
      <w:r>
        <w:rPr>
          <w:rFonts w:hint="default" w:ascii="Times New Roman" w:hAnsi="Times New Roman" w:cs="Times New Roman"/>
          <w:b/>
          <w:bCs/>
          <w:color w:val="auto"/>
          <w:szCs w:val="21"/>
          <w:highlight w:val="none"/>
          <w:lang w:val="zh-CN"/>
        </w:rPr>
        <w:t>2、法人代表授权书</w:t>
      </w:r>
      <w:bookmarkEnd w:id="255"/>
      <w:bookmarkEnd w:id="256"/>
    </w:p>
    <w:p w14:paraId="20AF0322">
      <w:pPr>
        <w:spacing w:line="360" w:lineRule="auto"/>
        <w:rPr>
          <w:rFonts w:hint="default" w:ascii="Times New Roman" w:hAnsi="Times New Roman" w:cs="Times New Roman"/>
          <w:b/>
          <w:color w:val="auto"/>
          <w:highlight w:val="none"/>
        </w:rPr>
      </w:pPr>
      <w:r>
        <w:rPr>
          <w:rFonts w:hint="default" w:ascii="Times New Roman" w:hAnsi="Times New Roman" w:cs="Times New Roman"/>
          <w:b/>
          <w:color w:val="auto"/>
          <w:highlight w:val="none"/>
        </w:rPr>
        <w:t>致江苏苏美达仪器设备有限公司：</w:t>
      </w:r>
    </w:p>
    <w:p w14:paraId="4677E6F4">
      <w:pPr>
        <w:spacing w:line="360" w:lineRule="auto"/>
        <w:rPr>
          <w:rFonts w:hint="default" w:ascii="Times New Roman" w:hAnsi="Times New Roman" w:cs="Times New Roman"/>
          <w:color w:val="auto"/>
          <w:szCs w:val="21"/>
          <w:highlight w:val="none"/>
        </w:rPr>
      </w:pPr>
      <w:r>
        <w:rPr>
          <w:rFonts w:hint="default" w:ascii="Times New Roman" w:hAnsi="Times New Roman" w:cs="Times New Roman"/>
          <w:b/>
          <w:color w:val="auto"/>
          <w:highlight w:val="none"/>
        </w:rPr>
        <w:t xml:space="preserve">   </w:t>
      </w:r>
      <w:r>
        <w:rPr>
          <w:rFonts w:hint="default" w:ascii="Times New Roman" w:hAnsi="Times New Roman" w:cs="Times New Roman"/>
          <w:color w:val="auto"/>
          <w:szCs w:val="21"/>
          <w:highlight w:val="none"/>
        </w:rPr>
        <w:t>本授权委托书声明：注册于</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（供应商住址）的</w:t>
      </w:r>
      <w:r>
        <w:rPr>
          <w:rFonts w:hint="default" w:ascii="Times New Roman" w:hAnsi="Times New Roman" w:cs="Times New Roman"/>
          <w:b/>
          <w:color w:val="auto"/>
          <w:szCs w:val="21"/>
          <w:highlight w:val="none"/>
          <w:u w:val="single"/>
        </w:rPr>
        <w:t xml:space="preserve">              </w:t>
      </w:r>
      <w:r>
        <w:rPr>
          <w:rFonts w:hint="default" w:ascii="Times New Roman" w:hAnsi="Times New Roman" w:cs="Times New Roman"/>
          <w:color w:val="auto"/>
          <w:szCs w:val="21"/>
          <w:highlight w:val="none"/>
        </w:rPr>
        <w:t>（供应商名称）法定代表人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b/>
          <w:color w:val="auto"/>
          <w:szCs w:val="21"/>
          <w:highlight w:val="none"/>
          <w:u w:val="single"/>
        </w:rPr>
        <w:t xml:space="preserve">          </w:t>
      </w:r>
      <w:r>
        <w:rPr>
          <w:rFonts w:hint="default" w:ascii="Times New Roman" w:hAnsi="Times New Roman" w:cs="Times New Roman"/>
          <w:color w:val="auto"/>
          <w:szCs w:val="21"/>
          <w:highlight w:val="none"/>
        </w:rPr>
        <w:t>（法定代表人姓名、职务）代表本公司授权在下面签字的</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（供应商代表姓名、职务）为本公司的合法代理人，就贵方组织的</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（项目名称）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（项目编号）投标，以本公司名义处理一切与之有关的事务。</w:t>
      </w:r>
    </w:p>
    <w:p w14:paraId="7668A2EE">
      <w:pPr>
        <w:widowControl/>
        <w:shd w:val="clear" w:color="auto" w:fill="FFFFFF"/>
        <w:spacing w:line="36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本授权书于</w:t>
      </w:r>
      <w:r>
        <w:rPr>
          <w:rFonts w:hint="default" w:ascii="Times New Roman" w:hAnsi="Times New Roman" w:cs="Times New Roman"/>
          <w:color w:val="auto"/>
          <w:szCs w:val="21"/>
          <w:highlight w:val="none"/>
          <w:u w:val="single"/>
        </w:rPr>
        <w:t>    </w:t>
      </w:r>
      <w:r>
        <w:rPr>
          <w:rFonts w:hint="default" w:ascii="Times New Roman" w:hAnsi="Times New Roman" w:cs="Times New Roman"/>
          <w:color w:val="auto"/>
          <w:szCs w:val="21"/>
          <w:highlight w:val="none"/>
        </w:rPr>
        <w:t>年</w:t>
      </w:r>
      <w:r>
        <w:rPr>
          <w:rFonts w:hint="default" w:ascii="Times New Roman" w:hAnsi="Times New Roman" w:cs="Times New Roman"/>
          <w:color w:val="auto"/>
          <w:szCs w:val="21"/>
          <w:highlight w:val="none"/>
          <w:u w:val="single"/>
        </w:rPr>
        <w:t>  </w:t>
      </w:r>
      <w:r>
        <w:rPr>
          <w:rFonts w:hint="default" w:ascii="Times New Roman" w:hAnsi="Times New Roman" w:cs="Times New Roman"/>
          <w:color w:val="auto"/>
          <w:szCs w:val="21"/>
          <w:highlight w:val="none"/>
        </w:rPr>
        <w:t>月</w:t>
      </w:r>
      <w:r>
        <w:rPr>
          <w:rFonts w:hint="default" w:ascii="Times New Roman" w:hAnsi="Times New Roman" w:cs="Times New Roman"/>
          <w:color w:val="auto"/>
          <w:szCs w:val="21"/>
          <w:highlight w:val="none"/>
          <w:u w:val="single"/>
        </w:rPr>
        <w:t>  </w:t>
      </w:r>
      <w:r>
        <w:rPr>
          <w:rFonts w:hint="default" w:ascii="Times New Roman" w:hAnsi="Times New Roman" w:cs="Times New Roman"/>
          <w:color w:val="auto"/>
          <w:szCs w:val="21"/>
          <w:highlight w:val="none"/>
        </w:rPr>
        <w:t>日签字生效，特此声明。</w:t>
      </w:r>
    </w:p>
    <w:p w14:paraId="750D6287">
      <w:pPr>
        <w:rPr>
          <w:rFonts w:hint="default" w:ascii="Times New Roman" w:hAnsi="Times New Roman" w:cs="Times New Roman"/>
          <w:color w:val="auto"/>
          <w:highlight w:val="none"/>
        </w:rPr>
      </w:pPr>
    </w:p>
    <w:p w14:paraId="323A523D">
      <w:pPr>
        <w:rPr>
          <w:rFonts w:hint="default" w:ascii="Times New Roman" w:hAnsi="Times New Roman" w:cs="Times New Roman"/>
          <w:color w:val="auto"/>
          <w:highlight w:val="none"/>
        </w:rPr>
      </w:pPr>
    </w:p>
    <w:p w14:paraId="46D410CB">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法定代表人（签字或盖章）： </w:t>
      </w:r>
    </w:p>
    <w:p w14:paraId="655F0461">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授权代表（签字）： </w:t>
      </w:r>
    </w:p>
    <w:p w14:paraId="1127A504">
      <w:pPr>
        <w:spacing w:line="360" w:lineRule="auto"/>
        <w:rPr>
          <w:rFonts w:hint="default" w:ascii="Times New Roman" w:hAnsi="Times New Roman" w:cs="Times New Roman"/>
          <w:color w:val="auto"/>
          <w:sz w:val="23"/>
          <w:highlight w:val="none"/>
        </w:rPr>
      </w:pPr>
      <w:r>
        <w:rPr>
          <w:rFonts w:hint="default" w:ascii="Times New Roman" w:hAnsi="Times New Roman" w:cs="Times New Roman"/>
          <w:color w:val="auto"/>
          <w:szCs w:val="21"/>
          <w:highlight w:val="none"/>
        </w:rPr>
        <w:t>投标人名称（公章）：</w:t>
      </w:r>
      <w:r>
        <w:rPr>
          <w:rFonts w:hint="default" w:ascii="Times New Roman" w:hAnsi="Times New Roman" w:cs="Times New Roman"/>
          <w:color w:val="auto"/>
          <w:sz w:val="23"/>
          <w:highlight w:val="none"/>
        </w:rPr>
        <w:t xml:space="preserve"> </w:t>
      </w:r>
    </w:p>
    <w:p w14:paraId="5DEDB583">
      <w:pPr>
        <w:spacing w:line="440" w:lineRule="exac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p>
    <w:p w14:paraId="28547A6E">
      <w:pPr>
        <w:rPr>
          <w:rFonts w:hint="default" w:ascii="Times New Roman" w:hAnsi="Times New Roman" w:cs="Times New Roman"/>
          <w:color w:val="auto"/>
          <w:highlight w:val="none"/>
        </w:rPr>
      </w:pPr>
    </w:p>
    <w:p w14:paraId="40021DB5">
      <w:pPr>
        <w:spacing w:line="360" w:lineRule="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附：法定代表人、供应商授权代表的身份证复印件</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4"/>
      </w:tblGrid>
      <w:tr w14:paraId="18D7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0" w:hRule="atLeast"/>
        </w:trPr>
        <w:tc>
          <w:tcPr>
            <w:tcW w:w="9854" w:type="dxa"/>
          </w:tcPr>
          <w:p w14:paraId="66B3FF3C">
            <w:pPr>
              <w:spacing w:line="360" w:lineRule="auto"/>
              <w:rPr>
                <w:rFonts w:hint="default" w:ascii="Times New Roman" w:hAnsi="Times New Roman" w:cs="Times New Roman"/>
                <w:b/>
                <w:color w:val="auto"/>
                <w:highlight w:val="none"/>
              </w:rPr>
            </w:pPr>
          </w:p>
        </w:tc>
      </w:tr>
    </w:tbl>
    <w:p w14:paraId="39ADC160">
      <w:pPr>
        <w:spacing w:line="440" w:lineRule="exact"/>
        <w:rPr>
          <w:rFonts w:hint="default" w:ascii="Times New Roman" w:hAnsi="Times New Roman" w:cs="Times New Roman"/>
          <w:b/>
          <w:color w:val="auto"/>
          <w:highlight w:val="none"/>
        </w:rPr>
      </w:pPr>
    </w:p>
    <w:p w14:paraId="24EDCD0B">
      <w:pPr>
        <w:widowControl/>
        <w:shd w:val="clear" w:color="auto" w:fill="FFFFFF"/>
        <w:spacing w:line="360" w:lineRule="auto"/>
        <w:ind w:firstLine="284"/>
        <w:rPr>
          <w:rFonts w:hint="default" w:ascii="Times New Roman" w:hAnsi="Times New Roman" w:cs="Times New Roman"/>
          <w:color w:val="auto"/>
          <w:kern w:val="0"/>
          <w:szCs w:val="21"/>
          <w:highlight w:val="none"/>
        </w:rPr>
        <w:sectPr>
          <w:pgSz w:w="11906" w:h="16838"/>
          <w:pgMar w:top="1134" w:right="1134" w:bottom="1134" w:left="1134" w:header="851" w:footer="992" w:gutter="0"/>
          <w:cols w:space="720" w:num="1"/>
          <w:titlePg/>
          <w:docGrid w:type="lines" w:linePitch="312" w:charSpace="0"/>
        </w:sectPr>
      </w:pPr>
    </w:p>
    <w:p w14:paraId="2281E1C9">
      <w:pPr>
        <w:spacing w:line="360" w:lineRule="auto"/>
        <w:jc w:val="left"/>
        <w:outlineLvl w:val="2"/>
        <w:rPr>
          <w:rFonts w:hint="default" w:ascii="Times New Roman" w:hAnsi="Times New Roman" w:cs="Times New Roman"/>
          <w:b/>
          <w:bCs/>
          <w:color w:val="auto"/>
          <w:szCs w:val="21"/>
          <w:highlight w:val="none"/>
          <w:lang w:val="zh-CN"/>
        </w:rPr>
      </w:pPr>
      <w:bookmarkStart w:id="257" w:name="_Toc13344"/>
      <w:bookmarkStart w:id="258" w:name="_Toc31675"/>
      <w:bookmarkStart w:id="259" w:name="_Toc4632"/>
      <w:bookmarkStart w:id="260" w:name="_Toc5262"/>
      <w:bookmarkStart w:id="261" w:name="_Toc15298"/>
      <w:bookmarkStart w:id="262" w:name="_Toc24273"/>
      <w:r>
        <w:rPr>
          <w:rFonts w:hint="default" w:ascii="Times New Roman" w:hAnsi="Times New Roman" w:cs="Times New Roman"/>
          <w:b/>
          <w:bCs/>
          <w:color w:val="auto"/>
          <w:szCs w:val="21"/>
          <w:highlight w:val="none"/>
        </w:rPr>
        <w:t>3</w:t>
      </w:r>
      <w:r>
        <w:rPr>
          <w:rFonts w:hint="default" w:ascii="Times New Roman" w:hAnsi="Times New Roman" w:cs="Times New Roman"/>
          <w:b/>
          <w:bCs/>
          <w:color w:val="auto"/>
          <w:szCs w:val="21"/>
          <w:highlight w:val="none"/>
          <w:lang w:val="zh-CN"/>
        </w:rPr>
        <w:t>、制造商授权书（如需）</w:t>
      </w:r>
      <w:bookmarkEnd w:id="257"/>
      <w:bookmarkEnd w:id="258"/>
      <w:bookmarkEnd w:id="259"/>
      <w:bookmarkEnd w:id="260"/>
      <w:bookmarkEnd w:id="261"/>
    </w:p>
    <w:p w14:paraId="404E1BB9">
      <w:pPr>
        <w:spacing w:line="360" w:lineRule="auto"/>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致：（采购代理机构）</w:t>
      </w:r>
    </w:p>
    <w:p w14:paraId="642BEC22">
      <w:pPr>
        <w:spacing w:line="360" w:lineRule="auto"/>
        <w:rPr>
          <w:rFonts w:hint="default" w:ascii="Times New Roman" w:hAnsi="Times New Roman" w:cs="Times New Roman"/>
          <w:color w:val="auto"/>
          <w:szCs w:val="21"/>
          <w:highlight w:val="none"/>
        </w:rPr>
      </w:pPr>
      <w:r>
        <w:rPr>
          <w:rFonts w:hint="default" w:ascii="Times New Roman" w:hAnsi="Times New Roman" w:cs="Times New Roman"/>
          <w:b/>
          <w:color w:val="auto"/>
          <w:szCs w:val="21"/>
          <w:highlight w:val="none"/>
        </w:rPr>
        <w:t xml:space="preserve">     </w:t>
      </w:r>
      <w:r>
        <w:rPr>
          <w:rFonts w:hint="default" w:ascii="Times New Roman" w:hAnsi="Times New Roman" w:cs="Times New Roman"/>
          <w:color w:val="auto"/>
          <w:szCs w:val="21"/>
          <w:highlight w:val="none"/>
        </w:rPr>
        <w:t>我们</w:t>
      </w:r>
      <w:r>
        <w:rPr>
          <w:rFonts w:hint="default" w:ascii="Times New Roman" w:hAnsi="Times New Roman" w:cs="Times New Roman"/>
          <w:color w:val="auto"/>
          <w:szCs w:val="21"/>
          <w:highlight w:val="none"/>
          <w:u w:val="single"/>
        </w:rPr>
        <w:t>（制造商名称）</w:t>
      </w:r>
      <w:r>
        <w:rPr>
          <w:rFonts w:hint="default" w:ascii="Times New Roman" w:hAnsi="Times New Roman" w:cs="Times New Roman"/>
          <w:color w:val="auto"/>
          <w:szCs w:val="21"/>
          <w:highlight w:val="none"/>
        </w:rPr>
        <w:t>是按</w:t>
      </w:r>
      <w:r>
        <w:rPr>
          <w:rFonts w:hint="default" w:ascii="Times New Roman" w:hAnsi="Times New Roman" w:cs="Times New Roman"/>
          <w:color w:val="auto"/>
          <w:szCs w:val="21"/>
          <w:highlight w:val="none"/>
          <w:u w:val="single"/>
        </w:rPr>
        <w:t>（国家名称）</w:t>
      </w:r>
      <w:r>
        <w:rPr>
          <w:rFonts w:hint="default" w:ascii="Times New Roman" w:hAnsi="Times New Roman" w:cs="Times New Roman"/>
          <w:color w:val="auto"/>
          <w:szCs w:val="21"/>
          <w:highlight w:val="none"/>
        </w:rPr>
        <w:t>法律成立的一家制造商，主要营业地点设在</w:t>
      </w:r>
      <w:r>
        <w:rPr>
          <w:rFonts w:hint="default" w:ascii="Times New Roman" w:hAnsi="Times New Roman" w:cs="Times New Roman"/>
          <w:color w:val="auto"/>
          <w:szCs w:val="21"/>
          <w:highlight w:val="none"/>
          <w:u w:val="single"/>
        </w:rPr>
        <w:t>（制造商地址）</w:t>
      </w:r>
      <w:r>
        <w:rPr>
          <w:rFonts w:hint="default" w:ascii="Times New Roman" w:hAnsi="Times New Roman" w:cs="Times New Roman"/>
          <w:color w:val="auto"/>
          <w:szCs w:val="21"/>
          <w:highlight w:val="none"/>
        </w:rPr>
        <w:t>。兹指派按</w:t>
      </w:r>
      <w:r>
        <w:rPr>
          <w:rFonts w:hint="default" w:ascii="Times New Roman" w:hAnsi="Times New Roman" w:cs="Times New Roman"/>
          <w:color w:val="auto"/>
          <w:szCs w:val="21"/>
          <w:highlight w:val="none"/>
          <w:u w:val="single"/>
        </w:rPr>
        <w:t>（国家名称）</w:t>
      </w:r>
      <w:r>
        <w:rPr>
          <w:rFonts w:hint="default" w:ascii="Times New Roman" w:hAnsi="Times New Roman" w:cs="Times New Roman"/>
          <w:color w:val="auto"/>
          <w:szCs w:val="21"/>
          <w:highlight w:val="none"/>
        </w:rPr>
        <w:t>的法律正式成立的，主要营业地点设在</w:t>
      </w:r>
      <w:r>
        <w:rPr>
          <w:rFonts w:hint="default" w:ascii="Times New Roman" w:hAnsi="Times New Roman" w:cs="Times New Roman"/>
          <w:color w:val="auto"/>
          <w:szCs w:val="21"/>
          <w:highlight w:val="none"/>
          <w:u w:val="single"/>
        </w:rPr>
        <w:t>（贸易公司地址）</w:t>
      </w:r>
      <w:r>
        <w:rPr>
          <w:rFonts w:hint="default" w:ascii="Times New Roman" w:hAnsi="Times New Roman" w:cs="Times New Roman"/>
          <w:color w:val="auto"/>
          <w:szCs w:val="21"/>
          <w:highlight w:val="none"/>
        </w:rPr>
        <w:t>的</w:t>
      </w:r>
      <w:r>
        <w:rPr>
          <w:rFonts w:hint="default" w:ascii="Times New Roman" w:hAnsi="Times New Roman" w:cs="Times New Roman"/>
          <w:color w:val="auto"/>
          <w:szCs w:val="21"/>
          <w:highlight w:val="none"/>
          <w:u w:val="single"/>
        </w:rPr>
        <w:t>（贸易公司名称）</w:t>
      </w:r>
      <w:r>
        <w:rPr>
          <w:rFonts w:hint="default" w:ascii="Times New Roman" w:hAnsi="Times New Roman" w:cs="Times New Roman"/>
          <w:color w:val="auto"/>
          <w:szCs w:val="21"/>
          <w:highlight w:val="none"/>
        </w:rPr>
        <w:t>作为我方真正的和合法的代理人进行下列有效的活动：</w:t>
      </w:r>
    </w:p>
    <w:p w14:paraId="042B16F9">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代表我方在中华人民共和国办理贵方第</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号公开招标要求提供的由我方制造的产品的有关事宜，并对我方具有约束力。  </w:t>
      </w:r>
    </w:p>
    <w:p w14:paraId="2ECFE485">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作为制造商，我方保证以公开投标合作者来约束自己，并对该公开投标共同和分别承担投标文件中所规定的义务。</w:t>
      </w:r>
    </w:p>
    <w:p w14:paraId="6DE69C5F">
      <w:pPr>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我方兹授予</w:t>
      </w:r>
      <w:r>
        <w:rPr>
          <w:rFonts w:hint="default" w:ascii="Times New Roman" w:hAnsi="Times New Roman" w:cs="Times New Roman"/>
          <w:color w:val="auto"/>
          <w:szCs w:val="21"/>
          <w:highlight w:val="none"/>
          <w:u w:val="single"/>
        </w:rPr>
        <w:t>（贸易公司名称）</w:t>
      </w:r>
      <w:r>
        <w:rPr>
          <w:rFonts w:hint="default" w:ascii="Times New Roman" w:hAnsi="Times New Roman" w:cs="Times New Roman"/>
          <w:color w:val="auto"/>
          <w:szCs w:val="21"/>
          <w:highlight w:val="none"/>
        </w:rPr>
        <w:t>全权办理和履行上述我方为完成上述各点所必须的事宜，具有替换或撤</w:t>
      </w:r>
      <w:r>
        <w:rPr>
          <w:rFonts w:hint="eastAsia" w:cs="Times New Roman"/>
          <w:color w:val="auto"/>
          <w:szCs w:val="21"/>
          <w:highlight w:val="none"/>
          <w:lang w:eastAsia="zh-CN"/>
        </w:rPr>
        <w:t>销</w:t>
      </w:r>
      <w:r>
        <w:rPr>
          <w:rFonts w:hint="default" w:ascii="Times New Roman" w:hAnsi="Times New Roman" w:cs="Times New Roman"/>
          <w:color w:val="auto"/>
          <w:szCs w:val="21"/>
          <w:highlight w:val="none"/>
        </w:rPr>
        <w:t>的全权。兹确认</w:t>
      </w:r>
      <w:r>
        <w:rPr>
          <w:rFonts w:hint="default" w:ascii="Times New Roman" w:hAnsi="Times New Roman" w:cs="Times New Roman"/>
          <w:color w:val="auto"/>
          <w:szCs w:val="21"/>
          <w:highlight w:val="none"/>
          <w:u w:val="single"/>
        </w:rPr>
        <w:t>（贸易公司名称）</w:t>
      </w:r>
      <w:r>
        <w:rPr>
          <w:rFonts w:hint="default" w:ascii="Times New Roman" w:hAnsi="Times New Roman" w:cs="Times New Roman"/>
          <w:color w:val="auto"/>
          <w:szCs w:val="21"/>
          <w:highlight w:val="none"/>
        </w:rPr>
        <w:t>或其正式授权代表依此合法地办理一切事宜。</w:t>
      </w:r>
    </w:p>
    <w:p w14:paraId="7E81FEBA">
      <w:pPr>
        <w:spacing w:line="360" w:lineRule="auto"/>
        <w:ind w:firstLine="48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我方于</w:t>
      </w:r>
      <w:r>
        <w:rPr>
          <w:rFonts w:hint="default" w:ascii="Times New Roman" w:hAnsi="Times New Roman" w:cs="Times New Roman"/>
          <w:color w:val="auto"/>
          <w:szCs w:val="21"/>
          <w:highlight w:val="none"/>
          <w:u w:val="single"/>
        </w:rPr>
        <w:t xml:space="preserve">  年  月  日</w:t>
      </w:r>
      <w:r>
        <w:rPr>
          <w:rFonts w:hint="default" w:ascii="Times New Roman" w:hAnsi="Times New Roman" w:cs="Times New Roman"/>
          <w:color w:val="auto"/>
          <w:szCs w:val="21"/>
          <w:highlight w:val="none"/>
        </w:rPr>
        <w:t>签署本文件，</w:t>
      </w:r>
      <w:r>
        <w:rPr>
          <w:rFonts w:hint="default" w:ascii="Times New Roman" w:hAnsi="Times New Roman" w:cs="Times New Roman"/>
          <w:color w:val="auto"/>
          <w:szCs w:val="21"/>
          <w:highlight w:val="none"/>
          <w:u w:val="single"/>
        </w:rPr>
        <w:t>（贸易公司名称）</w:t>
      </w:r>
      <w:r>
        <w:rPr>
          <w:rFonts w:hint="default" w:ascii="Times New Roman" w:hAnsi="Times New Roman" w:cs="Times New Roman"/>
          <w:color w:val="auto"/>
          <w:szCs w:val="21"/>
          <w:highlight w:val="none"/>
        </w:rPr>
        <w:t>于</w:t>
      </w:r>
      <w:r>
        <w:rPr>
          <w:rFonts w:hint="default" w:ascii="Times New Roman" w:hAnsi="Times New Roman" w:cs="Times New Roman"/>
          <w:color w:val="auto"/>
          <w:szCs w:val="21"/>
          <w:highlight w:val="none"/>
          <w:u w:val="single"/>
        </w:rPr>
        <w:t xml:space="preserve">  年  月  日</w:t>
      </w:r>
      <w:r>
        <w:rPr>
          <w:rFonts w:hint="default" w:ascii="Times New Roman" w:hAnsi="Times New Roman" w:cs="Times New Roman"/>
          <w:color w:val="auto"/>
          <w:szCs w:val="21"/>
          <w:highlight w:val="none"/>
        </w:rPr>
        <w:t>接受此件，以此为证。</w:t>
      </w:r>
    </w:p>
    <w:p w14:paraId="687EA685">
      <w:pPr>
        <w:rPr>
          <w:rFonts w:hint="default" w:ascii="Times New Roman" w:hAnsi="Times New Roman" w:cs="Times New Roman"/>
          <w:color w:val="auto"/>
          <w:highlight w:val="none"/>
        </w:rPr>
      </w:pPr>
    </w:p>
    <w:p w14:paraId="336C7BC2">
      <w:pPr>
        <w:rPr>
          <w:rFonts w:hint="default" w:ascii="Times New Roman" w:hAnsi="Times New Roman" w:cs="Times New Roman"/>
          <w:color w:val="auto"/>
          <w:highlight w:val="none"/>
        </w:rPr>
      </w:pPr>
    </w:p>
    <w:p w14:paraId="0ED6799B">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制造商名称：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（盖章）</w:t>
      </w:r>
    </w:p>
    <w:p w14:paraId="413A1852">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签字人姓名：</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（签名）</w:t>
      </w:r>
    </w:p>
    <w:p w14:paraId="26A3064A">
      <w:pPr>
        <w:autoSpaceDE w:val="0"/>
        <w:autoSpaceDN w:val="0"/>
        <w:spacing w:line="360" w:lineRule="auto"/>
        <w:ind w:right="-5"/>
        <w:textAlignment w:val="bottom"/>
        <w:outlineLvl w:val="2"/>
        <w:rPr>
          <w:rFonts w:hint="default" w:ascii="Times New Roman" w:hAnsi="Times New Roman" w:cs="Times New Roman"/>
          <w:b/>
          <w:bCs/>
          <w:color w:val="auto"/>
          <w:szCs w:val="21"/>
          <w:highlight w:val="none"/>
          <w:lang w:val="zh-CN"/>
        </w:rPr>
      </w:pPr>
      <w:r>
        <w:rPr>
          <w:rFonts w:hint="default" w:ascii="Times New Roman" w:hAnsi="Times New Roman" w:cs="Times New Roman"/>
          <w:b/>
          <w:bCs/>
          <w:color w:val="auto"/>
          <w:szCs w:val="21"/>
          <w:highlight w:val="none"/>
        </w:rPr>
        <w:br w:type="page"/>
      </w:r>
      <w:bookmarkStart w:id="263" w:name="_Toc20968"/>
      <w:r>
        <w:rPr>
          <w:rFonts w:hint="default" w:ascii="Times New Roman" w:hAnsi="Times New Roman" w:cs="Times New Roman"/>
          <w:b/>
          <w:bCs/>
          <w:color w:val="auto"/>
          <w:szCs w:val="21"/>
          <w:highlight w:val="none"/>
        </w:rPr>
        <w:t>4</w:t>
      </w:r>
      <w:r>
        <w:rPr>
          <w:rFonts w:hint="default" w:ascii="Times New Roman" w:hAnsi="Times New Roman" w:cs="Times New Roman"/>
          <w:b/>
          <w:bCs/>
          <w:color w:val="auto"/>
          <w:szCs w:val="21"/>
          <w:highlight w:val="none"/>
          <w:lang w:val="zh-CN"/>
        </w:rPr>
        <w:t>、具有良好的商业信誉和健全的财务会计制度</w:t>
      </w:r>
      <w:bookmarkEnd w:id="262"/>
      <w:bookmarkEnd w:id="263"/>
    </w:p>
    <w:p w14:paraId="00AB5555">
      <w:pPr>
        <w:autoSpaceDE w:val="0"/>
        <w:autoSpaceDN w:val="0"/>
        <w:spacing w:line="360" w:lineRule="auto"/>
        <w:ind w:left="-2" w:right="-5"/>
        <w:textAlignment w:val="bottom"/>
        <w:rPr>
          <w:rFonts w:hint="default" w:ascii="Times New Roman" w:hAnsi="Times New Roman" w:cs="Times New Roman"/>
          <w:color w:val="auto"/>
          <w:sz w:val="24"/>
          <w:highlight w:val="none"/>
        </w:rPr>
      </w:pPr>
      <w:r>
        <w:rPr>
          <w:rFonts w:hint="default" w:ascii="Times New Roman" w:hAnsi="Times New Roman" w:cs="Times New Roman"/>
          <w:color w:val="auto"/>
          <w:kern w:val="0"/>
          <w:szCs w:val="21"/>
          <w:highlight w:val="none"/>
        </w:rPr>
        <w:t>提供</w:t>
      </w:r>
      <w:r>
        <w:rPr>
          <w:rFonts w:hint="default" w:ascii="Times New Roman" w:hAnsi="Times New Roman" w:cs="Times New Roman"/>
          <w:color w:val="auto"/>
          <w:highlight w:val="none"/>
        </w:rPr>
        <w:t>距开标时间六个月内任意一月份的</w:t>
      </w:r>
      <w:r>
        <w:rPr>
          <w:rFonts w:hint="default" w:ascii="Times New Roman" w:hAnsi="Times New Roman" w:cs="Times New Roman"/>
          <w:color w:val="auto"/>
          <w:kern w:val="0"/>
          <w:szCs w:val="21"/>
          <w:highlight w:val="none"/>
        </w:rPr>
        <w:t>财务状况报告（</w:t>
      </w:r>
      <w:r>
        <w:rPr>
          <w:rFonts w:hint="default" w:ascii="Times New Roman" w:hAnsi="Times New Roman" w:cs="Times New Roman"/>
          <w:b/>
          <w:color w:val="auto"/>
          <w:kern w:val="0"/>
          <w:szCs w:val="21"/>
          <w:highlight w:val="none"/>
          <w:u w:val="single"/>
        </w:rPr>
        <w:t>至少包括资产负债表和利润表</w:t>
      </w:r>
      <w:r>
        <w:rPr>
          <w:rFonts w:hint="default" w:ascii="Times New Roman" w:hAnsi="Times New Roman" w:cs="Times New Roman"/>
          <w:color w:val="auto"/>
          <w:kern w:val="0"/>
          <w:szCs w:val="21"/>
          <w:highlight w:val="none"/>
        </w:rPr>
        <w:t>）（法人或者其他组织成立未满三个月的可以不提供），或其银行出具的资信证书（复印件）（开标前六个月内），或其上一年度</w:t>
      </w:r>
      <w:r>
        <w:rPr>
          <w:rFonts w:hint="eastAsia" w:cs="Times New Roman"/>
          <w:color w:val="auto"/>
          <w:kern w:val="0"/>
          <w:szCs w:val="21"/>
          <w:highlight w:val="none"/>
          <w:lang w:eastAsia="zh-CN"/>
        </w:rPr>
        <w:t>（</w:t>
      </w:r>
      <w:r>
        <w:rPr>
          <w:rFonts w:hint="eastAsia" w:cs="Times New Roman"/>
          <w:color w:val="auto"/>
          <w:kern w:val="0"/>
          <w:szCs w:val="21"/>
          <w:highlight w:val="none"/>
          <w:lang w:val="en-US" w:eastAsia="zh-CN"/>
        </w:rPr>
        <w:t>2024年或2025年</w:t>
      </w:r>
      <w:r>
        <w:rPr>
          <w:rFonts w:hint="eastAsia" w:cs="Times New Roman"/>
          <w:color w:val="auto"/>
          <w:kern w:val="0"/>
          <w:szCs w:val="21"/>
          <w:highlight w:val="none"/>
          <w:lang w:eastAsia="zh-CN"/>
        </w:rPr>
        <w:t>）</w:t>
      </w:r>
      <w:r>
        <w:rPr>
          <w:rFonts w:hint="default" w:ascii="Times New Roman" w:hAnsi="Times New Roman" w:cs="Times New Roman"/>
          <w:color w:val="auto"/>
          <w:kern w:val="0"/>
          <w:szCs w:val="21"/>
          <w:highlight w:val="none"/>
        </w:rPr>
        <w:t>经审计的财务报告复印件加盖公章</w:t>
      </w:r>
    </w:p>
    <w:p w14:paraId="57E79B61">
      <w:pPr>
        <w:rPr>
          <w:rFonts w:hint="default" w:ascii="Times New Roman" w:hAnsi="Times New Roman" w:cs="Times New Roman"/>
          <w:color w:val="auto"/>
          <w:highlight w:val="none"/>
        </w:rPr>
      </w:pPr>
    </w:p>
    <w:p w14:paraId="553E32EF">
      <w:pPr>
        <w:rPr>
          <w:rFonts w:hint="default" w:ascii="Times New Roman" w:hAnsi="Times New Roman" w:cs="Times New Roman"/>
          <w:color w:val="auto"/>
          <w:highlight w:val="none"/>
        </w:rPr>
      </w:pPr>
    </w:p>
    <w:p w14:paraId="72164E1E">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5C854D88">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53979C4C">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p>
    <w:p w14:paraId="7C30AE23">
      <w:pPr>
        <w:rPr>
          <w:rFonts w:hint="default" w:ascii="Times New Roman" w:hAnsi="Times New Roman" w:cs="Times New Roman"/>
          <w:color w:val="auto"/>
          <w:highlight w:val="none"/>
        </w:rPr>
      </w:pPr>
    </w:p>
    <w:p w14:paraId="698E25E7">
      <w:pPr>
        <w:autoSpaceDE w:val="0"/>
        <w:autoSpaceDN w:val="0"/>
        <w:spacing w:line="360" w:lineRule="auto"/>
        <w:ind w:left="-2" w:right="-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说明： </w:t>
      </w:r>
    </w:p>
    <w:p w14:paraId="3DB023E2">
      <w:pPr>
        <w:autoSpaceDE w:val="0"/>
        <w:autoSpaceDN w:val="0"/>
        <w:spacing w:line="360" w:lineRule="auto"/>
        <w:ind w:left="-2" w:right="-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1、审计报告复印件至少应包括资产负债表、利润表、现金流量表及其附注、加盖会计师事务所公章页。 </w:t>
      </w:r>
    </w:p>
    <w:p w14:paraId="0B3B6636">
      <w:pPr>
        <w:autoSpaceDE w:val="0"/>
        <w:autoSpaceDN w:val="0"/>
        <w:spacing w:line="360" w:lineRule="auto"/>
        <w:ind w:left="-2" w:right="-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2、银行资信证明是指投标人参加本次投标截止日前六个月内开立基本账户的银行开具的资信证明（成立一年内的公司可提交当年验资证明复印件并加盖公章），且无收受人和项目的限制，但开具银行有限制规定的除外。 </w:t>
      </w:r>
    </w:p>
    <w:p w14:paraId="3C491E72">
      <w:pPr>
        <w:autoSpaceDE w:val="0"/>
        <w:autoSpaceDN w:val="0"/>
        <w:spacing w:line="360" w:lineRule="auto"/>
        <w:ind w:left="-2" w:right="-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3、银行资信证明可以是复印件并加盖投标人公章，评标委员会保留审核原件的权利。 </w:t>
      </w:r>
    </w:p>
    <w:p w14:paraId="104F743A">
      <w:pPr>
        <w:autoSpaceDE w:val="0"/>
        <w:autoSpaceDN w:val="0"/>
        <w:spacing w:line="360" w:lineRule="auto"/>
        <w:ind w:left="-2" w:right="-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4、银行资信证明应能说明该投标人与银行之间业务往来正常，无不良记录，企业信誉良好等。银行出具的存款证明不能作为银行资信证明。 </w:t>
      </w:r>
    </w:p>
    <w:p w14:paraId="73043CFF">
      <w:pPr>
        <w:autoSpaceDE w:val="0"/>
        <w:autoSpaceDN w:val="0"/>
        <w:spacing w:line="440" w:lineRule="exact"/>
        <w:ind w:left="-2" w:right="-5"/>
        <w:textAlignment w:val="bottom"/>
        <w:rPr>
          <w:rFonts w:hint="default" w:ascii="Times New Roman" w:hAnsi="Times New Roman" w:cs="Times New Roman"/>
          <w:color w:val="auto"/>
          <w:sz w:val="24"/>
          <w:highlight w:val="none"/>
        </w:rPr>
      </w:pPr>
    </w:p>
    <w:p w14:paraId="0B9E4378">
      <w:pPr>
        <w:autoSpaceDE w:val="0"/>
        <w:autoSpaceDN w:val="0"/>
        <w:spacing w:line="440" w:lineRule="exact"/>
        <w:ind w:right="-5"/>
        <w:textAlignment w:val="bottom"/>
        <w:rPr>
          <w:rFonts w:hint="default" w:ascii="Times New Roman" w:hAnsi="Times New Roman" w:cs="Times New Roman"/>
          <w:color w:val="auto"/>
          <w:sz w:val="24"/>
          <w:highlight w:val="none"/>
        </w:rPr>
      </w:pPr>
    </w:p>
    <w:p w14:paraId="62D7B858">
      <w:pPr>
        <w:autoSpaceDE w:val="0"/>
        <w:autoSpaceDN w:val="0"/>
        <w:adjustRightInd w:val="0"/>
        <w:spacing w:line="440" w:lineRule="exact"/>
        <w:jc w:val="left"/>
        <w:rPr>
          <w:rFonts w:hint="default" w:ascii="Times New Roman" w:hAnsi="Times New Roman" w:cs="Times New Roman"/>
          <w:color w:val="auto"/>
          <w:sz w:val="24"/>
          <w:szCs w:val="24"/>
          <w:highlight w:val="none"/>
        </w:rPr>
        <w:sectPr>
          <w:pgSz w:w="11906" w:h="16838"/>
          <w:pgMar w:top="1134" w:right="1134" w:bottom="1134" w:left="1134" w:header="851" w:footer="992" w:gutter="0"/>
          <w:cols w:space="720" w:num="1"/>
          <w:titlePg/>
          <w:docGrid w:type="lines" w:linePitch="312" w:charSpace="0"/>
        </w:sectPr>
      </w:pPr>
    </w:p>
    <w:p w14:paraId="343719FA">
      <w:pPr>
        <w:spacing w:line="360" w:lineRule="auto"/>
        <w:jc w:val="left"/>
        <w:outlineLvl w:val="2"/>
        <w:rPr>
          <w:rFonts w:hint="default" w:ascii="Times New Roman" w:hAnsi="Times New Roman" w:cs="Times New Roman"/>
          <w:b/>
          <w:bCs/>
          <w:color w:val="auto"/>
          <w:szCs w:val="21"/>
          <w:highlight w:val="none"/>
          <w:lang w:val="zh-CN"/>
        </w:rPr>
      </w:pPr>
      <w:bookmarkStart w:id="264" w:name="_Toc15262"/>
      <w:bookmarkStart w:id="265" w:name="_Toc18822"/>
      <w:r>
        <w:rPr>
          <w:rFonts w:hint="default" w:ascii="Times New Roman" w:hAnsi="Times New Roman" w:cs="Times New Roman"/>
          <w:b/>
          <w:bCs/>
          <w:color w:val="auto"/>
          <w:szCs w:val="21"/>
          <w:highlight w:val="none"/>
        </w:rPr>
        <w:t>5、</w:t>
      </w:r>
      <w:r>
        <w:rPr>
          <w:rFonts w:hint="default" w:ascii="Times New Roman" w:hAnsi="Times New Roman" w:cs="Times New Roman"/>
          <w:b/>
          <w:bCs/>
          <w:color w:val="auto"/>
          <w:szCs w:val="21"/>
          <w:highlight w:val="none"/>
          <w:lang w:val="zh-CN"/>
        </w:rPr>
        <w:t>具有履行合同所必需的设备和专业技术能力</w:t>
      </w:r>
      <w:bookmarkEnd w:id="264"/>
      <w:bookmarkEnd w:id="265"/>
    </w:p>
    <w:p w14:paraId="5FCBDDB7">
      <w:pPr>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根据项目需求提供履行合同所必需的设备和专业技术能力的证明材料或相关加盖公章的承诺函，承诺函自行编写</w:t>
      </w:r>
    </w:p>
    <w:p w14:paraId="1D533827">
      <w:pPr>
        <w:pStyle w:val="45"/>
        <w:ind w:firstLine="280"/>
        <w:rPr>
          <w:rFonts w:hint="default" w:ascii="Times New Roman" w:hAnsi="Times New Roman" w:cs="Times New Roman"/>
          <w:color w:val="auto"/>
          <w:highlight w:val="none"/>
        </w:rPr>
      </w:pPr>
    </w:p>
    <w:p w14:paraId="0A0414E5">
      <w:pPr>
        <w:spacing w:line="360" w:lineRule="auto"/>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承诺函参考格式：</w:t>
      </w:r>
    </w:p>
    <w:p w14:paraId="23A06E71">
      <w:pPr>
        <w:pStyle w:val="45"/>
        <w:ind w:firstLine="211"/>
        <w:jc w:val="center"/>
        <w:rPr>
          <w:rFonts w:hint="default" w:ascii="Times New Roman" w:hAnsi="Times New Roman" w:cs="Times New Roman"/>
          <w:b/>
          <w:color w:val="auto"/>
          <w:sz w:val="21"/>
          <w:highlight w:val="none"/>
        </w:rPr>
      </w:pPr>
      <w:r>
        <w:rPr>
          <w:rFonts w:hint="default" w:ascii="Times New Roman" w:hAnsi="Times New Roman" w:cs="Times New Roman"/>
          <w:b/>
          <w:color w:val="auto"/>
          <w:sz w:val="21"/>
          <w:highlight w:val="none"/>
        </w:rPr>
        <w:t>承诺函</w:t>
      </w:r>
    </w:p>
    <w:p w14:paraId="124B57E7">
      <w:pPr>
        <w:pStyle w:val="45"/>
        <w:ind w:firstLine="210"/>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t>我单位承诺：</w:t>
      </w:r>
      <w:r>
        <w:rPr>
          <w:rFonts w:hint="default" w:ascii="Times New Roman" w:hAnsi="Times New Roman" w:cs="Times New Roman"/>
          <w:bCs/>
          <w:color w:val="auto"/>
          <w:sz w:val="21"/>
          <w:highlight w:val="none"/>
          <w:lang w:val="zh-CN"/>
        </w:rPr>
        <w:t>具有履行合同所必需的设备和专业技术能力。</w:t>
      </w:r>
    </w:p>
    <w:p w14:paraId="51467519">
      <w:pPr>
        <w:rPr>
          <w:rFonts w:hint="default" w:ascii="Times New Roman" w:hAnsi="Times New Roman" w:cs="Times New Roman"/>
          <w:color w:val="auto"/>
          <w:highlight w:val="none"/>
        </w:rPr>
      </w:pPr>
    </w:p>
    <w:p w14:paraId="41BD622E">
      <w:pPr>
        <w:rPr>
          <w:rFonts w:hint="default" w:ascii="Times New Roman" w:hAnsi="Times New Roman" w:cs="Times New Roman"/>
          <w:color w:val="auto"/>
          <w:highlight w:val="none"/>
        </w:rPr>
      </w:pPr>
    </w:p>
    <w:p w14:paraId="093B19DB">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0C849120">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6CFB388B">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p>
    <w:p w14:paraId="51DF371E">
      <w:pPr>
        <w:autoSpaceDE w:val="0"/>
        <w:autoSpaceDN w:val="0"/>
        <w:adjustRightInd w:val="0"/>
        <w:spacing w:line="440" w:lineRule="exact"/>
        <w:jc w:val="left"/>
        <w:rPr>
          <w:rFonts w:hint="default" w:ascii="Times New Roman" w:hAnsi="Times New Roman" w:cs="Times New Roman"/>
          <w:color w:val="auto"/>
          <w:sz w:val="24"/>
          <w:szCs w:val="24"/>
          <w:highlight w:val="none"/>
        </w:rPr>
      </w:pPr>
    </w:p>
    <w:p w14:paraId="1F96BB39">
      <w:pPr>
        <w:autoSpaceDE w:val="0"/>
        <w:autoSpaceDN w:val="0"/>
        <w:adjustRightInd w:val="0"/>
        <w:spacing w:line="440" w:lineRule="exact"/>
        <w:jc w:val="left"/>
        <w:rPr>
          <w:rFonts w:hint="default" w:ascii="Times New Roman" w:hAnsi="Times New Roman" w:cs="Times New Roman"/>
          <w:color w:val="auto"/>
          <w:sz w:val="24"/>
          <w:szCs w:val="24"/>
          <w:highlight w:val="none"/>
        </w:rPr>
        <w:sectPr>
          <w:pgSz w:w="11906" w:h="16838"/>
          <w:pgMar w:top="1134" w:right="1134" w:bottom="1134" w:left="1134" w:header="851" w:footer="992" w:gutter="0"/>
          <w:cols w:space="720" w:num="1"/>
          <w:titlePg/>
          <w:docGrid w:type="lines" w:linePitch="312" w:charSpace="0"/>
        </w:sectPr>
      </w:pPr>
    </w:p>
    <w:p w14:paraId="74447387">
      <w:pPr>
        <w:spacing w:line="360" w:lineRule="auto"/>
        <w:jc w:val="left"/>
        <w:outlineLvl w:val="2"/>
        <w:rPr>
          <w:rFonts w:hint="default" w:ascii="Times New Roman" w:hAnsi="Times New Roman" w:cs="Times New Roman"/>
          <w:b/>
          <w:bCs/>
          <w:color w:val="auto"/>
          <w:szCs w:val="21"/>
          <w:highlight w:val="none"/>
        </w:rPr>
      </w:pPr>
      <w:bookmarkStart w:id="266" w:name="_Toc1099"/>
      <w:bookmarkStart w:id="267" w:name="_Toc24489"/>
      <w:r>
        <w:rPr>
          <w:rFonts w:hint="default" w:ascii="Times New Roman" w:hAnsi="Times New Roman" w:cs="Times New Roman"/>
          <w:b/>
          <w:bCs/>
          <w:color w:val="auto"/>
          <w:szCs w:val="21"/>
          <w:highlight w:val="none"/>
        </w:rPr>
        <w:t>6、参加政府采购活动近三年内（成立时间不足三年的、自成立时间起），在经营活动中没有重大违法记录</w:t>
      </w:r>
      <w:bookmarkEnd w:id="266"/>
      <w:bookmarkEnd w:id="267"/>
    </w:p>
    <w:p w14:paraId="771E256F">
      <w:pPr>
        <w:tabs>
          <w:tab w:val="left" w:pos="972"/>
        </w:tabs>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参考格式：</w:t>
      </w:r>
    </w:p>
    <w:p w14:paraId="257B0966">
      <w:pPr>
        <w:spacing w:line="360" w:lineRule="auto"/>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无重大违法记录声明</w:t>
      </w:r>
    </w:p>
    <w:p w14:paraId="544E4382">
      <w:pPr>
        <w:rPr>
          <w:rFonts w:hint="default" w:ascii="Times New Roman" w:hAnsi="Times New Roman" w:cs="Times New Roman"/>
          <w:color w:val="auto"/>
          <w:sz w:val="30"/>
          <w:szCs w:val="30"/>
          <w:highlight w:val="none"/>
        </w:rPr>
      </w:pPr>
    </w:p>
    <w:p w14:paraId="0B18CB0D">
      <w:pPr>
        <w:spacing w:line="360" w:lineRule="auto"/>
        <w:ind w:firstLine="420"/>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江苏苏美达仪器设备有限公司</w:t>
      </w:r>
      <w:r>
        <w:rPr>
          <w:rFonts w:hint="default" w:ascii="Times New Roman" w:hAnsi="Times New Roman" w:cs="Times New Roman"/>
          <w:color w:val="auto"/>
          <w:highlight w:val="none"/>
        </w:rPr>
        <w:t>：</w:t>
      </w:r>
    </w:p>
    <w:p w14:paraId="310DE762">
      <w:pPr>
        <w:spacing w:line="360" w:lineRule="auto"/>
        <w:ind w:firstLine="420"/>
        <w:rPr>
          <w:rFonts w:hint="default" w:ascii="Times New Roman" w:hAnsi="Times New Roman" w:cs="Times New Roman"/>
          <w:color w:val="auto"/>
          <w:highlight w:val="none"/>
        </w:rPr>
      </w:pPr>
    </w:p>
    <w:p w14:paraId="55D39F83">
      <w:pPr>
        <w:spacing w:line="360" w:lineRule="auto"/>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w:t>我单位</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（供应商名称）郑重声明：</w:t>
      </w:r>
    </w:p>
    <w:p w14:paraId="10A97C23">
      <w:pPr>
        <w:spacing w:line="360" w:lineRule="auto"/>
        <w:ind w:firstLine="420"/>
        <w:rPr>
          <w:rFonts w:hint="default" w:ascii="Times New Roman" w:hAnsi="Times New Roman" w:cs="Times New Roman"/>
          <w:color w:val="auto"/>
          <w:sz w:val="24"/>
          <w:szCs w:val="24"/>
          <w:highlight w:val="none"/>
        </w:rPr>
      </w:pPr>
      <w:r>
        <w:rPr>
          <w:rFonts w:hint="default" w:ascii="Times New Roman" w:hAnsi="Times New Roman" w:cs="Times New Roman"/>
          <w:color w:val="auto"/>
          <w:highlight w:val="none"/>
        </w:rPr>
        <w:t>参加政府采购活动前3年内在经营活动中</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（在下划线上如实填写：</w:t>
      </w:r>
      <w:r>
        <w:rPr>
          <w:rFonts w:hint="default" w:ascii="Times New Roman" w:hAnsi="Times New Roman" w:cs="Times New Roman"/>
          <w:color w:val="auto"/>
          <w:highlight w:val="none"/>
          <w:u w:val="single"/>
        </w:rPr>
        <w:t>有</w:t>
      </w:r>
      <w:r>
        <w:rPr>
          <w:rFonts w:hint="default" w:ascii="Times New Roman" w:hAnsi="Times New Roman" w:cs="Times New Roman"/>
          <w:color w:val="auto"/>
          <w:highlight w:val="none"/>
        </w:rPr>
        <w:t>或</w:t>
      </w:r>
      <w:r>
        <w:rPr>
          <w:rFonts w:hint="default" w:ascii="Times New Roman" w:hAnsi="Times New Roman" w:cs="Times New Roman"/>
          <w:color w:val="auto"/>
          <w:highlight w:val="none"/>
          <w:u w:val="single"/>
        </w:rPr>
        <w:t>没有</w:t>
      </w:r>
      <w:r>
        <w:rPr>
          <w:rFonts w:hint="default" w:ascii="Times New Roman" w:hAnsi="Times New Roman" w:cs="Times New Roman"/>
          <w:color w:val="auto"/>
          <w:highlight w:val="none"/>
        </w:rPr>
        <w:t>）重大违法记录。（说明：重大违法记录，是指供应商因违法经营受到刑事处罚或者责令停产停业、吊销许可证或者执照、较大数额罚款等行政处罚。）</w:t>
      </w:r>
    </w:p>
    <w:p w14:paraId="02937F32">
      <w:pPr>
        <w:rPr>
          <w:rFonts w:hint="default" w:ascii="Times New Roman" w:hAnsi="Times New Roman" w:cs="Times New Roman"/>
          <w:color w:val="auto"/>
          <w:highlight w:val="none"/>
        </w:rPr>
      </w:pPr>
    </w:p>
    <w:p w14:paraId="7032787C">
      <w:pPr>
        <w:rPr>
          <w:rFonts w:hint="default" w:ascii="Times New Roman" w:hAnsi="Times New Roman" w:cs="Times New Roman"/>
          <w:color w:val="auto"/>
          <w:highlight w:val="none"/>
        </w:rPr>
      </w:pPr>
    </w:p>
    <w:p w14:paraId="3396EBFE">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1BD7F13D">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58551B94">
      <w:p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Cs w:val="21"/>
          <w:highlight w:val="none"/>
        </w:rPr>
        <w:t>日期：</w:t>
      </w:r>
    </w:p>
    <w:p w14:paraId="79C7D66B">
      <w:pPr>
        <w:rPr>
          <w:rFonts w:hint="default" w:ascii="Times New Roman" w:hAnsi="Times New Roman" w:cs="Times New Roman"/>
          <w:color w:val="auto"/>
          <w:highlight w:val="none"/>
        </w:rPr>
      </w:pPr>
    </w:p>
    <w:p w14:paraId="015416BB">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"http://www.creditchina.gov.cn/" \h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szCs w:val="21"/>
          <w:highlight w:val="none"/>
        </w:rPr>
        <w:t>1、信用信息查询渠道：信用中国网站（www.creditchina.gov.cn</w:t>
      </w:r>
      <w:r>
        <w:rPr>
          <w:rFonts w:hint="default" w:ascii="Times New Roman" w:hAnsi="Times New Roman" w:cs="Times New Roman"/>
          <w:color w:val="auto"/>
          <w:szCs w:val="21"/>
          <w:highlight w:val="none"/>
        </w:rPr>
        <w:fldChar w:fldCharType="end"/>
      </w:r>
      <w:r>
        <w:rPr>
          <w:rFonts w:hint="default" w:ascii="Times New Roman" w:hAnsi="Times New Roman" w:cs="Times New Roman"/>
          <w:color w:val="auto"/>
          <w:szCs w:val="21"/>
          <w:highlight w:val="none"/>
        </w:rPr>
        <w:t>）、中国政府采购网-政府采购严重违法失信行为信息记录（</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HYPERLINK "http://www.ccgp.gov.cn/cr/list" \h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szCs w:val="21"/>
          <w:highlight w:val="none"/>
        </w:rPr>
        <w:t>http://www.ccgp.gov.cn</w:t>
      </w:r>
      <w:r>
        <w:rPr>
          <w:rFonts w:hint="default" w:ascii="Times New Roman" w:hAnsi="Times New Roman" w:cs="Times New Roman"/>
          <w:color w:val="auto"/>
          <w:szCs w:val="21"/>
          <w:highlight w:val="none"/>
        </w:rPr>
        <w:fldChar w:fldCharType="end"/>
      </w:r>
      <w:r>
        <w:rPr>
          <w:rFonts w:hint="default" w:ascii="Times New Roman" w:hAnsi="Times New Roman" w:cs="Times New Roman"/>
          <w:color w:val="auto"/>
          <w:szCs w:val="21"/>
          <w:highlight w:val="none"/>
        </w:rPr>
        <w:t xml:space="preserve">）； </w:t>
      </w:r>
    </w:p>
    <w:p w14:paraId="5CC98DBA">
      <w:pPr>
        <w:spacing w:line="360" w:lineRule="auto"/>
        <w:ind w:firstLine="424"/>
        <w:rPr>
          <w:rFonts w:hint="default" w:ascii="Times New Roman" w:hAnsi="Times New Roman" w:cs="Times New Roman"/>
          <w:b/>
          <w:bCs/>
          <w:color w:val="auto"/>
          <w:szCs w:val="21"/>
          <w:highlight w:val="none"/>
        </w:rPr>
      </w:pPr>
      <w:r>
        <w:rPr>
          <w:rFonts w:hint="default" w:ascii="Times New Roman" w:hAnsi="Times New Roman" w:cs="Times New Roman"/>
          <w:color w:val="auto"/>
          <w:szCs w:val="21"/>
          <w:highlight w:val="none"/>
        </w:rPr>
        <w:t>2、信用信息查询截止时点：采购公告发布之日24时前。</w:t>
      </w:r>
      <w:bookmarkStart w:id="268" w:name="_Toc13811"/>
    </w:p>
    <w:p w14:paraId="206409ED">
      <w:pPr>
        <w:spacing w:line="360" w:lineRule="auto"/>
        <w:jc w:val="left"/>
        <w:outlineLvl w:val="2"/>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br w:type="page"/>
      </w:r>
      <w:bookmarkStart w:id="269" w:name="_Toc25786"/>
      <w:r>
        <w:rPr>
          <w:rFonts w:hint="default" w:ascii="Times New Roman" w:hAnsi="Times New Roman" w:cs="Times New Roman"/>
          <w:b/>
          <w:bCs/>
          <w:color w:val="auto"/>
          <w:szCs w:val="21"/>
          <w:highlight w:val="none"/>
        </w:rPr>
        <w:t>7、依法缴纳税收的记录</w:t>
      </w:r>
      <w:bookmarkEnd w:id="268"/>
      <w:bookmarkEnd w:id="269"/>
    </w:p>
    <w:p w14:paraId="7F2D8910">
      <w:pPr>
        <w:spacing w:after="120" w:line="360" w:lineRule="auto"/>
        <w:rPr>
          <w:rFonts w:hint="default" w:ascii="Times New Roman" w:hAnsi="Times New Roman" w:cs="Times New Roman"/>
          <w:b/>
          <w:color w:val="auto"/>
          <w:highlight w:val="none"/>
          <w:u w:val="single"/>
        </w:rPr>
      </w:pPr>
      <w:r>
        <w:rPr>
          <w:rFonts w:hint="default" w:ascii="Times New Roman" w:hAnsi="Times New Roman" w:cs="Times New Roman"/>
          <w:color w:val="auto"/>
          <w:highlight w:val="none"/>
        </w:rPr>
        <w:t>提供距开标时间六个月内任意一月份的纳税凭据复印件加盖公章（依法免税的应提供相应文件说明）</w:t>
      </w:r>
      <w:r>
        <w:rPr>
          <w:rFonts w:hint="default" w:ascii="Times New Roman" w:hAnsi="Times New Roman" w:cs="Times New Roman"/>
          <w:color w:val="auto"/>
          <w:szCs w:val="21"/>
          <w:highlight w:val="none"/>
          <w:lang w:bidi="en-US"/>
        </w:rPr>
        <w:t>；</w:t>
      </w:r>
    </w:p>
    <w:p w14:paraId="7596EA1E">
      <w:pPr>
        <w:rPr>
          <w:rFonts w:hint="default" w:ascii="Times New Roman" w:hAnsi="Times New Roman" w:cs="Times New Roman"/>
          <w:color w:val="auto"/>
          <w:highlight w:val="none"/>
        </w:rPr>
      </w:pPr>
    </w:p>
    <w:p w14:paraId="2FB0BFEE">
      <w:pPr>
        <w:rPr>
          <w:rFonts w:hint="default" w:ascii="Times New Roman" w:hAnsi="Times New Roman" w:cs="Times New Roman"/>
          <w:color w:val="auto"/>
          <w:highlight w:val="none"/>
        </w:rPr>
      </w:pPr>
    </w:p>
    <w:p w14:paraId="6B6BB414">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4F77DD62">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54674BBC">
      <w:p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Cs w:val="21"/>
          <w:highlight w:val="none"/>
        </w:rPr>
        <w:t>日期：</w:t>
      </w:r>
    </w:p>
    <w:p w14:paraId="2AEA9EB8">
      <w:pPr>
        <w:spacing w:line="440" w:lineRule="exact"/>
        <w:rPr>
          <w:rFonts w:hint="default" w:ascii="Times New Roman" w:hAnsi="Times New Roman" w:cs="Times New Roman"/>
          <w:color w:val="auto"/>
          <w:sz w:val="24"/>
          <w:highlight w:val="none"/>
        </w:rPr>
      </w:pPr>
    </w:p>
    <w:p w14:paraId="21C2331C">
      <w:pPr>
        <w:spacing w:line="360" w:lineRule="auto"/>
        <w:jc w:val="left"/>
        <w:outlineLvl w:val="2"/>
        <w:rPr>
          <w:rFonts w:hint="default" w:ascii="Times New Roman" w:hAnsi="Times New Roman" w:cs="Times New Roman"/>
          <w:b/>
          <w:bCs/>
          <w:color w:val="auto"/>
          <w:szCs w:val="21"/>
          <w:highlight w:val="none"/>
        </w:rPr>
      </w:pPr>
      <w:bookmarkStart w:id="270" w:name="_Toc17181"/>
      <w:r>
        <w:rPr>
          <w:rFonts w:hint="default" w:ascii="Times New Roman" w:hAnsi="Times New Roman" w:cs="Times New Roman"/>
          <w:b/>
          <w:bCs/>
          <w:color w:val="auto"/>
          <w:szCs w:val="21"/>
          <w:highlight w:val="none"/>
        </w:rPr>
        <w:br w:type="page"/>
      </w:r>
      <w:bookmarkStart w:id="271" w:name="_Toc971"/>
      <w:r>
        <w:rPr>
          <w:rFonts w:hint="default" w:ascii="Times New Roman" w:hAnsi="Times New Roman" w:cs="Times New Roman"/>
          <w:b/>
          <w:bCs/>
          <w:color w:val="auto"/>
          <w:szCs w:val="21"/>
          <w:highlight w:val="none"/>
        </w:rPr>
        <w:t>8、依法缴纳社会保障资金的记录</w:t>
      </w:r>
      <w:bookmarkEnd w:id="270"/>
      <w:bookmarkEnd w:id="271"/>
    </w:p>
    <w:p w14:paraId="0C6D89E6">
      <w:p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highlight w:val="none"/>
        </w:rPr>
        <w:t>1、提供距开标时间六个月内任意一月份的依法缴纳社会保障资金的凭据复印件加盖公章（凭据可以是缴费的银行单据、专用收据、社会保险缴纳清单或者所在社保机构开具的证明等，自行编写无效）；</w:t>
      </w:r>
    </w:p>
    <w:p w14:paraId="52502897">
      <w:pPr>
        <w:spacing w:after="12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2、依法不需要缴纳社会保障资金的，应提供相应的文件证明。 </w:t>
      </w:r>
    </w:p>
    <w:p w14:paraId="4C6AA950">
      <w:pPr>
        <w:rPr>
          <w:rFonts w:hint="default" w:ascii="Times New Roman" w:hAnsi="Times New Roman" w:cs="Times New Roman"/>
          <w:color w:val="auto"/>
          <w:highlight w:val="none"/>
        </w:rPr>
      </w:pPr>
    </w:p>
    <w:p w14:paraId="3BD3287F">
      <w:pPr>
        <w:rPr>
          <w:rFonts w:hint="default" w:ascii="Times New Roman" w:hAnsi="Times New Roman" w:cs="Times New Roman"/>
          <w:color w:val="auto"/>
          <w:highlight w:val="none"/>
        </w:rPr>
      </w:pPr>
    </w:p>
    <w:p w14:paraId="2ADCD6E6">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7150577C">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46B90152">
      <w:p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Cs w:val="21"/>
          <w:highlight w:val="none"/>
        </w:rPr>
        <w:t>日期：</w:t>
      </w:r>
    </w:p>
    <w:p w14:paraId="13DEBD42">
      <w:pPr>
        <w:spacing w:line="440" w:lineRule="exact"/>
        <w:rPr>
          <w:rFonts w:hint="default" w:ascii="Times New Roman" w:hAnsi="Times New Roman" w:cs="Times New Roman"/>
          <w:color w:val="auto"/>
          <w:sz w:val="24"/>
          <w:highlight w:val="none"/>
        </w:rPr>
      </w:pPr>
    </w:p>
    <w:p w14:paraId="27A0A7CB">
      <w:pPr>
        <w:autoSpaceDE w:val="0"/>
        <w:autoSpaceDN w:val="0"/>
        <w:spacing w:line="440" w:lineRule="exact"/>
        <w:ind w:right="-5"/>
        <w:textAlignment w:val="bottom"/>
        <w:rPr>
          <w:rFonts w:hint="default" w:ascii="Times New Roman" w:hAnsi="Times New Roman" w:cs="Times New Roman"/>
          <w:b/>
          <w:color w:val="auto"/>
          <w:highlight w:val="none"/>
        </w:rPr>
      </w:pPr>
    </w:p>
    <w:p w14:paraId="29539E09">
      <w:pPr>
        <w:autoSpaceDE w:val="0"/>
        <w:autoSpaceDN w:val="0"/>
        <w:spacing w:line="440" w:lineRule="exact"/>
        <w:ind w:right="-5"/>
        <w:textAlignment w:val="bottom"/>
        <w:rPr>
          <w:rFonts w:hint="default" w:ascii="Times New Roman" w:hAnsi="Times New Roman" w:cs="Times New Roman"/>
          <w:b/>
          <w:color w:val="auto"/>
          <w:highlight w:val="none"/>
        </w:rPr>
        <w:sectPr>
          <w:footerReference r:id="rId14" w:type="first"/>
          <w:pgSz w:w="11906" w:h="16838"/>
          <w:pgMar w:top="1134" w:right="1134" w:bottom="1134" w:left="1134" w:header="851" w:footer="992" w:gutter="0"/>
          <w:cols w:space="720" w:num="1"/>
          <w:titlePg/>
          <w:docGrid w:type="lines" w:linePitch="312" w:charSpace="0"/>
        </w:sectPr>
      </w:pPr>
    </w:p>
    <w:p w14:paraId="7899AECC">
      <w:pPr>
        <w:spacing w:line="360" w:lineRule="auto"/>
        <w:jc w:val="left"/>
        <w:outlineLvl w:val="2"/>
        <w:rPr>
          <w:rFonts w:hint="default" w:ascii="Times New Roman" w:hAnsi="Times New Roman" w:cs="Times New Roman"/>
          <w:b/>
          <w:bCs/>
          <w:color w:val="auto"/>
          <w:szCs w:val="21"/>
          <w:highlight w:val="none"/>
        </w:rPr>
      </w:pPr>
      <w:bookmarkStart w:id="272" w:name="_Toc9645"/>
      <w:bookmarkStart w:id="273" w:name="_Toc19901"/>
      <w:r>
        <w:rPr>
          <w:rFonts w:hint="default" w:ascii="Times New Roman" w:hAnsi="Times New Roman" w:cs="Times New Roman"/>
          <w:b/>
          <w:bCs/>
          <w:color w:val="auto"/>
          <w:szCs w:val="21"/>
          <w:highlight w:val="none"/>
        </w:rPr>
        <w:t>9、</w:t>
      </w:r>
      <w:bookmarkEnd w:id="272"/>
      <w:r>
        <w:rPr>
          <w:rFonts w:hint="default" w:ascii="Times New Roman" w:hAnsi="Times New Roman" w:cs="Times New Roman"/>
          <w:b/>
          <w:bCs/>
          <w:color w:val="auto"/>
          <w:szCs w:val="21"/>
          <w:highlight w:val="none"/>
        </w:rPr>
        <w:t>针对本项目的特定资格要求</w:t>
      </w:r>
      <w:bookmarkEnd w:id="273"/>
    </w:p>
    <w:p w14:paraId="11CC0728">
      <w:pPr>
        <w:spacing w:line="360" w:lineRule="auto"/>
        <w:rPr>
          <w:rFonts w:hint="default" w:ascii="Times New Roman" w:hAnsi="Times New Roman" w:cs="Times New Roman"/>
          <w:b/>
          <w:color w:val="auto"/>
          <w:highlight w:val="none"/>
        </w:rPr>
      </w:pPr>
      <w:r>
        <w:rPr>
          <w:rFonts w:hint="default" w:ascii="Times New Roman" w:hAnsi="Times New Roman" w:cs="Times New Roman"/>
          <w:b/>
          <w:color w:val="auto"/>
          <w:highlight w:val="none"/>
        </w:rPr>
        <w:t>（1）声明函（参考格式）</w:t>
      </w:r>
    </w:p>
    <w:p w14:paraId="0A615345">
      <w:pPr>
        <w:spacing w:line="440" w:lineRule="exact"/>
        <w:rPr>
          <w:rFonts w:hint="default" w:ascii="Times New Roman" w:hAnsi="Times New Roman" w:cs="Times New Roman"/>
          <w:b/>
          <w:color w:val="auto"/>
          <w:highlight w:val="none"/>
        </w:rPr>
      </w:pPr>
    </w:p>
    <w:p w14:paraId="23A769E4">
      <w:pPr>
        <w:spacing w:line="36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声明函</w:t>
      </w:r>
    </w:p>
    <w:p w14:paraId="01B4489B">
      <w:pPr>
        <w:spacing w:line="360" w:lineRule="auto"/>
        <w:jc w:val="left"/>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 xml:space="preserve">江苏苏美达仪器设备有限公司： </w:t>
      </w:r>
    </w:p>
    <w:p w14:paraId="76CD94C4">
      <w:pPr>
        <w:spacing w:line="360" w:lineRule="auto"/>
        <w:ind w:firstLine="420" w:firstLineChars="200"/>
        <w:rPr>
          <w:rFonts w:hint="default" w:ascii="Times New Roman" w:hAnsi="Times New Roman" w:cs="Times New Roman"/>
          <w:b/>
          <w:bCs/>
          <w:color w:val="auto"/>
          <w:szCs w:val="21"/>
          <w:highlight w:val="none"/>
        </w:rPr>
      </w:pPr>
      <w:r>
        <w:rPr>
          <w:rFonts w:hint="default" w:ascii="Times New Roman" w:hAnsi="Times New Roman" w:cs="Times New Roman"/>
          <w:color w:val="auto"/>
          <w:szCs w:val="21"/>
          <w:highlight w:val="none"/>
        </w:rPr>
        <w:t>我单位未组成联合体投标，中标后不进行分包、转包。</w:t>
      </w:r>
      <w:r>
        <w:rPr>
          <w:rFonts w:hint="default" w:ascii="Times New Roman" w:hAnsi="Times New Roman" w:cs="Times New Roman"/>
          <w:b/>
          <w:bCs/>
          <w:color w:val="auto"/>
          <w:szCs w:val="21"/>
          <w:highlight w:val="none"/>
        </w:rPr>
        <w:t xml:space="preserve"> </w:t>
      </w:r>
    </w:p>
    <w:p w14:paraId="3820F6E8">
      <w:pPr>
        <w:spacing w:line="360" w:lineRule="auto"/>
        <w:ind w:firstLine="420" w:firstLineChars="20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我单位负责人</w:t>
      </w:r>
      <w:r>
        <w:rPr>
          <w:rFonts w:hint="default" w:ascii="Times New Roman" w:hAnsi="Times New Roman" w:cs="Times New Roman"/>
          <w:color w:val="auto"/>
          <w:szCs w:val="21"/>
          <w:highlight w:val="none"/>
          <w:u w:val="single"/>
        </w:rPr>
        <w:t xml:space="preserve">   （负责人姓名、身份证号）   </w:t>
      </w:r>
      <w:r>
        <w:rPr>
          <w:rFonts w:hint="default" w:ascii="Times New Roman" w:hAnsi="Times New Roman" w:cs="Times New Roman"/>
          <w:color w:val="auto"/>
          <w:szCs w:val="21"/>
          <w:highlight w:val="none"/>
        </w:rPr>
        <w:t>，与我单位存在直接控股、管理关系的单位为</w:t>
      </w:r>
    </w:p>
    <w:p w14:paraId="72100332">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（单位名称）</w:t>
      </w:r>
      <w:r>
        <w:rPr>
          <w:rFonts w:hint="default" w:ascii="Times New Roman" w:hAnsi="Times New Roman" w:cs="Times New Roman"/>
          <w:color w:val="auto"/>
          <w:szCs w:val="21"/>
          <w:highlight w:val="none"/>
        </w:rPr>
        <w:t xml:space="preserve">，不存在与我单位负责人为同一人或者存在直接控股、管理关系的不同供应商同时参加本项目同一包投标的情形。 </w:t>
      </w:r>
    </w:p>
    <w:p w14:paraId="15063EF4">
      <w:pPr>
        <w:widowControl/>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我单位不属于为采购项目提供整体设计、规范编制或者项目管理、监理、检测等服务的情形。</w:t>
      </w:r>
    </w:p>
    <w:p w14:paraId="718B8A85">
      <w:pPr>
        <w:widowControl/>
        <w:spacing w:line="360" w:lineRule="auto"/>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我单位未被列入失信被执行人、重大税收违法失信主体、政府采购严重违法失信行为记录名单。</w:t>
      </w:r>
    </w:p>
    <w:p w14:paraId="0BE12DA4">
      <w:pPr>
        <w:widowControl/>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 xml:space="preserve">特此声明。 </w:t>
      </w:r>
    </w:p>
    <w:p w14:paraId="3F6EBB04">
      <w:pPr>
        <w:rPr>
          <w:rFonts w:hint="default" w:ascii="Times New Roman" w:hAnsi="Times New Roman" w:cs="Times New Roman"/>
          <w:color w:val="auto"/>
          <w:highlight w:val="none"/>
        </w:rPr>
      </w:pPr>
    </w:p>
    <w:p w14:paraId="13B8ACB0">
      <w:pPr>
        <w:rPr>
          <w:rFonts w:hint="default" w:ascii="Times New Roman" w:hAnsi="Times New Roman" w:cs="Times New Roman"/>
          <w:color w:val="auto"/>
          <w:highlight w:val="none"/>
        </w:rPr>
      </w:pPr>
    </w:p>
    <w:p w14:paraId="58C5FD70">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47C855E3">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1C4B0CDE">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bookmarkStart w:id="274" w:name="_Toc20105"/>
    </w:p>
    <w:p w14:paraId="2A965D2A">
      <w:pPr>
        <w:rPr>
          <w:rFonts w:hint="default" w:ascii="Times New Roman" w:hAnsi="Times New Roman" w:cs="Times New Roman"/>
          <w:color w:val="auto"/>
          <w:highlight w:val="none"/>
        </w:rPr>
      </w:pPr>
    </w:p>
    <w:p w14:paraId="34E80D90">
      <w:pPr>
        <w:rPr>
          <w:rFonts w:hint="eastAsia" w:cs="Times New Roman"/>
          <w:color w:val="auto"/>
          <w:szCs w:val="21"/>
          <w:highlight w:val="none"/>
          <w:lang w:eastAsia="zh-CN"/>
        </w:rPr>
      </w:pPr>
      <w:r>
        <w:rPr>
          <w:rFonts w:hint="eastAsia" w:cs="Times New Roman"/>
          <w:color w:val="auto"/>
          <w:szCs w:val="21"/>
          <w:highlight w:val="none"/>
          <w:lang w:eastAsia="zh-CN"/>
        </w:rPr>
        <w:br w:type="page"/>
      </w:r>
    </w:p>
    <w:p w14:paraId="5821DEB5">
      <w:pPr>
        <w:spacing w:line="360" w:lineRule="auto"/>
        <w:rPr>
          <w:rFonts w:hint="default" w:ascii="Times New Roman" w:hAnsi="Times New Roman" w:cs="Times New Roman"/>
          <w:b/>
          <w:bCs/>
          <w:color w:val="auto"/>
          <w:szCs w:val="21"/>
          <w:highlight w:val="none"/>
        </w:rPr>
      </w:pPr>
      <w:r>
        <w:rPr>
          <w:rFonts w:hint="eastAsia" w:cs="Times New Roman"/>
          <w:color w:val="auto"/>
          <w:szCs w:val="21"/>
          <w:highlight w:val="none"/>
          <w:lang w:eastAsia="zh-CN"/>
        </w:rPr>
        <w:t>（</w:t>
      </w:r>
      <w:r>
        <w:rPr>
          <w:rFonts w:hint="eastAsia" w:cs="Times New Roman"/>
          <w:color w:val="auto"/>
          <w:szCs w:val="21"/>
          <w:highlight w:val="none"/>
          <w:lang w:val="en-US" w:eastAsia="zh-CN"/>
        </w:rPr>
        <w:t>2）</w:t>
      </w:r>
      <w:r>
        <w:rPr>
          <w:rFonts w:hint="default" w:ascii="Times New Roman" w:hAnsi="Times New Roman" w:cs="Times New Roman"/>
          <w:color w:val="auto"/>
          <w:szCs w:val="21"/>
          <w:highlight w:val="none"/>
        </w:rPr>
        <w:t>根据国家相关政策规定，</w:t>
      </w:r>
      <w:r>
        <w:rPr>
          <w:rFonts w:hint="eastAsia" w:cs="Times New Roman"/>
          <w:b w:val="0"/>
          <w:bCs w:val="0"/>
          <w:color w:val="auto"/>
          <w:szCs w:val="21"/>
          <w:highlight w:val="none"/>
          <w:lang w:val="en-US" w:eastAsia="zh-CN"/>
        </w:rPr>
        <w:t>如</w:t>
      </w:r>
      <w:r>
        <w:rPr>
          <w:rFonts w:hint="default" w:ascii="Times New Roman" w:hAnsi="Times New Roman" w:cs="Times New Roman"/>
          <w:b w:val="0"/>
          <w:bCs w:val="0"/>
          <w:color w:val="auto"/>
          <w:szCs w:val="21"/>
          <w:highlight w:val="none"/>
        </w:rPr>
        <w:t>属于医疗器械监督管理的设备，</w:t>
      </w:r>
      <w:r>
        <w:rPr>
          <w:rFonts w:hint="default" w:ascii="Times New Roman" w:hAnsi="Times New Roman" w:cs="Times New Roman"/>
          <w:color w:val="auto"/>
          <w:szCs w:val="21"/>
          <w:highlight w:val="none"/>
        </w:rPr>
        <w:t>需具备</w:t>
      </w:r>
      <w:r>
        <w:rPr>
          <w:rFonts w:hint="default" w:ascii="Times New Roman" w:hAnsi="Times New Roman" w:cs="Times New Roman"/>
          <w:b/>
          <w:bCs/>
          <w:color w:val="auto"/>
          <w:szCs w:val="21"/>
          <w:highlight w:val="none"/>
        </w:rPr>
        <w:t>：</w:t>
      </w:r>
    </w:p>
    <w:p w14:paraId="164EC8B5">
      <w:pPr>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①投标人须提供有效的医疗器械产品注册证或产品备案凭证，投标时需提供复印件加盖公章；</w:t>
      </w:r>
    </w:p>
    <w:p w14:paraId="40C5335F">
      <w:pPr>
        <w:spacing w:line="360" w:lineRule="auto"/>
        <w:ind w:firstLine="422" w:firstLineChars="20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②若投标供应商为代理商，须具有有效的《医疗器械经营许可证》或医疗器械经营备案凭证，投标时需提供复印件加盖公章；</w:t>
      </w:r>
    </w:p>
    <w:p w14:paraId="4F7568D5">
      <w:pPr>
        <w:spacing w:line="360" w:lineRule="auto"/>
        <w:ind w:firstLine="422" w:firstLineChars="200"/>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③若投标供应商为生产商，须具有有效的《医疗器械生产许可证》或生产备案凭证（医疗器械生产许可证如有医疗器械生产产品登记表的须一并提供），投标时需提供复印件加盖公章；</w:t>
      </w:r>
    </w:p>
    <w:p w14:paraId="3D1E3B2F">
      <w:pPr>
        <w:spacing w:line="360" w:lineRule="auto"/>
        <w:rPr>
          <w:rFonts w:hint="default" w:ascii="Times New Roman" w:hAnsi="Times New Roman" w:cs="Times New Roman"/>
          <w:color w:val="auto"/>
          <w:szCs w:val="21"/>
          <w:highlight w:val="none"/>
        </w:rPr>
      </w:pPr>
    </w:p>
    <w:p w14:paraId="75F6CF24">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239D4AAA">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4A12ED7F">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日期：</w:t>
      </w:r>
    </w:p>
    <w:p w14:paraId="64F8BBB2">
      <w:pPr>
        <w:spacing w:line="360" w:lineRule="auto"/>
        <w:rPr>
          <w:rFonts w:hint="default" w:ascii="Times New Roman" w:hAnsi="Times New Roman" w:cs="Times New Roman"/>
          <w:color w:val="auto"/>
          <w:szCs w:val="21"/>
          <w:highlight w:val="none"/>
        </w:rPr>
      </w:pPr>
    </w:p>
    <w:p w14:paraId="62580355">
      <w:pPr>
        <w:rPr>
          <w:rFonts w:hint="default" w:ascii="Times New Roman" w:hAnsi="Times New Roman" w:cs="Times New Roman"/>
          <w:color w:val="auto"/>
          <w:highlight w:val="none"/>
        </w:rPr>
        <w:sectPr>
          <w:headerReference r:id="rId15" w:type="first"/>
          <w:footerReference r:id="rId17" w:type="first"/>
          <w:footerReference r:id="rId16" w:type="default"/>
          <w:pgSz w:w="11906" w:h="16838"/>
          <w:pgMar w:top="1418" w:right="1418" w:bottom="1418" w:left="1418" w:header="851" w:footer="992" w:gutter="0"/>
          <w:cols w:space="720" w:num="1"/>
          <w:titlePg/>
          <w:docGrid w:type="lines" w:linePitch="312" w:charSpace="0"/>
        </w:sectPr>
      </w:pPr>
      <w:r>
        <w:rPr>
          <w:rFonts w:hint="default" w:ascii="Times New Roman" w:hAnsi="Times New Roman" w:cs="Times New Roman"/>
          <w:color w:val="auto"/>
          <w:highlight w:val="none"/>
        </w:rPr>
        <w:br w:type="page"/>
      </w:r>
    </w:p>
    <w:p w14:paraId="22148E8D">
      <w:pPr>
        <w:spacing w:line="360" w:lineRule="auto"/>
        <w:jc w:val="left"/>
        <w:outlineLvl w:val="2"/>
        <w:rPr>
          <w:rFonts w:hint="default" w:ascii="Times New Roman" w:hAnsi="Times New Roman" w:cs="Times New Roman"/>
          <w:b/>
          <w:bCs/>
          <w:color w:val="auto"/>
          <w:szCs w:val="21"/>
          <w:highlight w:val="none"/>
        </w:rPr>
      </w:pPr>
      <w:bookmarkStart w:id="275" w:name="_Toc9385"/>
      <w:r>
        <w:rPr>
          <w:rFonts w:hint="default" w:ascii="Times New Roman" w:hAnsi="Times New Roman" w:cs="Times New Roman"/>
          <w:b/>
          <w:bCs/>
          <w:color w:val="auto"/>
          <w:szCs w:val="21"/>
          <w:highlight w:val="none"/>
        </w:rPr>
        <w:t>10、供应商认为其需要提供的其他资格证明文件。</w:t>
      </w:r>
      <w:bookmarkEnd w:id="274"/>
      <w:bookmarkEnd w:id="275"/>
    </w:p>
    <w:p w14:paraId="5D679582">
      <w:pPr>
        <w:rPr>
          <w:rFonts w:hint="default" w:ascii="Times New Roman" w:hAnsi="Times New Roman" w:cs="Times New Roman"/>
          <w:color w:val="auto"/>
          <w:highlight w:val="none"/>
        </w:rPr>
      </w:pPr>
    </w:p>
    <w:p w14:paraId="0BD26F39">
      <w:pPr>
        <w:rPr>
          <w:rFonts w:hint="default" w:ascii="Times New Roman" w:hAnsi="Times New Roman" w:cs="Times New Roman"/>
          <w:color w:val="auto"/>
          <w:highlight w:val="none"/>
        </w:rPr>
      </w:pPr>
    </w:p>
    <w:p w14:paraId="49AA6B1C">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投标人名称（公章）：</w:t>
      </w:r>
    </w:p>
    <w:p w14:paraId="02B31D0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授权代表（签字）：</w:t>
      </w:r>
    </w:p>
    <w:p w14:paraId="3EEC97C4">
      <w:pPr>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Cs w:val="21"/>
          <w:highlight w:val="none"/>
        </w:rPr>
        <w:t>日期：</w:t>
      </w:r>
    </w:p>
    <w:p w14:paraId="156446AF">
      <w:pPr>
        <w:autoSpaceDE w:val="0"/>
        <w:autoSpaceDN w:val="0"/>
        <w:spacing w:line="440" w:lineRule="exact"/>
        <w:ind w:right="-5"/>
        <w:textAlignment w:val="bottom"/>
        <w:rPr>
          <w:rFonts w:hint="default" w:ascii="Times New Roman" w:hAnsi="Times New Roman" w:cs="Times New Roman"/>
          <w:b/>
          <w:color w:val="auto"/>
          <w:highlight w:val="none"/>
        </w:rPr>
      </w:pPr>
    </w:p>
    <w:p w14:paraId="3039E4BA">
      <w:pPr>
        <w:spacing w:line="360" w:lineRule="auto"/>
        <w:outlineLvl w:val="1"/>
        <w:rPr>
          <w:rFonts w:hint="default" w:ascii="Times New Roman" w:hAnsi="Times New Roman" w:cs="Times New Roman"/>
          <w:b/>
          <w:color w:val="auto"/>
          <w:sz w:val="24"/>
          <w:highlight w:val="none"/>
          <w:lang w:val="zh-CN"/>
        </w:rPr>
      </w:pPr>
      <w:r>
        <w:rPr>
          <w:rFonts w:hint="default" w:ascii="Times New Roman" w:hAnsi="Times New Roman" w:cs="Times New Roman"/>
          <w:b/>
          <w:color w:val="auto"/>
          <w:highlight w:val="none"/>
        </w:rPr>
        <w:br w:type="page"/>
      </w:r>
      <w:bookmarkStart w:id="276" w:name="_Toc22079"/>
      <w:bookmarkStart w:id="277" w:name="_Toc17167"/>
      <w:r>
        <w:rPr>
          <w:rFonts w:hint="default" w:ascii="Times New Roman" w:hAnsi="Times New Roman" w:cs="Times New Roman"/>
          <w:b/>
          <w:bCs/>
          <w:color w:val="auto"/>
          <w:sz w:val="24"/>
          <w:szCs w:val="22"/>
          <w:highlight w:val="none"/>
          <w:lang w:val="zh-CN"/>
        </w:rPr>
        <w:t>附件</w:t>
      </w:r>
      <w:r>
        <w:rPr>
          <w:rFonts w:hint="eastAsia" w:cs="Times New Roman"/>
          <w:b/>
          <w:bCs/>
          <w:color w:val="auto"/>
          <w:sz w:val="24"/>
          <w:szCs w:val="22"/>
          <w:highlight w:val="none"/>
          <w:lang w:val="en-US" w:eastAsia="zh-CN"/>
        </w:rPr>
        <w:t>九</w:t>
      </w:r>
      <w:r>
        <w:rPr>
          <w:rFonts w:hint="default" w:ascii="Times New Roman" w:hAnsi="Times New Roman" w:cs="Times New Roman"/>
          <w:b/>
          <w:bCs/>
          <w:color w:val="auto"/>
          <w:sz w:val="24"/>
          <w:szCs w:val="22"/>
          <w:highlight w:val="none"/>
          <w:lang w:val="zh-CN"/>
        </w:rPr>
        <w:t xml:space="preserve"> </w:t>
      </w:r>
      <w:bookmarkEnd w:id="276"/>
      <w:r>
        <w:rPr>
          <w:rFonts w:hint="default" w:ascii="Times New Roman" w:hAnsi="Times New Roman" w:cs="Times New Roman"/>
          <w:b/>
          <w:bCs/>
          <w:color w:val="auto"/>
          <w:sz w:val="24"/>
          <w:szCs w:val="22"/>
          <w:highlight w:val="none"/>
          <w:lang w:val="zh-CN"/>
        </w:rPr>
        <w:t>供应商认为需要提供的其他资料</w:t>
      </w:r>
      <w:bookmarkEnd w:id="277"/>
    </w:p>
    <w:p w14:paraId="775A5909">
      <w:pPr>
        <w:rPr>
          <w:rFonts w:hint="default" w:ascii="Times New Roman" w:hAnsi="Times New Roman" w:cs="Times New Roman"/>
          <w:color w:val="auto"/>
          <w:highlight w:val="none"/>
        </w:rPr>
      </w:pPr>
    </w:p>
    <w:p w14:paraId="18E63979">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注：须授权代表签字或加盖投标单位公章</w:t>
      </w:r>
    </w:p>
    <w:p w14:paraId="2DCE7374">
      <w:pPr>
        <w:rPr>
          <w:rFonts w:hint="default" w:ascii="Times New Roman" w:hAnsi="Times New Roman" w:cs="Times New Roman"/>
          <w:b/>
          <w:color w:val="auto"/>
          <w:sz w:val="24"/>
          <w:highlight w:val="none"/>
          <w:lang w:val="zh-CN"/>
        </w:rPr>
      </w:pPr>
    </w:p>
    <w:p w14:paraId="1385C0B5">
      <w:pPr>
        <w:spacing w:line="360" w:lineRule="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1、业绩清单（参考格式）</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416"/>
        <w:gridCol w:w="1269"/>
        <w:gridCol w:w="1483"/>
        <w:gridCol w:w="1483"/>
        <w:gridCol w:w="1432"/>
        <w:gridCol w:w="1622"/>
      </w:tblGrid>
      <w:tr w14:paraId="0146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vAlign w:val="center"/>
          </w:tcPr>
          <w:p w14:paraId="426D5360">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762" w:type="pct"/>
            <w:vAlign w:val="center"/>
          </w:tcPr>
          <w:p w14:paraId="14834757">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项目名称</w:t>
            </w:r>
          </w:p>
        </w:tc>
        <w:tc>
          <w:tcPr>
            <w:tcW w:w="683" w:type="pct"/>
            <w:vAlign w:val="center"/>
          </w:tcPr>
          <w:p w14:paraId="7675109B">
            <w:pPr>
              <w:tabs>
                <w:tab w:val="left" w:pos="6252"/>
              </w:tabs>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项目时间</w:t>
            </w:r>
          </w:p>
        </w:tc>
        <w:tc>
          <w:tcPr>
            <w:tcW w:w="798" w:type="pct"/>
            <w:vAlign w:val="center"/>
          </w:tcPr>
          <w:p w14:paraId="47567E6E">
            <w:pPr>
              <w:tabs>
                <w:tab w:val="left" w:pos="6252"/>
              </w:tabs>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完成情况</w:t>
            </w:r>
          </w:p>
        </w:tc>
        <w:tc>
          <w:tcPr>
            <w:tcW w:w="798" w:type="pct"/>
            <w:vAlign w:val="center"/>
          </w:tcPr>
          <w:p w14:paraId="180A8BCC">
            <w:pPr>
              <w:tabs>
                <w:tab w:val="left" w:pos="6252"/>
              </w:tabs>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合同金额</w:t>
            </w:r>
          </w:p>
        </w:tc>
        <w:tc>
          <w:tcPr>
            <w:tcW w:w="771" w:type="pct"/>
            <w:vAlign w:val="center"/>
          </w:tcPr>
          <w:p w14:paraId="4830F391">
            <w:pPr>
              <w:tabs>
                <w:tab w:val="left" w:pos="6252"/>
              </w:tabs>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业主单位及联系电话</w:t>
            </w:r>
          </w:p>
        </w:tc>
        <w:tc>
          <w:tcPr>
            <w:tcW w:w="873" w:type="pct"/>
            <w:vAlign w:val="center"/>
          </w:tcPr>
          <w:p w14:paraId="4865792E">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是否有用户反</w:t>
            </w:r>
          </w:p>
          <w:p w14:paraId="7D323C9F">
            <w:pPr>
              <w:spacing w:line="36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馈情况 </w:t>
            </w:r>
          </w:p>
        </w:tc>
      </w:tr>
      <w:tr w14:paraId="7E9A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11" w:type="pct"/>
            <w:vAlign w:val="center"/>
          </w:tcPr>
          <w:p w14:paraId="64A5EAC5">
            <w:pPr>
              <w:spacing w:line="360" w:lineRule="auto"/>
              <w:jc w:val="center"/>
              <w:rPr>
                <w:rFonts w:hint="default" w:ascii="Times New Roman" w:hAnsi="Times New Roman" w:cs="Times New Roman"/>
                <w:color w:val="auto"/>
                <w:szCs w:val="21"/>
                <w:highlight w:val="none"/>
              </w:rPr>
            </w:pPr>
          </w:p>
        </w:tc>
        <w:tc>
          <w:tcPr>
            <w:tcW w:w="762" w:type="pct"/>
            <w:vAlign w:val="center"/>
          </w:tcPr>
          <w:p w14:paraId="4853232C">
            <w:pPr>
              <w:spacing w:line="360" w:lineRule="auto"/>
              <w:jc w:val="center"/>
              <w:rPr>
                <w:rFonts w:hint="default" w:ascii="Times New Roman" w:hAnsi="Times New Roman" w:cs="Times New Roman"/>
                <w:color w:val="auto"/>
                <w:szCs w:val="21"/>
                <w:highlight w:val="none"/>
              </w:rPr>
            </w:pPr>
          </w:p>
        </w:tc>
        <w:tc>
          <w:tcPr>
            <w:tcW w:w="683" w:type="pct"/>
          </w:tcPr>
          <w:p w14:paraId="5E72DA91">
            <w:pPr>
              <w:spacing w:line="360" w:lineRule="auto"/>
              <w:jc w:val="center"/>
              <w:rPr>
                <w:rFonts w:hint="default" w:ascii="Times New Roman" w:hAnsi="Times New Roman" w:cs="Times New Roman"/>
                <w:color w:val="auto"/>
                <w:szCs w:val="21"/>
                <w:highlight w:val="none"/>
              </w:rPr>
            </w:pPr>
          </w:p>
        </w:tc>
        <w:tc>
          <w:tcPr>
            <w:tcW w:w="798" w:type="pct"/>
            <w:vAlign w:val="center"/>
          </w:tcPr>
          <w:p w14:paraId="3E5CAB29">
            <w:pPr>
              <w:spacing w:line="360" w:lineRule="auto"/>
              <w:jc w:val="center"/>
              <w:rPr>
                <w:rFonts w:hint="default" w:ascii="Times New Roman" w:hAnsi="Times New Roman" w:cs="Times New Roman"/>
                <w:color w:val="auto"/>
                <w:szCs w:val="21"/>
                <w:highlight w:val="none"/>
              </w:rPr>
            </w:pPr>
          </w:p>
        </w:tc>
        <w:tc>
          <w:tcPr>
            <w:tcW w:w="798" w:type="pct"/>
            <w:vAlign w:val="center"/>
          </w:tcPr>
          <w:p w14:paraId="67A0E410">
            <w:pPr>
              <w:spacing w:line="360" w:lineRule="auto"/>
              <w:jc w:val="center"/>
              <w:rPr>
                <w:rFonts w:hint="default" w:ascii="Times New Roman" w:hAnsi="Times New Roman" w:cs="Times New Roman"/>
                <w:color w:val="auto"/>
                <w:szCs w:val="21"/>
                <w:highlight w:val="none"/>
              </w:rPr>
            </w:pPr>
          </w:p>
        </w:tc>
        <w:tc>
          <w:tcPr>
            <w:tcW w:w="771" w:type="pct"/>
            <w:vAlign w:val="center"/>
          </w:tcPr>
          <w:p w14:paraId="482C0831">
            <w:pPr>
              <w:spacing w:line="360" w:lineRule="auto"/>
              <w:jc w:val="center"/>
              <w:rPr>
                <w:rFonts w:hint="default" w:ascii="Times New Roman" w:hAnsi="Times New Roman" w:cs="Times New Roman"/>
                <w:color w:val="auto"/>
                <w:szCs w:val="21"/>
                <w:highlight w:val="none"/>
              </w:rPr>
            </w:pPr>
          </w:p>
        </w:tc>
        <w:tc>
          <w:tcPr>
            <w:tcW w:w="873" w:type="pct"/>
            <w:vAlign w:val="center"/>
          </w:tcPr>
          <w:p w14:paraId="3356E4C9">
            <w:pPr>
              <w:spacing w:line="360" w:lineRule="auto"/>
              <w:jc w:val="center"/>
              <w:rPr>
                <w:rFonts w:hint="default" w:ascii="Times New Roman" w:hAnsi="Times New Roman" w:cs="Times New Roman"/>
                <w:color w:val="auto"/>
                <w:szCs w:val="21"/>
                <w:highlight w:val="none"/>
              </w:rPr>
            </w:pPr>
          </w:p>
        </w:tc>
      </w:tr>
      <w:tr w14:paraId="7C6E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11" w:type="pct"/>
            <w:vAlign w:val="center"/>
          </w:tcPr>
          <w:p w14:paraId="79D17090">
            <w:pPr>
              <w:spacing w:line="360" w:lineRule="auto"/>
              <w:jc w:val="center"/>
              <w:rPr>
                <w:rFonts w:hint="default" w:ascii="Times New Roman" w:hAnsi="Times New Roman" w:cs="Times New Roman"/>
                <w:color w:val="auto"/>
                <w:szCs w:val="21"/>
                <w:highlight w:val="none"/>
              </w:rPr>
            </w:pPr>
          </w:p>
        </w:tc>
        <w:tc>
          <w:tcPr>
            <w:tcW w:w="762" w:type="pct"/>
            <w:vAlign w:val="center"/>
          </w:tcPr>
          <w:p w14:paraId="1066A236">
            <w:pPr>
              <w:spacing w:line="360" w:lineRule="auto"/>
              <w:jc w:val="center"/>
              <w:rPr>
                <w:rFonts w:hint="default" w:ascii="Times New Roman" w:hAnsi="Times New Roman" w:cs="Times New Roman"/>
                <w:color w:val="auto"/>
                <w:szCs w:val="21"/>
                <w:highlight w:val="none"/>
              </w:rPr>
            </w:pPr>
          </w:p>
        </w:tc>
        <w:tc>
          <w:tcPr>
            <w:tcW w:w="683" w:type="pct"/>
          </w:tcPr>
          <w:p w14:paraId="443806A4">
            <w:pPr>
              <w:spacing w:line="360" w:lineRule="auto"/>
              <w:jc w:val="center"/>
              <w:rPr>
                <w:rFonts w:hint="default" w:ascii="Times New Roman" w:hAnsi="Times New Roman" w:cs="Times New Roman"/>
                <w:color w:val="auto"/>
                <w:szCs w:val="21"/>
                <w:highlight w:val="none"/>
              </w:rPr>
            </w:pPr>
          </w:p>
        </w:tc>
        <w:tc>
          <w:tcPr>
            <w:tcW w:w="798" w:type="pct"/>
            <w:vAlign w:val="center"/>
          </w:tcPr>
          <w:p w14:paraId="69B818AF">
            <w:pPr>
              <w:spacing w:line="360" w:lineRule="auto"/>
              <w:jc w:val="center"/>
              <w:rPr>
                <w:rFonts w:hint="default" w:ascii="Times New Roman" w:hAnsi="Times New Roman" w:cs="Times New Roman"/>
                <w:color w:val="auto"/>
                <w:szCs w:val="21"/>
                <w:highlight w:val="none"/>
              </w:rPr>
            </w:pPr>
          </w:p>
        </w:tc>
        <w:tc>
          <w:tcPr>
            <w:tcW w:w="798" w:type="pct"/>
            <w:vAlign w:val="center"/>
          </w:tcPr>
          <w:p w14:paraId="790B4248">
            <w:pPr>
              <w:spacing w:line="360" w:lineRule="auto"/>
              <w:jc w:val="center"/>
              <w:rPr>
                <w:rFonts w:hint="default" w:ascii="Times New Roman" w:hAnsi="Times New Roman" w:cs="Times New Roman"/>
                <w:color w:val="auto"/>
                <w:szCs w:val="21"/>
                <w:highlight w:val="none"/>
              </w:rPr>
            </w:pPr>
          </w:p>
        </w:tc>
        <w:tc>
          <w:tcPr>
            <w:tcW w:w="771" w:type="pct"/>
            <w:vAlign w:val="center"/>
          </w:tcPr>
          <w:p w14:paraId="79887B9E">
            <w:pPr>
              <w:spacing w:line="360" w:lineRule="auto"/>
              <w:jc w:val="center"/>
              <w:rPr>
                <w:rFonts w:hint="default" w:ascii="Times New Roman" w:hAnsi="Times New Roman" w:cs="Times New Roman"/>
                <w:color w:val="auto"/>
                <w:szCs w:val="21"/>
                <w:highlight w:val="none"/>
              </w:rPr>
            </w:pPr>
          </w:p>
        </w:tc>
        <w:tc>
          <w:tcPr>
            <w:tcW w:w="873" w:type="pct"/>
            <w:vAlign w:val="center"/>
          </w:tcPr>
          <w:p w14:paraId="3F0A245A">
            <w:pPr>
              <w:spacing w:line="360" w:lineRule="auto"/>
              <w:jc w:val="center"/>
              <w:rPr>
                <w:rFonts w:hint="default" w:ascii="Times New Roman" w:hAnsi="Times New Roman" w:cs="Times New Roman"/>
                <w:color w:val="auto"/>
                <w:szCs w:val="21"/>
                <w:highlight w:val="none"/>
              </w:rPr>
            </w:pPr>
          </w:p>
        </w:tc>
      </w:tr>
      <w:tr w14:paraId="10BC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11" w:type="pct"/>
            <w:vAlign w:val="center"/>
          </w:tcPr>
          <w:p w14:paraId="15DDC4ED">
            <w:pPr>
              <w:spacing w:line="360" w:lineRule="auto"/>
              <w:jc w:val="center"/>
              <w:rPr>
                <w:rFonts w:hint="default" w:ascii="Times New Roman" w:hAnsi="Times New Roman" w:cs="Times New Roman"/>
                <w:color w:val="auto"/>
                <w:szCs w:val="21"/>
                <w:highlight w:val="none"/>
              </w:rPr>
            </w:pPr>
          </w:p>
        </w:tc>
        <w:tc>
          <w:tcPr>
            <w:tcW w:w="762" w:type="pct"/>
            <w:vAlign w:val="center"/>
          </w:tcPr>
          <w:p w14:paraId="0CD166B1">
            <w:pPr>
              <w:spacing w:line="360" w:lineRule="auto"/>
              <w:jc w:val="center"/>
              <w:rPr>
                <w:rFonts w:hint="default" w:ascii="Times New Roman" w:hAnsi="Times New Roman" w:cs="Times New Roman"/>
                <w:color w:val="auto"/>
                <w:szCs w:val="21"/>
                <w:highlight w:val="none"/>
              </w:rPr>
            </w:pPr>
          </w:p>
        </w:tc>
        <w:tc>
          <w:tcPr>
            <w:tcW w:w="683" w:type="pct"/>
          </w:tcPr>
          <w:p w14:paraId="297E948A">
            <w:pPr>
              <w:spacing w:line="360" w:lineRule="auto"/>
              <w:jc w:val="center"/>
              <w:rPr>
                <w:rFonts w:hint="default" w:ascii="Times New Roman" w:hAnsi="Times New Roman" w:cs="Times New Roman"/>
                <w:color w:val="auto"/>
                <w:szCs w:val="21"/>
                <w:highlight w:val="none"/>
              </w:rPr>
            </w:pPr>
          </w:p>
        </w:tc>
        <w:tc>
          <w:tcPr>
            <w:tcW w:w="798" w:type="pct"/>
            <w:vAlign w:val="center"/>
          </w:tcPr>
          <w:p w14:paraId="09C5BCDF">
            <w:pPr>
              <w:spacing w:line="360" w:lineRule="auto"/>
              <w:jc w:val="center"/>
              <w:rPr>
                <w:rFonts w:hint="default" w:ascii="Times New Roman" w:hAnsi="Times New Roman" w:cs="Times New Roman"/>
                <w:color w:val="auto"/>
                <w:szCs w:val="21"/>
                <w:highlight w:val="none"/>
              </w:rPr>
            </w:pPr>
          </w:p>
        </w:tc>
        <w:tc>
          <w:tcPr>
            <w:tcW w:w="798" w:type="pct"/>
            <w:vAlign w:val="center"/>
          </w:tcPr>
          <w:p w14:paraId="5CD8BE32">
            <w:pPr>
              <w:spacing w:line="360" w:lineRule="auto"/>
              <w:jc w:val="center"/>
              <w:rPr>
                <w:rFonts w:hint="default" w:ascii="Times New Roman" w:hAnsi="Times New Roman" w:cs="Times New Roman"/>
                <w:color w:val="auto"/>
                <w:szCs w:val="21"/>
                <w:highlight w:val="none"/>
              </w:rPr>
            </w:pPr>
          </w:p>
        </w:tc>
        <w:tc>
          <w:tcPr>
            <w:tcW w:w="771" w:type="pct"/>
            <w:vAlign w:val="center"/>
          </w:tcPr>
          <w:p w14:paraId="1B23B6CC">
            <w:pPr>
              <w:spacing w:line="360" w:lineRule="auto"/>
              <w:jc w:val="center"/>
              <w:rPr>
                <w:rFonts w:hint="default" w:ascii="Times New Roman" w:hAnsi="Times New Roman" w:cs="Times New Roman"/>
                <w:color w:val="auto"/>
                <w:szCs w:val="21"/>
                <w:highlight w:val="none"/>
              </w:rPr>
            </w:pPr>
          </w:p>
        </w:tc>
        <w:tc>
          <w:tcPr>
            <w:tcW w:w="873" w:type="pct"/>
            <w:vAlign w:val="center"/>
          </w:tcPr>
          <w:p w14:paraId="0EAD23E5">
            <w:pPr>
              <w:spacing w:line="360" w:lineRule="auto"/>
              <w:jc w:val="center"/>
              <w:rPr>
                <w:rFonts w:hint="default" w:ascii="Times New Roman" w:hAnsi="Times New Roman" w:cs="Times New Roman"/>
                <w:color w:val="auto"/>
                <w:szCs w:val="21"/>
                <w:highlight w:val="none"/>
              </w:rPr>
            </w:pPr>
          </w:p>
        </w:tc>
      </w:tr>
      <w:tr w14:paraId="32FA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11" w:type="pct"/>
            <w:vAlign w:val="center"/>
          </w:tcPr>
          <w:p w14:paraId="4460DE58">
            <w:pPr>
              <w:spacing w:line="360" w:lineRule="auto"/>
              <w:jc w:val="center"/>
              <w:rPr>
                <w:rFonts w:hint="default" w:ascii="Times New Roman" w:hAnsi="Times New Roman" w:cs="Times New Roman"/>
                <w:color w:val="auto"/>
                <w:szCs w:val="21"/>
                <w:highlight w:val="none"/>
              </w:rPr>
            </w:pPr>
          </w:p>
        </w:tc>
        <w:tc>
          <w:tcPr>
            <w:tcW w:w="762" w:type="pct"/>
            <w:vAlign w:val="center"/>
          </w:tcPr>
          <w:p w14:paraId="58F8C7E6">
            <w:pPr>
              <w:spacing w:line="360" w:lineRule="auto"/>
              <w:jc w:val="center"/>
              <w:rPr>
                <w:rFonts w:hint="default" w:ascii="Times New Roman" w:hAnsi="Times New Roman" w:cs="Times New Roman"/>
                <w:color w:val="auto"/>
                <w:szCs w:val="21"/>
                <w:highlight w:val="none"/>
              </w:rPr>
            </w:pPr>
          </w:p>
        </w:tc>
        <w:tc>
          <w:tcPr>
            <w:tcW w:w="683" w:type="pct"/>
          </w:tcPr>
          <w:p w14:paraId="64B67F04">
            <w:pPr>
              <w:spacing w:line="360" w:lineRule="auto"/>
              <w:jc w:val="center"/>
              <w:rPr>
                <w:rFonts w:hint="default" w:ascii="Times New Roman" w:hAnsi="Times New Roman" w:cs="Times New Roman"/>
                <w:color w:val="auto"/>
                <w:szCs w:val="21"/>
                <w:highlight w:val="none"/>
              </w:rPr>
            </w:pPr>
          </w:p>
        </w:tc>
        <w:tc>
          <w:tcPr>
            <w:tcW w:w="798" w:type="pct"/>
            <w:vAlign w:val="center"/>
          </w:tcPr>
          <w:p w14:paraId="7BC82DFD">
            <w:pPr>
              <w:spacing w:line="360" w:lineRule="auto"/>
              <w:jc w:val="center"/>
              <w:rPr>
                <w:rFonts w:hint="default" w:ascii="Times New Roman" w:hAnsi="Times New Roman" w:cs="Times New Roman"/>
                <w:color w:val="auto"/>
                <w:szCs w:val="21"/>
                <w:highlight w:val="none"/>
              </w:rPr>
            </w:pPr>
          </w:p>
        </w:tc>
        <w:tc>
          <w:tcPr>
            <w:tcW w:w="798" w:type="pct"/>
            <w:vAlign w:val="center"/>
          </w:tcPr>
          <w:p w14:paraId="0DBB6DBA">
            <w:pPr>
              <w:spacing w:line="360" w:lineRule="auto"/>
              <w:jc w:val="center"/>
              <w:rPr>
                <w:rFonts w:hint="default" w:ascii="Times New Roman" w:hAnsi="Times New Roman" w:cs="Times New Roman"/>
                <w:color w:val="auto"/>
                <w:szCs w:val="21"/>
                <w:highlight w:val="none"/>
              </w:rPr>
            </w:pPr>
          </w:p>
        </w:tc>
        <w:tc>
          <w:tcPr>
            <w:tcW w:w="771" w:type="pct"/>
            <w:vAlign w:val="center"/>
          </w:tcPr>
          <w:p w14:paraId="531D3835">
            <w:pPr>
              <w:spacing w:line="360" w:lineRule="auto"/>
              <w:jc w:val="center"/>
              <w:rPr>
                <w:rFonts w:hint="default" w:ascii="Times New Roman" w:hAnsi="Times New Roman" w:cs="Times New Roman"/>
                <w:color w:val="auto"/>
                <w:szCs w:val="21"/>
                <w:highlight w:val="none"/>
              </w:rPr>
            </w:pPr>
          </w:p>
        </w:tc>
        <w:tc>
          <w:tcPr>
            <w:tcW w:w="873" w:type="pct"/>
            <w:vAlign w:val="center"/>
          </w:tcPr>
          <w:p w14:paraId="6268D4F0">
            <w:pPr>
              <w:spacing w:line="360" w:lineRule="auto"/>
              <w:jc w:val="center"/>
              <w:rPr>
                <w:rFonts w:hint="default" w:ascii="Times New Roman" w:hAnsi="Times New Roman" w:cs="Times New Roman"/>
                <w:color w:val="auto"/>
                <w:szCs w:val="21"/>
                <w:highlight w:val="none"/>
              </w:rPr>
            </w:pPr>
          </w:p>
        </w:tc>
      </w:tr>
      <w:tr w14:paraId="1171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11" w:type="pct"/>
            <w:vAlign w:val="center"/>
          </w:tcPr>
          <w:p w14:paraId="396D994E">
            <w:pPr>
              <w:spacing w:line="360" w:lineRule="auto"/>
              <w:jc w:val="center"/>
              <w:rPr>
                <w:rFonts w:hint="default" w:ascii="Times New Roman" w:hAnsi="Times New Roman" w:cs="Times New Roman"/>
                <w:color w:val="auto"/>
                <w:szCs w:val="21"/>
                <w:highlight w:val="none"/>
              </w:rPr>
            </w:pPr>
          </w:p>
        </w:tc>
        <w:tc>
          <w:tcPr>
            <w:tcW w:w="762" w:type="pct"/>
            <w:vAlign w:val="center"/>
          </w:tcPr>
          <w:p w14:paraId="3BA62C13">
            <w:pPr>
              <w:spacing w:line="360" w:lineRule="auto"/>
              <w:jc w:val="center"/>
              <w:rPr>
                <w:rFonts w:hint="default" w:ascii="Times New Roman" w:hAnsi="Times New Roman" w:cs="Times New Roman"/>
                <w:color w:val="auto"/>
                <w:szCs w:val="21"/>
                <w:highlight w:val="none"/>
              </w:rPr>
            </w:pPr>
          </w:p>
        </w:tc>
        <w:tc>
          <w:tcPr>
            <w:tcW w:w="683" w:type="pct"/>
          </w:tcPr>
          <w:p w14:paraId="20B5B019">
            <w:pPr>
              <w:spacing w:line="360" w:lineRule="auto"/>
              <w:jc w:val="center"/>
              <w:rPr>
                <w:rFonts w:hint="default" w:ascii="Times New Roman" w:hAnsi="Times New Roman" w:cs="Times New Roman"/>
                <w:color w:val="auto"/>
                <w:szCs w:val="21"/>
                <w:highlight w:val="none"/>
              </w:rPr>
            </w:pPr>
          </w:p>
        </w:tc>
        <w:tc>
          <w:tcPr>
            <w:tcW w:w="798" w:type="pct"/>
            <w:vAlign w:val="center"/>
          </w:tcPr>
          <w:p w14:paraId="37DD84A3">
            <w:pPr>
              <w:spacing w:line="360" w:lineRule="auto"/>
              <w:jc w:val="center"/>
              <w:rPr>
                <w:rFonts w:hint="default" w:ascii="Times New Roman" w:hAnsi="Times New Roman" w:cs="Times New Roman"/>
                <w:color w:val="auto"/>
                <w:szCs w:val="21"/>
                <w:highlight w:val="none"/>
              </w:rPr>
            </w:pPr>
          </w:p>
        </w:tc>
        <w:tc>
          <w:tcPr>
            <w:tcW w:w="798" w:type="pct"/>
            <w:vAlign w:val="center"/>
          </w:tcPr>
          <w:p w14:paraId="6F191C1C">
            <w:pPr>
              <w:spacing w:line="360" w:lineRule="auto"/>
              <w:jc w:val="center"/>
              <w:rPr>
                <w:rFonts w:hint="default" w:ascii="Times New Roman" w:hAnsi="Times New Roman" w:cs="Times New Roman"/>
                <w:color w:val="auto"/>
                <w:szCs w:val="21"/>
                <w:highlight w:val="none"/>
              </w:rPr>
            </w:pPr>
          </w:p>
        </w:tc>
        <w:tc>
          <w:tcPr>
            <w:tcW w:w="771" w:type="pct"/>
            <w:vAlign w:val="center"/>
          </w:tcPr>
          <w:p w14:paraId="783DEA15">
            <w:pPr>
              <w:spacing w:line="360" w:lineRule="auto"/>
              <w:jc w:val="center"/>
              <w:rPr>
                <w:rFonts w:hint="default" w:ascii="Times New Roman" w:hAnsi="Times New Roman" w:cs="Times New Roman"/>
                <w:color w:val="auto"/>
                <w:szCs w:val="21"/>
                <w:highlight w:val="none"/>
              </w:rPr>
            </w:pPr>
          </w:p>
        </w:tc>
        <w:tc>
          <w:tcPr>
            <w:tcW w:w="873" w:type="pct"/>
            <w:vAlign w:val="center"/>
          </w:tcPr>
          <w:p w14:paraId="742737D4">
            <w:pPr>
              <w:spacing w:line="360" w:lineRule="auto"/>
              <w:jc w:val="center"/>
              <w:rPr>
                <w:rFonts w:hint="default" w:ascii="Times New Roman" w:hAnsi="Times New Roman" w:cs="Times New Roman"/>
                <w:color w:val="auto"/>
                <w:szCs w:val="21"/>
                <w:highlight w:val="none"/>
              </w:rPr>
            </w:pPr>
          </w:p>
        </w:tc>
      </w:tr>
      <w:tr w14:paraId="1282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11" w:type="pct"/>
            <w:vAlign w:val="center"/>
          </w:tcPr>
          <w:p w14:paraId="2D81B11B">
            <w:pPr>
              <w:spacing w:line="360" w:lineRule="auto"/>
              <w:jc w:val="center"/>
              <w:rPr>
                <w:rFonts w:hint="default" w:ascii="Times New Roman" w:hAnsi="Times New Roman" w:cs="Times New Roman"/>
                <w:color w:val="auto"/>
                <w:szCs w:val="21"/>
                <w:highlight w:val="none"/>
              </w:rPr>
            </w:pPr>
          </w:p>
        </w:tc>
        <w:tc>
          <w:tcPr>
            <w:tcW w:w="762" w:type="pct"/>
            <w:vAlign w:val="center"/>
          </w:tcPr>
          <w:p w14:paraId="13500451">
            <w:pPr>
              <w:spacing w:line="360" w:lineRule="auto"/>
              <w:jc w:val="center"/>
              <w:rPr>
                <w:rFonts w:hint="default" w:ascii="Times New Roman" w:hAnsi="Times New Roman" w:cs="Times New Roman"/>
                <w:color w:val="auto"/>
                <w:szCs w:val="21"/>
                <w:highlight w:val="none"/>
              </w:rPr>
            </w:pPr>
          </w:p>
        </w:tc>
        <w:tc>
          <w:tcPr>
            <w:tcW w:w="683" w:type="pct"/>
          </w:tcPr>
          <w:p w14:paraId="6D0ABB46">
            <w:pPr>
              <w:spacing w:line="360" w:lineRule="auto"/>
              <w:jc w:val="center"/>
              <w:rPr>
                <w:rFonts w:hint="default" w:ascii="Times New Roman" w:hAnsi="Times New Roman" w:cs="Times New Roman"/>
                <w:color w:val="auto"/>
                <w:szCs w:val="21"/>
                <w:highlight w:val="none"/>
              </w:rPr>
            </w:pPr>
          </w:p>
        </w:tc>
        <w:tc>
          <w:tcPr>
            <w:tcW w:w="798" w:type="pct"/>
            <w:vAlign w:val="center"/>
          </w:tcPr>
          <w:p w14:paraId="7054E276">
            <w:pPr>
              <w:spacing w:line="360" w:lineRule="auto"/>
              <w:jc w:val="center"/>
              <w:rPr>
                <w:rFonts w:hint="default" w:ascii="Times New Roman" w:hAnsi="Times New Roman" w:cs="Times New Roman"/>
                <w:color w:val="auto"/>
                <w:szCs w:val="21"/>
                <w:highlight w:val="none"/>
              </w:rPr>
            </w:pPr>
          </w:p>
        </w:tc>
        <w:tc>
          <w:tcPr>
            <w:tcW w:w="798" w:type="pct"/>
            <w:vAlign w:val="center"/>
          </w:tcPr>
          <w:p w14:paraId="06251FDF">
            <w:pPr>
              <w:spacing w:line="360" w:lineRule="auto"/>
              <w:jc w:val="center"/>
              <w:rPr>
                <w:rFonts w:hint="default" w:ascii="Times New Roman" w:hAnsi="Times New Roman" w:cs="Times New Roman"/>
                <w:color w:val="auto"/>
                <w:szCs w:val="21"/>
                <w:highlight w:val="none"/>
              </w:rPr>
            </w:pPr>
          </w:p>
        </w:tc>
        <w:tc>
          <w:tcPr>
            <w:tcW w:w="771" w:type="pct"/>
            <w:vAlign w:val="center"/>
          </w:tcPr>
          <w:p w14:paraId="1CBA0BA3">
            <w:pPr>
              <w:spacing w:line="360" w:lineRule="auto"/>
              <w:jc w:val="center"/>
              <w:rPr>
                <w:rFonts w:hint="default" w:ascii="Times New Roman" w:hAnsi="Times New Roman" w:cs="Times New Roman"/>
                <w:color w:val="auto"/>
                <w:szCs w:val="21"/>
                <w:highlight w:val="none"/>
              </w:rPr>
            </w:pPr>
          </w:p>
        </w:tc>
        <w:tc>
          <w:tcPr>
            <w:tcW w:w="873" w:type="pct"/>
            <w:vAlign w:val="center"/>
          </w:tcPr>
          <w:p w14:paraId="488334C1">
            <w:pPr>
              <w:spacing w:line="360" w:lineRule="auto"/>
              <w:jc w:val="center"/>
              <w:rPr>
                <w:rFonts w:hint="default" w:ascii="Times New Roman" w:hAnsi="Times New Roman" w:cs="Times New Roman"/>
                <w:color w:val="auto"/>
                <w:szCs w:val="21"/>
                <w:highlight w:val="none"/>
              </w:rPr>
            </w:pPr>
          </w:p>
        </w:tc>
      </w:tr>
      <w:tr w14:paraId="1879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11" w:type="pct"/>
            <w:vAlign w:val="center"/>
          </w:tcPr>
          <w:p w14:paraId="4C023B25">
            <w:pPr>
              <w:spacing w:line="360" w:lineRule="auto"/>
              <w:jc w:val="center"/>
              <w:rPr>
                <w:rFonts w:hint="default" w:ascii="Times New Roman" w:hAnsi="Times New Roman" w:cs="Times New Roman"/>
                <w:color w:val="auto"/>
                <w:szCs w:val="21"/>
                <w:highlight w:val="none"/>
              </w:rPr>
            </w:pPr>
          </w:p>
        </w:tc>
        <w:tc>
          <w:tcPr>
            <w:tcW w:w="762" w:type="pct"/>
            <w:vAlign w:val="center"/>
          </w:tcPr>
          <w:p w14:paraId="64C405FB">
            <w:pPr>
              <w:spacing w:line="360" w:lineRule="auto"/>
              <w:jc w:val="center"/>
              <w:rPr>
                <w:rFonts w:hint="default" w:ascii="Times New Roman" w:hAnsi="Times New Roman" w:cs="Times New Roman"/>
                <w:color w:val="auto"/>
                <w:szCs w:val="21"/>
                <w:highlight w:val="none"/>
              </w:rPr>
            </w:pPr>
          </w:p>
        </w:tc>
        <w:tc>
          <w:tcPr>
            <w:tcW w:w="683" w:type="pct"/>
          </w:tcPr>
          <w:p w14:paraId="5872353F">
            <w:pPr>
              <w:spacing w:line="360" w:lineRule="auto"/>
              <w:jc w:val="center"/>
              <w:rPr>
                <w:rFonts w:hint="default" w:ascii="Times New Roman" w:hAnsi="Times New Roman" w:cs="Times New Roman"/>
                <w:color w:val="auto"/>
                <w:szCs w:val="21"/>
                <w:highlight w:val="none"/>
              </w:rPr>
            </w:pPr>
          </w:p>
        </w:tc>
        <w:tc>
          <w:tcPr>
            <w:tcW w:w="798" w:type="pct"/>
            <w:vAlign w:val="center"/>
          </w:tcPr>
          <w:p w14:paraId="6C14B806">
            <w:pPr>
              <w:spacing w:line="360" w:lineRule="auto"/>
              <w:jc w:val="center"/>
              <w:rPr>
                <w:rFonts w:hint="default" w:ascii="Times New Roman" w:hAnsi="Times New Roman" w:cs="Times New Roman"/>
                <w:color w:val="auto"/>
                <w:szCs w:val="21"/>
                <w:highlight w:val="none"/>
              </w:rPr>
            </w:pPr>
          </w:p>
        </w:tc>
        <w:tc>
          <w:tcPr>
            <w:tcW w:w="798" w:type="pct"/>
            <w:vAlign w:val="center"/>
          </w:tcPr>
          <w:p w14:paraId="40086F0C">
            <w:pPr>
              <w:spacing w:line="360" w:lineRule="auto"/>
              <w:jc w:val="center"/>
              <w:rPr>
                <w:rFonts w:hint="default" w:ascii="Times New Roman" w:hAnsi="Times New Roman" w:cs="Times New Roman"/>
                <w:color w:val="auto"/>
                <w:szCs w:val="21"/>
                <w:highlight w:val="none"/>
              </w:rPr>
            </w:pPr>
          </w:p>
        </w:tc>
        <w:tc>
          <w:tcPr>
            <w:tcW w:w="771" w:type="pct"/>
            <w:vAlign w:val="center"/>
          </w:tcPr>
          <w:p w14:paraId="5732C502">
            <w:pPr>
              <w:spacing w:line="360" w:lineRule="auto"/>
              <w:jc w:val="center"/>
              <w:rPr>
                <w:rFonts w:hint="default" w:ascii="Times New Roman" w:hAnsi="Times New Roman" w:cs="Times New Roman"/>
                <w:color w:val="auto"/>
                <w:szCs w:val="21"/>
                <w:highlight w:val="none"/>
              </w:rPr>
            </w:pPr>
          </w:p>
        </w:tc>
        <w:tc>
          <w:tcPr>
            <w:tcW w:w="873" w:type="pct"/>
            <w:vAlign w:val="center"/>
          </w:tcPr>
          <w:p w14:paraId="7224363E">
            <w:pPr>
              <w:spacing w:line="360" w:lineRule="auto"/>
              <w:jc w:val="center"/>
              <w:rPr>
                <w:rFonts w:hint="default" w:ascii="Times New Roman" w:hAnsi="Times New Roman" w:cs="Times New Roman"/>
                <w:color w:val="auto"/>
                <w:szCs w:val="21"/>
                <w:highlight w:val="none"/>
              </w:rPr>
            </w:pPr>
          </w:p>
        </w:tc>
      </w:tr>
      <w:tr w14:paraId="1072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11" w:type="pct"/>
            <w:vAlign w:val="center"/>
          </w:tcPr>
          <w:p w14:paraId="441CD7D8">
            <w:pPr>
              <w:spacing w:line="360" w:lineRule="auto"/>
              <w:jc w:val="center"/>
              <w:rPr>
                <w:rFonts w:hint="default" w:ascii="Times New Roman" w:hAnsi="Times New Roman" w:cs="Times New Roman"/>
                <w:color w:val="auto"/>
                <w:szCs w:val="21"/>
                <w:highlight w:val="none"/>
              </w:rPr>
            </w:pPr>
          </w:p>
        </w:tc>
        <w:tc>
          <w:tcPr>
            <w:tcW w:w="762" w:type="pct"/>
            <w:vAlign w:val="center"/>
          </w:tcPr>
          <w:p w14:paraId="48D9E6F7">
            <w:pPr>
              <w:spacing w:line="360" w:lineRule="auto"/>
              <w:jc w:val="center"/>
              <w:rPr>
                <w:rFonts w:hint="default" w:ascii="Times New Roman" w:hAnsi="Times New Roman" w:cs="Times New Roman"/>
                <w:color w:val="auto"/>
                <w:szCs w:val="21"/>
                <w:highlight w:val="none"/>
              </w:rPr>
            </w:pPr>
          </w:p>
        </w:tc>
        <w:tc>
          <w:tcPr>
            <w:tcW w:w="683" w:type="pct"/>
          </w:tcPr>
          <w:p w14:paraId="4C55B4FC">
            <w:pPr>
              <w:spacing w:line="360" w:lineRule="auto"/>
              <w:jc w:val="center"/>
              <w:rPr>
                <w:rFonts w:hint="default" w:ascii="Times New Roman" w:hAnsi="Times New Roman" w:cs="Times New Roman"/>
                <w:color w:val="auto"/>
                <w:szCs w:val="21"/>
                <w:highlight w:val="none"/>
              </w:rPr>
            </w:pPr>
          </w:p>
        </w:tc>
        <w:tc>
          <w:tcPr>
            <w:tcW w:w="798" w:type="pct"/>
            <w:vAlign w:val="center"/>
          </w:tcPr>
          <w:p w14:paraId="091CF568">
            <w:pPr>
              <w:spacing w:line="360" w:lineRule="auto"/>
              <w:jc w:val="center"/>
              <w:rPr>
                <w:rFonts w:hint="default" w:ascii="Times New Roman" w:hAnsi="Times New Roman" w:cs="Times New Roman"/>
                <w:color w:val="auto"/>
                <w:szCs w:val="21"/>
                <w:highlight w:val="none"/>
              </w:rPr>
            </w:pPr>
          </w:p>
        </w:tc>
        <w:tc>
          <w:tcPr>
            <w:tcW w:w="798" w:type="pct"/>
            <w:vAlign w:val="center"/>
          </w:tcPr>
          <w:p w14:paraId="59A39EDB">
            <w:pPr>
              <w:spacing w:line="360" w:lineRule="auto"/>
              <w:jc w:val="center"/>
              <w:rPr>
                <w:rFonts w:hint="default" w:ascii="Times New Roman" w:hAnsi="Times New Roman" w:cs="Times New Roman"/>
                <w:color w:val="auto"/>
                <w:szCs w:val="21"/>
                <w:highlight w:val="none"/>
              </w:rPr>
            </w:pPr>
          </w:p>
        </w:tc>
        <w:tc>
          <w:tcPr>
            <w:tcW w:w="771" w:type="pct"/>
            <w:vAlign w:val="center"/>
          </w:tcPr>
          <w:p w14:paraId="18A7C216">
            <w:pPr>
              <w:spacing w:line="360" w:lineRule="auto"/>
              <w:jc w:val="center"/>
              <w:rPr>
                <w:rFonts w:hint="default" w:ascii="Times New Roman" w:hAnsi="Times New Roman" w:cs="Times New Roman"/>
                <w:color w:val="auto"/>
                <w:szCs w:val="21"/>
                <w:highlight w:val="none"/>
              </w:rPr>
            </w:pPr>
          </w:p>
        </w:tc>
        <w:tc>
          <w:tcPr>
            <w:tcW w:w="873" w:type="pct"/>
            <w:vAlign w:val="center"/>
          </w:tcPr>
          <w:p w14:paraId="71DB4B45">
            <w:pPr>
              <w:spacing w:line="360" w:lineRule="auto"/>
              <w:jc w:val="center"/>
              <w:rPr>
                <w:rFonts w:hint="default" w:ascii="Times New Roman" w:hAnsi="Times New Roman" w:cs="Times New Roman"/>
                <w:color w:val="auto"/>
                <w:szCs w:val="21"/>
                <w:highlight w:val="none"/>
              </w:rPr>
            </w:pPr>
          </w:p>
        </w:tc>
      </w:tr>
      <w:tr w14:paraId="6689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11" w:type="pct"/>
            <w:vAlign w:val="center"/>
          </w:tcPr>
          <w:p w14:paraId="49CB3511">
            <w:pPr>
              <w:spacing w:line="360" w:lineRule="auto"/>
              <w:jc w:val="center"/>
              <w:rPr>
                <w:rFonts w:hint="default" w:ascii="Times New Roman" w:hAnsi="Times New Roman" w:cs="Times New Roman"/>
                <w:color w:val="auto"/>
                <w:szCs w:val="21"/>
                <w:highlight w:val="none"/>
              </w:rPr>
            </w:pPr>
          </w:p>
        </w:tc>
        <w:tc>
          <w:tcPr>
            <w:tcW w:w="762" w:type="pct"/>
            <w:vAlign w:val="center"/>
          </w:tcPr>
          <w:p w14:paraId="015A5649">
            <w:pPr>
              <w:spacing w:line="360" w:lineRule="auto"/>
              <w:jc w:val="center"/>
              <w:rPr>
                <w:rFonts w:hint="default" w:ascii="Times New Roman" w:hAnsi="Times New Roman" w:cs="Times New Roman"/>
                <w:color w:val="auto"/>
                <w:szCs w:val="21"/>
                <w:highlight w:val="none"/>
              </w:rPr>
            </w:pPr>
          </w:p>
        </w:tc>
        <w:tc>
          <w:tcPr>
            <w:tcW w:w="683" w:type="pct"/>
          </w:tcPr>
          <w:p w14:paraId="515836F1">
            <w:pPr>
              <w:spacing w:line="360" w:lineRule="auto"/>
              <w:jc w:val="center"/>
              <w:rPr>
                <w:rFonts w:hint="default" w:ascii="Times New Roman" w:hAnsi="Times New Roman" w:cs="Times New Roman"/>
                <w:color w:val="auto"/>
                <w:szCs w:val="21"/>
                <w:highlight w:val="none"/>
              </w:rPr>
            </w:pPr>
          </w:p>
        </w:tc>
        <w:tc>
          <w:tcPr>
            <w:tcW w:w="798" w:type="pct"/>
            <w:vAlign w:val="center"/>
          </w:tcPr>
          <w:p w14:paraId="470D16AB">
            <w:pPr>
              <w:spacing w:line="360" w:lineRule="auto"/>
              <w:jc w:val="center"/>
              <w:rPr>
                <w:rFonts w:hint="default" w:ascii="Times New Roman" w:hAnsi="Times New Roman" w:cs="Times New Roman"/>
                <w:color w:val="auto"/>
                <w:szCs w:val="21"/>
                <w:highlight w:val="none"/>
              </w:rPr>
            </w:pPr>
          </w:p>
        </w:tc>
        <w:tc>
          <w:tcPr>
            <w:tcW w:w="798" w:type="pct"/>
            <w:vAlign w:val="center"/>
          </w:tcPr>
          <w:p w14:paraId="33D827EC">
            <w:pPr>
              <w:spacing w:line="360" w:lineRule="auto"/>
              <w:jc w:val="center"/>
              <w:rPr>
                <w:rFonts w:hint="default" w:ascii="Times New Roman" w:hAnsi="Times New Roman" w:cs="Times New Roman"/>
                <w:color w:val="auto"/>
                <w:szCs w:val="21"/>
                <w:highlight w:val="none"/>
              </w:rPr>
            </w:pPr>
          </w:p>
        </w:tc>
        <w:tc>
          <w:tcPr>
            <w:tcW w:w="771" w:type="pct"/>
            <w:vAlign w:val="center"/>
          </w:tcPr>
          <w:p w14:paraId="46C67358">
            <w:pPr>
              <w:spacing w:line="360" w:lineRule="auto"/>
              <w:jc w:val="center"/>
              <w:rPr>
                <w:rFonts w:hint="default" w:ascii="Times New Roman" w:hAnsi="Times New Roman" w:cs="Times New Roman"/>
                <w:color w:val="auto"/>
                <w:szCs w:val="21"/>
                <w:highlight w:val="none"/>
              </w:rPr>
            </w:pPr>
          </w:p>
        </w:tc>
        <w:tc>
          <w:tcPr>
            <w:tcW w:w="873" w:type="pct"/>
            <w:vAlign w:val="center"/>
          </w:tcPr>
          <w:p w14:paraId="7A6F9EA0">
            <w:pPr>
              <w:spacing w:line="360" w:lineRule="auto"/>
              <w:jc w:val="center"/>
              <w:rPr>
                <w:rFonts w:hint="default" w:ascii="Times New Roman" w:hAnsi="Times New Roman" w:cs="Times New Roman"/>
                <w:color w:val="auto"/>
                <w:szCs w:val="21"/>
                <w:highlight w:val="none"/>
              </w:rPr>
            </w:pPr>
          </w:p>
        </w:tc>
      </w:tr>
    </w:tbl>
    <w:p w14:paraId="063530BA">
      <w:pPr>
        <w:spacing w:line="440" w:lineRule="exact"/>
        <w:rPr>
          <w:rFonts w:hint="default" w:ascii="Times New Roman" w:hAnsi="Times New Roman" w:cs="Times New Roman"/>
          <w:color w:val="auto"/>
          <w:szCs w:val="21"/>
          <w:highlight w:val="none"/>
        </w:rPr>
      </w:pPr>
    </w:p>
    <w:p w14:paraId="3C5751AB">
      <w:pPr>
        <w:spacing w:line="440" w:lineRule="exact"/>
        <w:rPr>
          <w:rFonts w:hint="default" w:ascii="Times New Roman" w:hAnsi="Times New Roman" w:cs="Times New Roman"/>
          <w:color w:val="auto"/>
          <w:szCs w:val="21"/>
          <w:highlight w:val="none"/>
        </w:rPr>
      </w:pPr>
    </w:p>
    <w:p w14:paraId="7619870A">
      <w:pPr>
        <w:spacing w:line="360" w:lineRule="auto"/>
        <w:rPr>
          <w:rFonts w:hint="default" w:ascii="Times New Roman" w:hAnsi="Times New Roman" w:cs="Times New Roman"/>
          <w:bCs/>
          <w:color w:val="auto"/>
          <w:szCs w:val="21"/>
          <w:highlight w:val="none"/>
          <w:lang w:val="zh-CN"/>
        </w:rPr>
      </w:pPr>
      <w:r>
        <w:rPr>
          <w:rFonts w:hint="default" w:ascii="Times New Roman" w:hAnsi="Times New Roman" w:cs="Times New Roman"/>
          <w:bCs/>
          <w:color w:val="auto"/>
          <w:szCs w:val="21"/>
          <w:highlight w:val="none"/>
        </w:rPr>
        <w:t>2</w:t>
      </w:r>
      <w:r>
        <w:rPr>
          <w:rFonts w:hint="default" w:ascii="Times New Roman" w:hAnsi="Times New Roman" w:cs="Times New Roman"/>
          <w:bCs/>
          <w:color w:val="auto"/>
          <w:szCs w:val="21"/>
          <w:highlight w:val="none"/>
          <w:lang w:val="zh-CN"/>
        </w:rPr>
        <w:t>、供应商认为应提供的其他材料</w:t>
      </w:r>
    </w:p>
    <w:p w14:paraId="74799C87">
      <w:pPr>
        <w:spacing w:line="360" w:lineRule="auto"/>
        <w:rPr>
          <w:rFonts w:hint="default" w:ascii="Times New Roman" w:hAnsi="Times New Roman" w:cs="Times New Roman"/>
          <w:color w:val="auto"/>
          <w:szCs w:val="21"/>
          <w:highlight w:val="none"/>
          <w:lang w:val="zh-CN"/>
        </w:rPr>
      </w:pPr>
      <w:r>
        <w:rPr>
          <w:rFonts w:hint="default" w:ascii="Times New Roman" w:hAnsi="Times New Roman" w:cs="Times New Roman"/>
          <w:color w:val="auto"/>
          <w:szCs w:val="21"/>
          <w:highlight w:val="none"/>
          <w:lang w:val="zh-CN"/>
        </w:rPr>
        <w:t>（针对具体的评标标准提供相应其他材料）</w:t>
      </w:r>
    </w:p>
    <w:p w14:paraId="457162A6">
      <w:pPr>
        <w:pStyle w:val="42"/>
        <w:spacing w:before="0" w:beforeAutospacing="0" w:after="0" w:afterAutospacing="0" w:line="440" w:lineRule="exact"/>
        <w:textAlignment w:val="baseline"/>
        <w:rPr>
          <w:rFonts w:hint="default" w:ascii="Times New Roman" w:hAnsi="Times New Roman" w:eastAsia="宋体" w:cs="Times New Roman"/>
          <w:color w:val="auto"/>
          <w:highlight w:val="none"/>
        </w:rPr>
      </w:pPr>
    </w:p>
    <w:sectPr>
      <w:pgSz w:w="11906" w:h="16838"/>
      <w:pgMar w:top="1418" w:right="1418" w:bottom="1418"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modern"/>
    <w:pitch w:val="default"/>
    <w:sig w:usb0="00000203" w:usb1="288F0000" w:usb2="00000006" w:usb3="00000000" w:csb0="00040001" w:csb1="00000000"/>
  </w:font>
  <w:font w:name="Gulim">
    <w:altName w:val="Malgun Gothic"/>
    <w:panose1 w:val="020B0600000101010101"/>
    <w:charset w:val="81"/>
    <w:family w:val="swiss"/>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22730">
    <w:pPr>
      <w:pStyle w:val="31"/>
      <w:framePr w:wrap="around" w:vAnchor="text" w:hAnchor="margin" w:xAlign="center" w:y="1"/>
      <w:rPr>
        <w:rStyle w:val="51"/>
      </w:rPr>
    </w:pPr>
  </w:p>
  <w:p w14:paraId="7AF39CB9">
    <w:pPr>
      <w:pStyle w:val="31"/>
      <w:framePr w:wrap="around" w:vAnchor="text" w:hAnchor="page" w:x="6104" w:y="52"/>
      <w:rPr>
        <w:rStyle w:val="51"/>
      </w:rPr>
    </w:pPr>
  </w:p>
  <w:p w14:paraId="653E82E8">
    <w:pPr>
      <w:pStyle w:val="31"/>
      <w:jc w:val="center"/>
      <w:rPr>
        <w:kern w:val="0"/>
        <w:sz w:val="24"/>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5F68A">
    <w:pPr>
      <w:pStyle w:val="31"/>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F1DEE76">
                          <w:pPr>
                            <w:pStyle w:val="31"/>
                          </w:pPr>
                          <w:r>
                            <w:fldChar w:fldCharType="begin"/>
                          </w:r>
                          <w:r>
                            <w:instrText xml:space="preserve"> PAGE  \* MERGEFORMAT </w:instrText>
                          </w:r>
                          <w:r>
                            <w:fldChar w:fldCharType="separate"/>
                          </w:r>
                          <w:r>
                            <w:t>63</w:t>
                          </w:r>
                          <w:r>
                            <w:fldChar w:fldCharType="end"/>
                          </w:r>
                        </w:p>
                      </w:txbxContent>
                    </wps:txbx>
                    <wps:bodyPr wrap="none" lIns="0" tIns="0" rIns="0" bIns="0">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Va4Q8IBAACO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FtQ3Hsjlsc+Pnnj/Ovx/PDd7J8&#10;m/XpA9SYdhcwMQ3v/YBbM/sBnZn2oKLNXyREMI7qni7qyiERkR+tlqtVhSGBsfmC+OzpeYiQPkhv&#10;STYaGnF8RVV+/ARpTJ1TcjXnb7UxZYTG/eVAzOxhufexx2ylYTdMhHa+PSGfHiffUIeLTon56FDY&#10;vCSzEWdjNxm5BoR3h4SFSz8ZdYSaiuGYCqNppfIe/HkvWU+/0eY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VWuEPCAQAAjgMAAA4AAAAAAAAAAQAgAAAAHgEAAGRycy9lMm9Eb2MueG1sUEsF&#10;BgAAAAAGAAYAWQEAAFIFAAAAAA==&#10;">
              <v:fill on="f" focussize="0,0"/>
              <v:stroke on="f"/>
              <v:imagedata o:title=""/>
              <o:lock v:ext="edit" aspectratio="f"/>
              <v:textbox inset="0mm,0mm,0mm,0mm" style="mso-fit-shape-to-text:t;">
                <w:txbxContent>
                  <w:p w14:paraId="3F1DEE76">
                    <w:pPr>
                      <w:pStyle w:val="31"/>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51567">
    <w:pPr>
      <w:pStyle w:val="31"/>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DA22EB">
                          <w:pPr>
                            <w:pStyle w:val="31"/>
                          </w:pPr>
                          <w:r>
                            <w:fldChar w:fldCharType="begin"/>
                          </w:r>
                          <w:r>
                            <w:instrText xml:space="preserve"> PAGE  \* MERGEFORMAT </w:instrText>
                          </w:r>
                          <w:r>
                            <w:fldChar w:fldCharType="separate"/>
                          </w:r>
                          <w:r>
                            <w:t>67</w:t>
                          </w:r>
                          <w:r>
                            <w:fldChar w:fldCharType="end"/>
                          </w:r>
                        </w:p>
                      </w:txbxContent>
                    </wps:txbx>
                    <wps:bodyPr wrap="none" lIns="0" tIns="0" rIns="0" bIns="0">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c0evMEBAACOAwAADgAAAGRycy9lMm9Eb2MueG1srVPNjtMwEL4j8Q6W&#10;79TZHlCI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ruWvqLEcYsDv3z/dvnx6/LzK1nX&#10;WZ8hQINp9wET0/jGj7g1ix/QmWmPKtr8RUIE46ju+aquHBMR+VG9rusKQwJjywXx2cPzECG9ld6S&#10;bLQ04viKqvz0HtKUuqTkas7faWPKCI37y4GY2cNy71OP2UrjfpwJ7X13Rj4DTr6lDhedEvPOobB5&#10;SRYjLsZ+NnINCK+PCQuXfjLqBDUXwzEVRvNK5T34816yHn6j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gc0evMEBAACOAwAADgAAAAAAAAABACAAAAAeAQAAZHJzL2Uyb0RvYy54bWxQSwUG&#10;AAAAAAYABgBZAQAAUQUAAAAA&#10;">
              <v:fill on="f" focussize="0,0"/>
              <v:stroke on="f"/>
              <v:imagedata o:title=""/>
              <o:lock v:ext="edit" aspectratio="f"/>
              <v:textbox inset="0mm,0mm,0mm,0mm" style="mso-fit-shape-to-text:t;">
                <w:txbxContent>
                  <w:p w14:paraId="05DA22EB">
                    <w:pPr>
                      <w:pStyle w:val="31"/>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71689">
    <w:pPr>
      <w:pStyle w:val="31"/>
      <w:jc w:val="cente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AAEAB5A">
                          <w:pPr>
                            <w:pStyle w:val="31"/>
                          </w:pPr>
                          <w:r>
                            <w:fldChar w:fldCharType="begin"/>
                          </w:r>
                          <w:r>
                            <w:instrText xml:space="preserve"> PAGE  \* MERGEFORMAT </w:instrText>
                          </w:r>
                          <w:r>
                            <w:fldChar w:fldCharType="separate"/>
                          </w:r>
                          <w:r>
                            <w:t>66</w:t>
                          </w:r>
                          <w:r>
                            <w:fldChar w:fldCharType="end"/>
                          </w:r>
                        </w:p>
                      </w:txbxContent>
                    </wps:txbx>
                    <wps:bodyPr wrap="none" lIns="0" tIns="0" rIns="0" bIns="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u0gsIBAACP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wElcdzixM/fv51//Dr//EqW&#10;r7NAfYAa8x4DZqbhrR8wefYDOjPvQUWbv8iIYByxThd55ZCIyI9Wy9WqwpDA2HxBfPb0PERID9Jb&#10;ko2GRpxfkZUf30MaU+eUXM35e21MmaFxfzkQM3tY7n3sMVtp2A0ToZ1vT8inx9E31OGmU2LeOVQW&#10;+0uzEWdjNxm5BoQ3h4SFSz8ZdYSaiuGcCqNpp/Ii/HkvWU//0eY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lrtILCAQAAjwMAAA4AAAAAAAAAAQAgAAAAHgEAAGRycy9lMm9Eb2MueG1sUEsF&#10;BgAAAAAGAAYAWQEAAFIFAAAAAA==&#10;">
              <v:fill on="f" focussize="0,0"/>
              <v:stroke on="f"/>
              <v:imagedata o:title=""/>
              <o:lock v:ext="edit" aspectratio="f"/>
              <v:textbox inset="0mm,0mm,0mm,0mm" style="mso-fit-shape-to-text:t;">
                <w:txbxContent>
                  <w:p w14:paraId="4AAEAB5A">
                    <w:pPr>
                      <w:pStyle w:val="31"/>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F4BC7">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DE31F5E">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GmCS9MAAAAFAQAADwAAAAAAAAABACAA&#10;AAAiAAAAZHJzL2Rvd25yZXYueG1sUEsBAhQAFAAAAAgAh07iQFcd0LnZAQAAtAMAAA4AAAAAAAAA&#10;AQAgAAAAIgEAAGRycy9lMm9Eb2MueG1sUEsFBgAAAAAGAAYAWQEAAG0FAAAAAA==&#10;">
              <v:fill on="f" focussize="0,0"/>
              <v:stroke on="f" weight="1.25pt"/>
              <v:imagedata o:title=""/>
              <o:lock v:ext="edit" aspectratio="f"/>
              <v:textbox inset="0mm,0mm,0mm,0mm" style="mso-fit-shape-to-text:t;">
                <w:txbxContent>
                  <w:p w14:paraId="0DE31F5E">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5ED5F">
    <w:pPr>
      <w:pStyle w:val="31"/>
      <w:rPr>
        <w:rStyle w:val="51"/>
      </w:rPr>
    </w:pPr>
  </w:p>
  <w:p w14:paraId="05681437">
    <w:pPr>
      <w:pStyle w:val="31"/>
      <w:framePr w:wrap="around" w:vAnchor="text" w:hAnchor="page" w:x="6104" w:y="52"/>
      <w:rPr>
        <w:rStyle w:val="5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DA8DD">
    <w:pPr>
      <w:pStyle w:val="31"/>
      <w:rPr>
        <w:kern w:val="0"/>
        <w:sz w:val="24"/>
        <w:szCs w:val="21"/>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E662A2">
                          <w:pPr>
                            <w:pStyle w:val="31"/>
                          </w:pPr>
                          <w:r>
                            <w:fldChar w:fldCharType="begin"/>
                          </w:r>
                          <w:r>
                            <w:instrText xml:space="preserve"> PAGE  \* MERGEFORMAT </w:instrText>
                          </w:r>
                          <w:r>
                            <w:fldChar w:fldCharType="separate"/>
                          </w:r>
                          <w:r>
                            <w:t>4</w:t>
                          </w:r>
                          <w:r>
                            <w:fldChar w:fldCharType="end"/>
                          </w:r>
                        </w:p>
                      </w:txbxContent>
                    </wps:txbx>
                    <wps:bodyPr wrap="none" lIns="0" tIns="0" rIns="0" bIns="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SURwjCAQAAjgMAAA4AAAAAAAAAAQAgAAAAHgEAAGRycy9lMm9Eb2MueG1sUEsF&#10;BgAAAAAGAAYAWQEAAFIFAAAAAA==&#10;">
              <v:fill on="f" focussize="0,0"/>
              <v:stroke on="f"/>
              <v:imagedata o:title=""/>
              <o:lock v:ext="edit" aspectratio="f"/>
              <v:textbox inset="0mm,0mm,0mm,0mm" style="mso-fit-shape-to-text:t;">
                <w:txbxContent>
                  <w:p w14:paraId="2AE662A2">
                    <w:pPr>
                      <w:pStyle w:val="31"/>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82702">
    <w:pPr>
      <w:pStyle w:val="31"/>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3E991A">
                          <w:pPr>
                            <w:pStyle w:val="31"/>
                          </w:pPr>
                          <w:r>
                            <w:fldChar w:fldCharType="begin"/>
                          </w:r>
                          <w:r>
                            <w:instrText xml:space="preserve"> PAGE  \* MERGEFORMAT </w:instrText>
                          </w:r>
                          <w:r>
                            <w:fldChar w:fldCharType="separate"/>
                          </w:r>
                          <w:r>
                            <w:t>31</w:t>
                          </w:r>
                          <w:r>
                            <w:fldChar w:fldCharType="end"/>
                          </w:r>
                        </w:p>
                      </w:txbxContent>
                    </wps:txbx>
                    <wps:bodyPr wrap="none" lIns="0" tIns="0" rIns="0" bIns="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NEDQ0MEBAACPAwAADgAAAAAAAAABACAAAAAeAQAAZHJzL2Uyb0RvYy54bWxQSwUG&#10;AAAAAAYABgBZAQAAUQUAAAAA&#10;">
              <v:fill on="f" focussize="0,0"/>
              <v:stroke on="f"/>
              <v:imagedata o:title=""/>
              <o:lock v:ext="edit" aspectratio="f"/>
              <v:textbox inset="0mm,0mm,0mm,0mm" style="mso-fit-shape-to-text:t;">
                <w:txbxContent>
                  <w:p w14:paraId="213E991A">
                    <w:pPr>
                      <w:pStyle w:val="31"/>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E7E9A">
    <w:pPr>
      <w:pStyle w:val="3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CE3D1B">
                          <w:pPr>
                            <w:pStyle w:val="31"/>
                          </w:pPr>
                          <w:r>
                            <w:fldChar w:fldCharType="begin"/>
                          </w:r>
                          <w:r>
                            <w:instrText xml:space="preserve"> PAGE  \* MERGEFORMAT </w:instrText>
                          </w:r>
                          <w:r>
                            <w:fldChar w:fldCharType="separate"/>
                          </w:r>
                          <w:r>
                            <w:t>5</w:t>
                          </w:r>
                          <w:r>
                            <w:fldChar w:fldCharType="end"/>
                          </w:r>
                        </w:p>
                      </w:txbxContent>
                    </wps:txbx>
                    <wps:bodyPr wrap="none" lIns="0" tIns="0" rIns="0" bIns="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26lrsMBAACP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uAnXlDhuceLnnz/Ov/6cf38n&#10;y7dZoD5AjXn3ATPT8M4PmDz7AZ2Z96CizV9kRDCO8p4u8sohEZEfrZarVYUhgbH5gvjs4XmIkN5L&#10;b0k2GhpxfkVWfvwIaUydU3I15++0MWWGxv3jQMzsYbn3scdspWE3TIR2vj0hnx5H31CHm06J+eBQ&#10;2bwlsxFnYzcZuQaE20PCwqWfjDpCTcVwToXRtFN5ER7fS9bDf7T5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vbqWuwwEAAI8DAAAOAAAAAAAAAAEAIAAAAB4BAABkcnMvZTJvRG9jLnhtbFBL&#10;BQYAAAAABgAGAFkBAABTBQAAAAA=&#10;">
              <v:fill on="f" focussize="0,0"/>
              <v:stroke on="f"/>
              <v:imagedata o:title=""/>
              <o:lock v:ext="edit" aspectratio="f"/>
              <v:textbox inset="0mm,0mm,0mm,0mm" style="mso-fit-shape-to-text:t;">
                <w:txbxContent>
                  <w:p w14:paraId="04CE3D1B">
                    <w:pPr>
                      <w:pStyle w:val="3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2E5F5">
    <w:pPr>
      <w:pStyle w:val="31"/>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89C4CC">
                          <w:pPr>
                            <w:pStyle w:val="31"/>
                          </w:pPr>
                          <w:r>
                            <w:fldChar w:fldCharType="begin"/>
                          </w:r>
                          <w:r>
                            <w:instrText xml:space="preserve"> PAGE  \* MERGEFORMAT </w:instrText>
                          </w:r>
                          <w:r>
                            <w:fldChar w:fldCharType="separate"/>
                          </w:r>
                          <w:r>
                            <w:t>33</w:t>
                          </w:r>
                          <w:r>
                            <w:fldChar w:fldCharType="end"/>
                          </w:r>
                        </w:p>
                      </w:txbxContent>
                    </wps:txbx>
                    <wps:bodyPr wrap="none" lIns="0" tIns="0" rIns="0" bIns="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grw28MBAACOAwAADgAAAGRycy9lMm9Eb2MueG1srVPNjtMwEL4j8Q6W&#10;79TZC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fL&#10;11mfPkCNabcBE9Pw3g+4NbMf0JlpDyra/EVCBOOo7umirhwSEfnRarlaVRgSGJsviM/un4cI6YP0&#10;lmSjoRHHV1Tlx0+QxtQ5JVdz/kYbU0Zo3H8OxMwelnsfe8xWGnbDRGjn2xPy6XHyDXW46JSYjw6F&#10;zUsyG3E2dpORa0B4d0hYuPSTUUeoqRiOqTCaVirvwb/3knX/G23+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2CvDbwwEAAI4DAAAOAAAAAAAAAAEAIAAAAB4BAABkcnMvZTJvRG9jLnhtbFBL&#10;BQYAAAAABgAGAFkBAABTBQAAAAA=&#10;">
              <v:fill on="f" focussize="0,0"/>
              <v:stroke on="f"/>
              <v:imagedata o:title=""/>
              <o:lock v:ext="edit" aspectratio="f"/>
              <v:textbox inset="0mm,0mm,0mm,0mm" style="mso-fit-shape-to-text:t;">
                <w:txbxContent>
                  <w:p w14:paraId="3589C4CC">
                    <w:pPr>
                      <w:pStyle w:val="31"/>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297A1">
    <w:pPr>
      <w:pStyle w:val="31"/>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4AF9E4">
                          <w:pPr>
                            <w:pStyle w:val="31"/>
                          </w:pPr>
                          <w:r>
                            <w:fldChar w:fldCharType="begin"/>
                          </w:r>
                          <w:r>
                            <w:instrText xml:space="preserve"> PAGE  \* MERGEFORMAT </w:instrText>
                          </w:r>
                          <w:r>
                            <w:fldChar w:fldCharType="separate"/>
                          </w:r>
                          <w:r>
                            <w:t>32</w:t>
                          </w:r>
                          <w:r>
                            <w:fldChar w:fldCharType="end"/>
                          </w:r>
                        </w:p>
                      </w:txbxContent>
                    </wps:txbx>
                    <wps:bodyPr wrap="none" lIns="0" tIns="0" rIns="0" bIns="0">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SniKsMBAACO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Z&#10;vs369AFqTLsPmJiGd37ArZn9gM5Me1DR5i8SIhhHdU8XdeWQiMiPVsvVqsKQwNh8QXz28DxESO+l&#10;tyQbDY04vqIqP36ENKbOKbma83famDJC4/5xIGb2sNz72GO20rAbJkI7356QT4+Tb6jDRafEfHAo&#10;bF6S2YizsZuMXAPC7SFh4dJPRh2hpmI4psJoWqm8B4/vJevhN9r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5KeIqwwEAAI4DAAAOAAAAAAAAAAEAIAAAAB4BAABkcnMvZTJvRG9jLnhtbFBL&#10;BQYAAAAABgAGAFkBAABTBQAAAAA=&#10;">
              <v:fill on="f" focussize="0,0"/>
              <v:stroke on="f"/>
              <v:imagedata o:title=""/>
              <o:lock v:ext="edit" aspectratio="f"/>
              <v:textbox inset="0mm,0mm,0mm,0mm" style="mso-fit-shape-to-text:t;">
                <w:txbxContent>
                  <w:p w14:paraId="584AF9E4">
                    <w:pPr>
                      <w:pStyle w:val="31"/>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A4C3E">
    <w:pPr>
      <w:pStyle w:val="31"/>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F81EC9">
                          <w:pPr>
                            <w:pStyle w:val="31"/>
                          </w:pPr>
                          <w:r>
                            <w:fldChar w:fldCharType="begin"/>
                          </w:r>
                          <w:r>
                            <w:instrText xml:space="preserve"> PAGE  \* MERGEFORMAT </w:instrText>
                          </w:r>
                          <w:r>
                            <w:fldChar w:fldCharType="separate"/>
                          </w:r>
                          <w:r>
                            <w:t>52</w:t>
                          </w:r>
                          <w:r>
                            <w:fldChar w:fldCharType="end"/>
                          </w:r>
                        </w:p>
                      </w:txbxContent>
                    </wps:txbx>
                    <wps:bodyPr wrap="none" lIns="0" tIns="0" rIns="0" bIns="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FcaJ8MBAACOAwAADgAAAGRycy9lMm9Eb2MueG1srVPNjtMwEL4j8Q6W&#10;79TZHpYq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99S4rjFgZ9//jj/+nP+/Z0s&#10;r7M+fYAa0+4DJqbhnR9wa2Y/oDPTHlS0+YuECMZR3dNFXTkkIvKj1XK1qjAkMDZfEJ89PA8R0nvp&#10;LclGQyOOr6jKjx8hjalzSq7m/J02pozQuH8ciJk9LPc+9pitNOyGidDOtyfk0+PkG+pw0SkxHxwK&#10;m5dkNuJs7CYj14Bwe0hYuPSTUUeoqRiOqTCaVirvweN7yXr4jT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AVxonwwEAAI4DAAAOAAAAAAAAAAEAIAAAAB4BAABkcnMvZTJvRG9jLnhtbFBL&#10;BQYAAAAABgAGAFkBAABTBQAAAAA=&#10;">
              <v:fill on="f" focussize="0,0"/>
              <v:stroke on="f"/>
              <v:imagedata o:title=""/>
              <o:lock v:ext="edit" aspectratio="f"/>
              <v:textbox inset="0mm,0mm,0mm,0mm" style="mso-fit-shape-to-text:t;">
                <w:txbxContent>
                  <w:p w14:paraId="44F81EC9">
                    <w:pPr>
                      <w:pStyle w:val="31"/>
                    </w:pPr>
                    <w:r>
                      <w:fldChar w:fldCharType="begin"/>
                    </w:r>
                    <w:r>
                      <w:instrText xml:space="preserve"> PAGE  \* MERGEFORMAT </w:instrText>
                    </w:r>
                    <w:r>
                      <w:fldChar w:fldCharType="separate"/>
                    </w:r>
                    <w:r>
                      <w:t>52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247C9">
    <w:pPr>
      <w:pStyle w:val="33"/>
      <w:pBdr>
        <w:bottom w:val="single" w:color="auto" w:sz="4" w:space="1"/>
      </w:pBdr>
      <w:jc w:val="left"/>
      <w:rPr>
        <w:sz w:val="21"/>
      </w:rPr>
    </w:pPr>
    <w:r>
      <w:drawing>
        <wp:inline distT="0" distB="0" distL="114300" distR="114300">
          <wp:extent cx="1123950" cy="222250"/>
          <wp:effectExtent l="0" t="0" r="0" b="635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1"/>
                  <a:stretch>
                    <a:fillRect/>
                  </a:stretch>
                </pic:blipFill>
                <pic:spPr>
                  <a:xfrm>
                    <a:off x="0" y="0"/>
                    <a:ext cx="1123950" cy="222250"/>
                  </a:xfrm>
                  <a:prstGeom prst="rect">
                    <a:avLst/>
                  </a:prstGeom>
                  <a:noFill/>
                  <a:ln>
                    <a:noFill/>
                  </a:ln>
                </pic:spPr>
              </pic:pic>
            </a:graphicData>
          </a:graphic>
        </wp:inline>
      </w:drawing>
    </w:r>
    <w:r>
      <w:t xml:space="preserve">     </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BCE1E">
    <w:pPr>
      <w:pStyle w:val="33"/>
      <w:jc w:val="both"/>
    </w:pPr>
    <w:r>
      <w:drawing>
        <wp:inline distT="0" distB="0" distL="114300" distR="114300">
          <wp:extent cx="1123950" cy="222250"/>
          <wp:effectExtent l="0" t="0" r="0" b="635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
                  <a:stretch>
                    <a:fillRect/>
                  </a:stretch>
                </pic:blipFill>
                <pic:spPr>
                  <a:xfrm>
                    <a:off x="0" y="0"/>
                    <a:ext cx="1123950" cy="222250"/>
                  </a:xfrm>
                  <a:prstGeom prst="rect">
                    <a:avLst/>
                  </a:prstGeom>
                  <a:noFill/>
                  <a:ln>
                    <a:noFill/>
                  </a:ln>
                </pic:spPr>
              </pic:pic>
            </a:graphicData>
          </a:graphic>
        </wp:inline>
      </w:drawing>
    </w:r>
    <w:r>
      <w:t xml:space="preserve">     </w:t>
    </w: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3ECA9">
    <w:pPr>
      <w:pStyle w:val="33"/>
      <w:jc w:val="both"/>
    </w:pPr>
    <w:r>
      <w:drawing>
        <wp:inline distT="0" distB="0" distL="114300" distR="114300">
          <wp:extent cx="1123950" cy="222250"/>
          <wp:effectExtent l="0" t="0" r="0" b="635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
                  <a:stretch>
                    <a:fillRect/>
                  </a:stretch>
                </pic:blipFill>
                <pic:spPr>
                  <a:xfrm>
                    <a:off x="0" y="0"/>
                    <a:ext cx="1123950" cy="222250"/>
                  </a:xfrm>
                  <a:prstGeom prst="rect">
                    <a:avLst/>
                  </a:prstGeom>
                  <a:noFill/>
                  <a:ln>
                    <a:noFill/>
                  </a:ln>
                </pic:spPr>
              </pic:pic>
            </a:graphicData>
          </a:graphic>
        </wp:inline>
      </w:drawing>
    </w:r>
    <w:r>
      <w:t xml:space="preserve">     </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DDEDE6"/>
    <w:multiLevelType w:val="singleLevel"/>
    <w:tmpl w:val="59DDEDE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removePersonalInformation/>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4"/>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2YmQ2NzIwMmY0YTE1Zjk1OWUxODM3YTUxNDRkMjgifQ=="/>
  </w:docVars>
  <w:rsids>
    <w:rsidRoot w:val="000D7714"/>
    <w:rsid w:val="000012F0"/>
    <w:rsid w:val="000019CA"/>
    <w:rsid w:val="000047DE"/>
    <w:rsid w:val="000066FB"/>
    <w:rsid w:val="00006864"/>
    <w:rsid w:val="0001038A"/>
    <w:rsid w:val="0001175E"/>
    <w:rsid w:val="00022285"/>
    <w:rsid w:val="0002338D"/>
    <w:rsid w:val="00023E33"/>
    <w:rsid w:val="0003208E"/>
    <w:rsid w:val="000405F2"/>
    <w:rsid w:val="00040ECE"/>
    <w:rsid w:val="00044453"/>
    <w:rsid w:val="00045AD4"/>
    <w:rsid w:val="000510C3"/>
    <w:rsid w:val="00052708"/>
    <w:rsid w:val="00053D04"/>
    <w:rsid w:val="00062F9F"/>
    <w:rsid w:val="00063A62"/>
    <w:rsid w:val="00067641"/>
    <w:rsid w:val="00067B8A"/>
    <w:rsid w:val="00071E15"/>
    <w:rsid w:val="0007229F"/>
    <w:rsid w:val="00072CB2"/>
    <w:rsid w:val="0007343C"/>
    <w:rsid w:val="00084D60"/>
    <w:rsid w:val="000903C5"/>
    <w:rsid w:val="0009117D"/>
    <w:rsid w:val="000940B2"/>
    <w:rsid w:val="00095F3D"/>
    <w:rsid w:val="000A2DE6"/>
    <w:rsid w:val="000A3D5B"/>
    <w:rsid w:val="000A4E19"/>
    <w:rsid w:val="000A65EF"/>
    <w:rsid w:val="000A725C"/>
    <w:rsid w:val="000B2332"/>
    <w:rsid w:val="000B47DD"/>
    <w:rsid w:val="000B5D2E"/>
    <w:rsid w:val="000B6346"/>
    <w:rsid w:val="000C2C6F"/>
    <w:rsid w:val="000D1D93"/>
    <w:rsid w:val="000D32E6"/>
    <w:rsid w:val="000D3A8F"/>
    <w:rsid w:val="000D5829"/>
    <w:rsid w:val="000D6CE0"/>
    <w:rsid w:val="000D7663"/>
    <w:rsid w:val="000D7714"/>
    <w:rsid w:val="000E1889"/>
    <w:rsid w:val="000E1DC2"/>
    <w:rsid w:val="000E21B5"/>
    <w:rsid w:val="000E4585"/>
    <w:rsid w:val="000E797B"/>
    <w:rsid w:val="000F5DB1"/>
    <w:rsid w:val="000F6530"/>
    <w:rsid w:val="00100045"/>
    <w:rsid w:val="00111CF3"/>
    <w:rsid w:val="00112362"/>
    <w:rsid w:val="00113673"/>
    <w:rsid w:val="00116B9B"/>
    <w:rsid w:val="001172FE"/>
    <w:rsid w:val="00124BAE"/>
    <w:rsid w:val="00125558"/>
    <w:rsid w:val="001314A1"/>
    <w:rsid w:val="00132340"/>
    <w:rsid w:val="00134462"/>
    <w:rsid w:val="001376FA"/>
    <w:rsid w:val="0014122C"/>
    <w:rsid w:val="0014140E"/>
    <w:rsid w:val="00145D32"/>
    <w:rsid w:val="0015146A"/>
    <w:rsid w:val="00151E41"/>
    <w:rsid w:val="00152C03"/>
    <w:rsid w:val="00154395"/>
    <w:rsid w:val="00154D58"/>
    <w:rsid w:val="00156BB1"/>
    <w:rsid w:val="00160EC4"/>
    <w:rsid w:val="00161595"/>
    <w:rsid w:val="0016319A"/>
    <w:rsid w:val="00164247"/>
    <w:rsid w:val="0017026F"/>
    <w:rsid w:val="001724A3"/>
    <w:rsid w:val="00172D0A"/>
    <w:rsid w:val="001763C1"/>
    <w:rsid w:val="001807B3"/>
    <w:rsid w:val="00186A11"/>
    <w:rsid w:val="00187EC5"/>
    <w:rsid w:val="00196D08"/>
    <w:rsid w:val="001A2BCA"/>
    <w:rsid w:val="001A33AC"/>
    <w:rsid w:val="001A4A72"/>
    <w:rsid w:val="001A5591"/>
    <w:rsid w:val="001A785F"/>
    <w:rsid w:val="001B00E0"/>
    <w:rsid w:val="001B32C4"/>
    <w:rsid w:val="001B6BCF"/>
    <w:rsid w:val="001B6C6B"/>
    <w:rsid w:val="001C2B88"/>
    <w:rsid w:val="001C5139"/>
    <w:rsid w:val="001D23D9"/>
    <w:rsid w:val="001D264F"/>
    <w:rsid w:val="001D2A95"/>
    <w:rsid w:val="001D3789"/>
    <w:rsid w:val="001D3F97"/>
    <w:rsid w:val="001D6E43"/>
    <w:rsid w:val="001E0830"/>
    <w:rsid w:val="001E6630"/>
    <w:rsid w:val="001F1BF0"/>
    <w:rsid w:val="001F361A"/>
    <w:rsid w:val="001F36C9"/>
    <w:rsid w:val="001F41FD"/>
    <w:rsid w:val="002060F1"/>
    <w:rsid w:val="00210958"/>
    <w:rsid w:val="00210F1E"/>
    <w:rsid w:val="00214C88"/>
    <w:rsid w:val="00217837"/>
    <w:rsid w:val="00220402"/>
    <w:rsid w:val="002208DD"/>
    <w:rsid w:val="00230EAF"/>
    <w:rsid w:val="0023184F"/>
    <w:rsid w:val="0023580E"/>
    <w:rsid w:val="00240CFA"/>
    <w:rsid w:val="00241470"/>
    <w:rsid w:val="0025261E"/>
    <w:rsid w:val="00252B57"/>
    <w:rsid w:val="00256723"/>
    <w:rsid w:val="002636E8"/>
    <w:rsid w:val="00263991"/>
    <w:rsid w:val="00266CC8"/>
    <w:rsid w:val="00274B27"/>
    <w:rsid w:val="00280E85"/>
    <w:rsid w:val="002835F7"/>
    <w:rsid w:val="00284E6A"/>
    <w:rsid w:val="00293277"/>
    <w:rsid w:val="00293668"/>
    <w:rsid w:val="002945A2"/>
    <w:rsid w:val="002A2308"/>
    <w:rsid w:val="002A34C5"/>
    <w:rsid w:val="002A4974"/>
    <w:rsid w:val="002A5DA8"/>
    <w:rsid w:val="002A63E4"/>
    <w:rsid w:val="002A7CE6"/>
    <w:rsid w:val="002C12F4"/>
    <w:rsid w:val="002C1F10"/>
    <w:rsid w:val="002C26E2"/>
    <w:rsid w:val="002C5F72"/>
    <w:rsid w:val="002D0672"/>
    <w:rsid w:val="002D2583"/>
    <w:rsid w:val="002D2A99"/>
    <w:rsid w:val="002D3C21"/>
    <w:rsid w:val="002D4462"/>
    <w:rsid w:val="002D5B09"/>
    <w:rsid w:val="002D6967"/>
    <w:rsid w:val="002E407E"/>
    <w:rsid w:val="002E50E2"/>
    <w:rsid w:val="002F5774"/>
    <w:rsid w:val="002F73DC"/>
    <w:rsid w:val="00300DA0"/>
    <w:rsid w:val="00304899"/>
    <w:rsid w:val="00306165"/>
    <w:rsid w:val="00306B33"/>
    <w:rsid w:val="00306D00"/>
    <w:rsid w:val="003105B2"/>
    <w:rsid w:val="00310976"/>
    <w:rsid w:val="003131FA"/>
    <w:rsid w:val="00315878"/>
    <w:rsid w:val="0032295E"/>
    <w:rsid w:val="003230BD"/>
    <w:rsid w:val="0032443A"/>
    <w:rsid w:val="003246FC"/>
    <w:rsid w:val="00325BA8"/>
    <w:rsid w:val="003308C8"/>
    <w:rsid w:val="0033115B"/>
    <w:rsid w:val="003318D1"/>
    <w:rsid w:val="00334244"/>
    <w:rsid w:val="003349A3"/>
    <w:rsid w:val="003350EB"/>
    <w:rsid w:val="003362F6"/>
    <w:rsid w:val="0034213E"/>
    <w:rsid w:val="00342875"/>
    <w:rsid w:val="00353049"/>
    <w:rsid w:val="00353C63"/>
    <w:rsid w:val="00353C88"/>
    <w:rsid w:val="00354791"/>
    <w:rsid w:val="00354EAB"/>
    <w:rsid w:val="003551FC"/>
    <w:rsid w:val="00357059"/>
    <w:rsid w:val="00361671"/>
    <w:rsid w:val="003661F9"/>
    <w:rsid w:val="00370D4B"/>
    <w:rsid w:val="003735FC"/>
    <w:rsid w:val="00385CE4"/>
    <w:rsid w:val="003867A8"/>
    <w:rsid w:val="00387983"/>
    <w:rsid w:val="003911AC"/>
    <w:rsid w:val="00395C9D"/>
    <w:rsid w:val="003979A6"/>
    <w:rsid w:val="003A1806"/>
    <w:rsid w:val="003B01CE"/>
    <w:rsid w:val="003B5026"/>
    <w:rsid w:val="003B65D6"/>
    <w:rsid w:val="003C3773"/>
    <w:rsid w:val="003C3C04"/>
    <w:rsid w:val="003C79C1"/>
    <w:rsid w:val="003D5782"/>
    <w:rsid w:val="003E031B"/>
    <w:rsid w:val="003E2310"/>
    <w:rsid w:val="003F2AE1"/>
    <w:rsid w:val="003F42E8"/>
    <w:rsid w:val="003F4976"/>
    <w:rsid w:val="003F684D"/>
    <w:rsid w:val="00403B0F"/>
    <w:rsid w:val="004040F1"/>
    <w:rsid w:val="004102E8"/>
    <w:rsid w:val="00414F0F"/>
    <w:rsid w:val="00417AA9"/>
    <w:rsid w:val="00422351"/>
    <w:rsid w:val="00422EBE"/>
    <w:rsid w:val="00423219"/>
    <w:rsid w:val="004255D6"/>
    <w:rsid w:val="00427953"/>
    <w:rsid w:val="004324A2"/>
    <w:rsid w:val="00436926"/>
    <w:rsid w:val="00441DA0"/>
    <w:rsid w:val="00444194"/>
    <w:rsid w:val="00444DB4"/>
    <w:rsid w:val="00451877"/>
    <w:rsid w:val="004535A7"/>
    <w:rsid w:val="0046219C"/>
    <w:rsid w:val="00466C11"/>
    <w:rsid w:val="00470FDA"/>
    <w:rsid w:val="00472DF0"/>
    <w:rsid w:val="004759D0"/>
    <w:rsid w:val="004759F2"/>
    <w:rsid w:val="00475EE2"/>
    <w:rsid w:val="0048575C"/>
    <w:rsid w:val="00487809"/>
    <w:rsid w:val="00487EC1"/>
    <w:rsid w:val="00492976"/>
    <w:rsid w:val="004A790D"/>
    <w:rsid w:val="004B46F8"/>
    <w:rsid w:val="004B5FAB"/>
    <w:rsid w:val="004D0800"/>
    <w:rsid w:val="004D18E3"/>
    <w:rsid w:val="004D269B"/>
    <w:rsid w:val="004D2FAF"/>
    <w:rsid w:val="004D3BA8"/>
    <w:rsid w:val="004D6663"/>
    <w:rsid w:val="004E223D"/>
    <w:rsid w:val="004E26F4"/>
    <w:rsid w:val="004E353A"/>
    <w:rsid w:val="004E6032"/>
    <w:rsid w:val="004F079C"/>
    <w:rsid w:val="004F3A6D"/>
    <w:rsid w:val="004F44F3"/>
    <w:rsid w:val="004F6899"/>
    <w:rsid w:val="005072FD"/>
    <w:rsid w:val="005077B7"/>
    <w:rsid w:val="005114D3"/>
    <w:rsid w:val="00511AC1"/>
    <w:rsid w:val="005129C4"/>
    <w:rsid w:val="00514D03"/>
    <w:rsid w:val="00515688"/>
    <w:rsid w:val="0052283B"/>
    <w:rsid w:val="00523A54"/>
    <w:rsid w:val="00523ADA"/>
    <w:rsid w:val="00523B15"/>
    <w:rsid w:val="00524060"/>
    <w:rsid w:val="005244C7"/>
    <w:rsid w:val="00524CDC"/>
    <w:rsid w:val="00530FAC"/>
    <w:rsid w:val="00534307"/>
    <w:rsid w:val="005355A2"/>
    <w:rsid w:val="005369BF"/>
    <w:rsid w:val="00537FFE"/>
    <w:rsid w:val="00542A86"/>
    <w:rsid w:val="00546CBE"/>
    <w:rsid w:val="00550C60"/>
    <w:rsid w:val="005532C3"/>
    <w:rsid w:val="00560C18"/>
    <w:rsid w:val="0056413C"/>
    <w:rsid w:val="0056614D"/>
    <w:rsid w:val="0056779A"/>
    <w:rsid w:val="0057167E"/>
    <w:rsid w:val="00571D7A"/>
    <w:rsid w:val="0057782C"/>
    <w:rsid w:val="00581953"/>
    <w:rsid w:val="00583305"/>
    <w:rsid w:val="00583EB3"/>
    <w:rsid w:val="005933CD"/>
    <w:rsid w:val="00595F83"/>
    <w:rsid w:val="005A03A8"/>
    <w:rsid w:val="005A1154"/>
    <w:rsid w:val="005A3C11"/>
    <w:rsid w:val="005A69BB"/>
    <w:rsid w:val="005B23C8"/>
    <w:rsid w:val="005B4875"/>
    <w:rsid w:val="005C3472"/>
    <w:rsid w:val="005C38A2"/>
    <w:rsid w:val="005C492E"/>
    <w:rsid w:val="005D1950"/>
    <w:rsid w:val="005E18A4"/>
    <w:rsid w:val="005E47C8"/>
    <w:rsid w:val="005E5E6A"/>
    <w:rsid w:val="005F56D0"/>
    <w:rsid w:val="005F7014"/>
    <w:rsid w:val="005F71EB"/>
    <w:rsid w:val="00601340"/>
    <w:rsid w:val="006013AF"/>
    <w:rsid w:val="0060652C"/>
    <w:rsid w:val="006072A6"/>
    <w:rsid w:val="00607E08"/>
    <w:rsid w:val="00610105"/>
    <w:rsid w:val="0061079A"/>
    <w:rsid w:val="00612E1C"/>
    <w:rsid w:val="006311EC"/>
    <w:rsid w:val="00631E7A"/>
    <w:rsid w:val="006341C7"/>
    <w:rsid w:val="006407B4"/>
    <w:rsid w:val="006419EF"/>
    <w:rsid w:val="00641EC7"/>
    <w:rsid w:val="00642DCD"/>
    <w:rsid w:val="00644A4B"/>
    <w:rsid w:val="00645206"/>
    <w:rsid w:val="00646074"/>
    <w:rsid w:val="00647333"/>
    <w:rsid w:val="00653CB4"/>
    <w:rsid w:val="00654767"/>
    <w:rsid w:val="006556A5"/>
    <w:rsid w:val="006617E3"/>
    <w:rsid w:val="006646CA"/>
    <w:rsid w:val="006706F1"/>
    <w:rsid w:val="00670DF2"/>
    <w:rsid w:val="00671FB0"/>
    <w:rsid w:val="0067200E"/>
    <w:rsid w:val="0067533C"/>
    <w:rsid w:val="00676632"/>
    <w:rsid w:val="0067702A"/>
    <w:rsid w:val="00677398"/>
    <w:rsid w:val="006829AA"/>
    <w:rsid w:val="006903C3"/>
    <w:rsid w:val="00692AD8"/>
    <w:rsid w:val="00697B84"/>
    <w:rsid w:val="006A3B3D"/>
    <w:rsid w:val="006A7A9A"/>
    <w:rsid w:val="006B2044"/>
    <w:rsid w:val="006B23B5"/>
    <w:rsid w:val="006B3013"/>
    <w:rsid w:val="006B5A15"/>
    <w:rsid w:val="006D17F2"/>
    <w:rsid w:val="006D6289"/>
    <w:rsid w:val="006E025A"/>
    <w:rsid w:val="006E3B89"/>
    <w:rsid w:val="006E5A83"/>
    <w:rsid w:val="006F4330"/>
    <w:rsid w:val="006F57F8"/>
    <w:rsid w:val="006F71E9"/>
    <w:rsid w:val="007005EF"/>
    <w:rsid w:val="00700C92"/>
    <w:rsid w:val="00701E42"/>
    <w:rsid w:val="007056B7"/>
    <w:rsid w:val="007115A3"/>
    <w:rsid w:val="0071601D"/>
    <w:rsid w:val="0071713E"/>
    <w:rsid w:val="00721082"/>
    <w:rsid w:val="007215C7"/>
    <w:rsid w:val="00723B9D"/>
    <w:rsid w:val="00724C81"/>
    <w:rsid w:val="00724E96"/>
    <w:rsid w:val="0073319B"/>
    <w:rsid w:val="007449DF"/>
    <w:rsid w:val="00746963"/>
    <w:rsid w:val="00747603"/>
    <w:rsid w:val="00752823"/>
    <w:rsid w:val="007552E9"/>
    <w:rsid w:val="00756623"/>
    <w:rsid w:val="00763682"/>
    <w:rsid w:val="00763922"/>
    <w:rsid w:val="00763E56"/>
    <w:rsid w:val="007652C7"/>
    <w:rsid w:val="00765BE2"/>
    <w:rsid w:val="00766238"/>
    <w:rsid w:val="0076691E"/>
    <w:rsid w:val="00770947"/>
    <w:rsid w:val="00772D95"/>
    <w:rsid w:val="00783F3D"/>
    <w:rsid w:val="00784363"/>
    <w:rsid w:val="007873F0"/>
    <w:rsid w:val="007874BB"/>
    <w:rsid w:val="0079058B"/>
    <w:rsid w:val="00791C68"/>
    <w:rsid w:val="007974C4"/>
    <w:rsid w:val="007A0B91"/>
    <w:rsid w:val="007A1D5B"/>
    <w:rsid w:val="007A4864"/>
    <w:rsid w:val="007A4A86"/>
    <w:rsid w:val="007A4E6E"/>
    <w:rsid w:val="007A53F2"/>
    <w:rsid w:val="007A6341"/>
    <w:rsid w:val="007A6E19"/>
    <w:rsid w:val="007A73CC"/>
    <w:rsid w:val="007A7662"/>
    <w:rsid w:val="007A7CE7"/>
    <w:rsid w:val="007B6C93"/>
    <w:rsid w:val="007C0FD8"/>
    <w:rsid w:val="007C4CC3"/>
    <w:rsid w:val="007C6EA8"/>
    <w:rsid w:val="007D6E01"/>
    <w:rsid w:val="007E03C3"/>
    <w:rsid w:val="007E0D03"/>
    <w:rsid w:val="007E10FB"/>
    <w:rsid w:val="007E3477"/>
    <w:rsid w:val="007E3BE5"/>
    <w:rsid w:val="007E3F3E"/>
    <w:rsid w:val="007E65AC"/>
    <w:rsid w:val="007F05D8"/>
    <w:rsid w:val="007F15DA"/>
    <w:rsid w:val="007F28AE"/>
    <w:rsid w:val="007F6235"/>
    <w:rsid w:val="00802F1B"/>
    <w:rsid w:val="00804883"/>
    <w:rsid w:val="00807656"/>
    <w:rsid w:val="0080769B"/>
    <w:rsid w:val="00807732"/>
    <w:rsid w:val="00814118"/>
    <w:rsid w:val="00817DE4"/>
    <w:rsid w:val="0082029C"/>
    <w:rsid w:val="008217DF"/>
    <w:rsid w:val="00826DC9"/>
    <w:rsid w:val="00831F1B"/>
    <w:rsid w:val="00832005"/>
    <w:rsid w:val="00835044"/>
    <w:rsid w:val="00843776"/>
    <w:rsid w:val="00846969"/>
    <w:rsid w:val="00850343"/>
    <w:rsid w:val="00852AF9"/>
    <w:rsid w:val="00857E2F"/>
    <w:rsid w:val="0086098D"/>
    <w:rsid w:val="00865753"/>
    <w:rsid w:val="00870BE7"/>
    <w:rsid w:val="00872C14"/>
    <w:rsid w:val="00873431"/>
    <w:rsid w:val="008818DB"/>
    <w:rsid w:val="00882D7B"/>
    <w:rsid w:val="00883127"/>
    <w:rsid w:val="00884EFF"/>
    <w:rsid w:val="00886674"/>
    <w:rsid w:val="008A6960"/>
    <w:rsid w:val="008B2F23"/>
    <w:rsid w:val="008B41B4"/>
    <w:rsid w:val="008B44CE"/>
    <w:rsid w:val="008B6E30"/>
    <w:rsid w:val="008C2D8B"/>
    <w:rsid w:val="008C3455"/>
    <w:rsid w:val="008D1447"/>
    <w:rsid w:val="008D2557"/>
    <w:rsid w:val="008D3223"/>
    <w:rsid w:val="008D5A3D"/>
    <w:rsid w:val="008D7600"/>
    <w:rsid w:val="008E4ABE"/>
    <w:rsid w:val="008F08F3"/>
    <w:rsid w:val="008F1565"/>
    <w:rsid w:val="008F534C"/>
    <w:rsid w:val="008F6523"/>
    <w:rsid w:val="00900C02"/>
    <w:rsid w:val="0090142E"/>
    <w:rsid w:val="00905A82"/>
    <w:rsid w:val="0090715A"/>
    <w:rsid w:val="009072C5"/>
    <w:rsid w:val="00914653"/>
    <w:rsid w:val="009215FA"/>
    <w:rsid w:val="00921F79"/>
    <w:rsid w:val="0092522C"/>
    <w:rsid w:val="00930515"/>
    <w:rsid w:val="009347C3"/>
    <w:rsid w:val="00943509"/>
    <w:rsid w:val="0094365F"/>
    <w:rsid w:val="0094766C"/>
    <w:rsid w:val="0095787D"/>
    <w:rsid w:val="009610BD"/>
    <w:rsid w:val="00961AC8"/>
    <w:rsid w:val="009708AE"/>
    <w:rsid w:val="009755CC"/>
    <w:rsid w:val="00975D66"/>
    <w:rsid w:val="00977863"/>
    <w:rsid w:val="00984BB6"/>
    <w:rsid w:val="00994C7D"/>
    <w:rsid w:val="009A3F6A"/>
    <w:rsid w:val="009A57A2"/>
    <w:rsid w:val="009A688C"/>
    <w:rsid w:val="009B029C"/>
    <w:rsid w:val="009B0CF2"/>
    <w:rsid w:val="009B261B"/>
    <w:rsid w:val="009B2A3C"/>
    <w:rsid w:val="009B3C0A"/>
    <w:rsid w:val="009C4203"/>
    <w:rsid w:val="009C6803"/>
    <w:rsid w:val="009C6B5C"/>
    <w:rsid w:val="009E0B3D"/>
    <w:rsid w:val="009E161E"/>
    <w:rsid w:val="009E7177"/>
    <w:rsid w:val="009F1B88"/>
    <w:rsid w:val="009F5D9E"/>
    <w:rsid w:val="009F6531"/>
    <w:rsid w:val="00A01E7F"/>
    <w:rsid w:val="00A04483"/>
    <w:rsid w:val="00A14523"/>
    <w:rsid w:val="00A2048C"/>
    <w:rsid w:val="00A23942"/>
    <w:rsid w:val="00A37C08"/>
    <w:rsid w:val="00A37CD1"/>
    <w:rsid w:val="00A4159A"/>
    <w:rsid w:val="00A533FD"/>
    <w:rsid w:val="00A53A8A"/>
    <w:rsid w:val="00A54EAE"/>
    <w:rsid w:val="00A60919"/>
    <w:rsid w:val="00A60EEF"/>
    <w:rsid w:val="00A6362F"/>
    <w:rsid w:val="00A640BA"/>
    <w:rsid w:val="00A658BF"/>
    <w:rsid w:val="00A67F14"/>
    <w:rsid w:val="00A72097"/>
    <w:rsid w:val="00A73515"/>
    <w:rsid w:val="00A744CE"/>
    <w:rsid w:val="00A745D1"/>
    <w:rsid w:val="00A77DEF"/>
    <w:rsid w:val="00A811FA"/>
    <w:rsid w:val="00A83C4A"/>
    <w:rsid w:val="00A853D1"/>
    <w:rsid w:val="00A8559C"/>
    <w:rsid w:val="00A86ADC"/>
    <w:rsid w:val="00AA0746"/>
    <w:rsid w:val="00AA0DB7"/>
    <w:rsid w:val="00AA16CE"/>
    <w:rsid w:val="00AA1DB8"/>
    <w:rsid w:val="00AA20AA"/>
    <w:rsid w:val="00AA3EAD"/>
    <w:rsid w:val="00AA5833"/>
    <w:rsid w:val="00AA5C2C"/>
    <w:rsid w:val="00AC5861"/>
    <w:rsid w:val="00AD0DFF"/>
    <w:rsid w:val="00AD3A59"/>
    <w:rsid w:val="00AD5694"/>
    <w:rsid w:val="00AD5D10"/>
    <w:rsid w:val="00AD7ACC"/>
    <w:rsid w:val="00AE1886"/>
    <w:rsid w:val="00AE2213"/>
    <w:rsid w:val="00AF214F"/>
    <w:rsid w:val="00AF364B"/>
    <w:rsid w:val="00AF5AD5"/>
    <w:rsid w:val="00AF65EE"/>
    <w:rsid w:val="00B0138F"/>
    <w:rsid w:val="00B0168F"/>
    <w:rsid w:val="00B029C0"/>
    <w:rsid w:val="00B22471"/>
    <w:rsid w:val="00B26559"/>
    <w:rsid w:val="00B3173E"/>
    <w:rsid w:val="00B32531"/>
    <w:rsid w:val="00B40B30"/>
    <w:rsid w:val="00B41175"/>
    <w:rsid w:val="00B41A33"/>
    <w:rsid w:val="00B45B5D"/>
    <w:rsid w:val="00B46413"/>
    <w:rsid w:val="00B50B1B"/>
    <w:rsid w:val="00B51250"/>
    <w:rsid w:val="00B603FC"/>
    <w:rsid w:val="00B620AC"/>
    <w:rsid w:val="00B629EA"/>
    <w:rsid w:val="00B658AF"/>
    <w:rsid w:val="00B6650D"/>
    <w:rsid w:val="00B71B03"/>
    <w:rsid w:val="00B737BF"/>
    <w:rsid w:val="00B82274"/>
    <w:rsid w:val="00B9138B"/>
    <w:rsid w:val="00B954F0"/>
    <w:rsid w:val="00BA132E"/>
    <w:rsid w:val="00BA1B82"/>
    <w:rsid w:val="00BA3214"/>
    <w:rsid w:val="00BA379F"/>
    <w:rsid w:val="00BA4415"/>
    <w:rsid w:val="00BA4D16"/>
    <w:rsid w:val="00BA50F6"/>
    <w:rsid w:val="00BA5C7E"/>
    <w:rsid w:val="00BB22BE"/>
    <w:rsid w:val="00BB505D"/>
    <w:rsid w:val="00BB5AFC"/>
    <w:rsid w:val="00BB5B6B"/>
    <w:rsid w:val="00BB78E8"/>
    <w:rsid w:val="00BB7CD6"/>
    <w:rsid w:val="00BC550F"/>
    <w:rsid w:val="00BD0289"/>
    <w:rsid w:val="00BD1BDF"/>
    <w:rsid w:val="00BD7376"/>
    <w:rsid w:val="00BE3C2B"/>
    <w:rsid w:val="00BE4B2D"/>
    <w:rsid w:val="00BF3433"/>
    <w:rsid w:val="00BF67E1"/>
    <w:rsid w:val="00C028E6"/>
    <w:rsid w:val="00C06B3F"/>
    <w:rsid w:val="00C10BDF"/>
    <w:rsid w:val="00C155FE"/>
    <w:rsid w:val="00C31091"/>
    <w:rsid w:val="00C34BA7"/>
    <w:rsid w:val="00C406FC"/>
    <w:rsid w:val="00C43E73"/>
    <w:rsid w:val="00C43F6C"/>
    <w:rsid w:val="00C512A0"/>
    <w:rsid w:val="00C551C4"/>
    <w:rsid w:val="00C575EB"/>
    <w:rsid w:val="00C60C9D"/>
    <w:rsid w:val="00C61D4A"/>
    <w:rsid w:val="00C6391D"/>
    <w:rsid w:val="00C75F19"/>
    <w:rsid w:val="00C764C7"/>
    <w:rsid w:val="00C872DE"/>
    <w:rsid w:val="00C9271C"/>
    <w:rsid w:val="00C96966"/>
    <w:rsid w:val="00C96E50"/>
    <w:rsid w:val="00CA4644"/>
    <w:rsid w:val="00CA4F63"/>
    <w:rsid w:val="00CB0067"/>
    <w:rsid w:val="00CB00EF"/>
    <w:rsid w:val="00CB1973"/>
    <w:rsid w:val="00CB62B3"/>
    <w:rsid w:val="00CB73A8"/>
    <w:rsid w:val="00CB76E4"/>
    <w:rsid w:val="00CC0B33"/>
    <w:rsid w:val="00CC2377"/>
    <w:rsid w:val="00CC45A5"/>
    <w:rsid w:val="00CC6B71"/>
    <w:rsid w:val="00CC7C6A"/>
    <w:rsid w:val="00CD2FFF"/>
    <w:rsid w:val="00CE04FE"/>
    <w:rsid w:val="00CE2119"/>
    <w:rsid w:val="00CE2B68"/>
    <w:rsid w:val="00CE3ACB"/>
    <w:rsid w:val="00CE7264"/>
    <w:rsid w:val="00CF013C"/>
    <w:rsid w:val="00CF7419"/>
    <w:rsid w:val="00D035D0"/>
    <w:rsid w:val="00D052A4"/>
    <w:rsid w:val="00D052AF"/>
    <w:rsid w:val="00D0547E"/>
    <w:rsid w:val="00D06611"/>
    <w:rsid w:val="00D1062C"/>
    <w:rsid w:val="00D10C30"/>
    <w:rsid w:val="00D169F7"/>
    <w:rsid w:val="00D24419"/>
    <w:rsid w:val="00D341E7"/>
    <w:rsid w:val="00D35369"/>
    <w:rsid w:val="00D40A88"/>
    <w:rsid w:val="00D45473"/>
    <w:rsid w:val="00D45904"/>
    <w:rsid w:val="00D45D3C"/>
    <w:rsid w:val="00D57437"/>
    <w:rsid w:val="00D6060A"/>
    <w:rsid w:val="00D6580F"/>
    <w:rsid w:val="00D67441"/>
    <w:rsid w:val="00D701C7"/>
    <w:rsid w:val="00D71338"/>
    <w:rsid w:val="00D72234"/>
    <w:rsid w:val="00D7673E"/>
    <w:rsid w:val="00D801E9"/>
    <w:rsid w:val="00D865F1"/>
    <w:rsid w:val="00D872D2"/>
    <w:rsid w:val="00D91553"/>
    <w:rsid w:val="00D96113"/>
    <w:rsid w:val="00D96CF6"/>
    <w:rsid w:val="00DA0226"/>
    <w:rsid w:val="00DA1EC3"/>
    <w:rsid w:val="00DA1F2B"/>
    <w:rsid w:val="00DA330E"/>
    <w:rsid w:val="00DA6CF1"/>
    <w:rsid w:val="00DB1C5E"/>
    <w:rsid w:val="00DB7DD7"/>
    <w:rsid w:val="00DC7499"/>
    <w:rsid w:val="00DC7798"/>
    <w:rsid w:val="00DC7C62"/>
    <w:rsid w:val="00DD0701"/>
    <w:rsid w:val="00DE158B"/>
    <w:rsid w:val="00DE2299"/>
    <w:rsid w:val="00DE2428"/>
    <w:rsid w:val="00E102A5"/>
    <w:rsid w:val="00E1069D"/>
    <w:rsid w:val="00E10783"/>
    <w:rsid w:val="00E124C1"/>
    <w:rsid w:val="00E16FE2"/>
    <w:rsid w:val="00E22B05"/>
    <w:rsid w:val="00E4326F"/>
    <w:rsid w:val="00E4385C"/>
    <w:rsid w:val="00E444A7"/>
    <w:rsid w:val="00E51FF1"/>
    <w:rsid w:val="00E54610"/>
    <w:rsid w:val="00E55257"/>
    <w:rsid w:val="00E57456"/>
    <w:rsid w:val="00E57627"/>
    <w:rsid w:val="00E6028D"/>
    <w:rsid w:val="00E62850"/>
    <w:rsid w:val="00E7017A"/>
    <w:rsid w:val="00E70198"/>
    <w:rsid w:val="00E753A0"/>
    <w:rsid w:val="00E7578E"/>
    <w:rsid w:val="00E771F3"/>
    <w:rsid w:val="00E80E0D"/>
    <w:rsid w:val="00E80F27"/>
    <w:rsid w:val="00E83025"/>
    <w:rsid w:val="00E85A97"/>
    <w:rsid w:val="00E8649B"/>
    <w:rsid w:val="00E90A58"/>
    <w:rsid w:val="00E94A86"/>
    <w:rsid w:val="00E96481"/>
    <w:rsid w:val="00E97423"/>
    <w:rsid w:val="00E976F7"/>
    <w:rsid w:val="00EA2383"/>
    <w:rsid w:val="00EA2840"/>
    <w:rsid w:val="00EA36D1"/>
    <w:rsid w:val="00EA474A"/>
    <w:rsid w:val="00EA5901"/>
    <w:rsid w:val="00EA5F48"/>
    <w:rsid w:val="00EB22F9"/>
    <w:rsid w:val="00EB5AD6"/>
    <w:rsid w:val="00EB6632"/>
    <w:rsid w:val="00EC0A7E"/>
    <w:rsid w:val="00EC578F"/>
    <w:rsid w:val="00ED4677"/>
    <w:rsid w:val="00ED4E6A"/>
    <w:rsid w:val="00EE2BA3"/>
    <w:rsid w:val="00EE44E5"/>
    <w:rsid w:val="00EF3E7A"/>
    <w:rsid w:val="00EF6249"/>
    <w:rsid w:val="00F027F1"/>
    <w:rsid w:val="00F02C85"/>
    <w:rsid w:val="00F14240"/>
    <w:rsid w:val="00F14844"/>
    <w:rsid w:val="00F14BF8"/>
    <w:rsid w:val="00F169E8"/>
    <w:rsid w:val="00F17225"/>
    <w:rsid w:val="00F205C9"/>
    <w:rsid w:val="00F237B9"/>
    <w:rsid w:val="00F23E59"/>
    <w:rsid w:val="00F2683C"/>
    <w:rsid w:val="00F27878"/>
    <w:rsid w:val="00F30E17"/>
    <w:rsid w:val="00F34BC0"/>
    <w:rsid w:val="00F36B27"/>
    <w:rsid w:val="00F42A82"/>
    <w:rsid w:val="00F4333E"/>
    <w:rsid w:val="00F44425"/>
    <w:rsid w:val="00F462A6"/>
    <w:rsid w:val="00F50CDF"/>
    <w:rsid w:val="00F5299B"/>
    <w:rsid w:val="00F570D2"/>
    <w:rsid w:val="00F577BF"/>
    <w:rsid w:val="00F63FEA"/>
    <w:rsid w:val="00F65600"/>
    <w:rsid w:val="00F669E9"/>
    <w:rsid w:val="00F71939"/>
    <w:rsid w:val="00F73962"/>
    <w:rsid w:val="00F940CE"/>
    <w:rsid w:val="00F95185"/>
    <w:rsid w:val="00F96FC9"/>
    <w:rsid w:val="00FA6497"/>
    <w:rsid w:val="00FA74EF"/>
    <w:rsid w:val="00FB1B20"/>
    <w:rsid w:val="00FB68AA"/>
    <w:rsid w:val="00FC3ABA"/>
    <w:rsid w:val="00FC51FD"/>
    <w:rsid w:val="00FD03CE"/>
    <w:rsid w:val="00FD1D48"/>
    <w:rsid w:val="00FD2EFD"/>
    <w:rsid w:val="00FD51B7"/>
    <w:rsid w:val="00FD6E55"/>
    <w:rsid w:val="00FD77FF"/>
    <w:rsid w:val="00FE2C49"/>
    <w:rsid w:val="00FE4176"/>
    <w:rsid w:val="00FE57F6"/>
    <w:rsid w:val="00FE580A"/>
    <w:rsid w:val="00FE7B63"/>
    <w:rsid w:val="00FF2EDA"/>
    <w:rsid w:val="010C6614"/>
    <w:rsid w:val="01230131"/>
    <w:rsid w:val="01473178"/>
    <w:rsid w:val="014E32E0"/>
    <w:rsid w:val="015D0D5E"/>
    <w:rsid w:val="0191071A"/>
    <w:rsid w:val="01A71FD9"/>
    <w:rsid w:val="01B228A1"/>
    <w:rsid w:val="01CA216C"/>
    <w:rsid w:val="01D02EB8"/>
    <w:rsid w:val="01D03B97"/>
    <w:rsid w:val="01D35FC9"/>
    <w:rsid w:val="01E37267"/>
    <w:rsid w:val="01EA4F83"/>
    <w:rsid w:val="01F30EF8"/>
    <w:rsid w:val="01F33470"/>
    <w:rsid w:val="01F61796"/>
    <w:rsid w:val="02027EF3"/>
    <w:rsid w:val="020967F0"/>
    <w:rsid w:val="021B4775"/>
    <w:rsid w:val="022A01BD"/>
    <w:rsid w:val="02551A35"/>
    <w:rsid w:val="025617F5"/>
    <w:rsid w:val="02581DD5"/>
    <w:rsid w:val="026E26AF"/>
    <w:rsid w:val="027C3466"/>
    <w:rsid w:val="02987B74"/>
    <w:rsid w:val="029A38EC"/>
    <w:rsid w:val="02AA2692"/>
    <w:rsid w:val="02B85E09"/>
    <w:rsid w:val="02C43723"/>
    <w:rsid w:val="02C57005"/>
    <w:rsid w:val="02C97D4E"/>
    <w:rsid w:val="02D062F1"/>
    <w:rsid w:val="02E6454A"/>
    <w:rsid w:val="02EF1850"/>
    <w:rsid w:val="02FD4DA6"/>
    <w:rsid w:val="030A7E53"/>
    <w:rsid w:val="03547F3F"/>
    <w:rsid w:val="03587E02"/>
    <w:rsid w:val="035B5688"/>
    <w:rsid w:val="03653EFA"/>
    <w:rsid w:val="036B6719"/>
    <w:rsid w:val="03A95FC3"/>
    <w:rsid w:val="03B154D8"/>
    <w:rsid w:val="03B2100E"/>
    <w:rsid w:val="03BC41C1"/>
    <w:rsid w:val="03C274DB"/>
    <w:rsid w:val="03CB5E83"/>
    <w:rsid w:val="03D70F0B"/>
    <w:rsid w:val="04084D54"/>
    <w:rsid w:val="04185410"/>
    <w:rsid w:val="04200CA3"/>
    <w:rsid w:val="042265E5"/>
    <w:rsid w:val="04315549"/>
    <w:rsid w:val="043A5700"/>
    <w:rsid w:val="0447301B"/>
    <w:rsid w:val="045779AD"/>
    <w:rsid w:val="047056F5"/>
    <w:rsid w:val="0479117C"/>
    <w:rsid w:val="049611CC"/>
    <w:rsid w:val="04B40D95"/>
    <w:rsid w:val="04B769D7"/>
    <w:rsid w:val="04BD77DE"/>
    <w:rsid w:val="04C0016D"/>
    <w:rsid w:val="04C913F0"/>
    <w:rsid w:val="04CD6C68"/>
    <w:rsid w:val="04CE534C"/>
    <w:rsid w:val="04D0170F"/>
    <w:rsid w:val="04D23AF8"/>
    <w:rsid w:val="04DE7148"/>
    <w:rsid w:val="04E45210"/>
    <w:rsid w:val="04ED064B"/>
    <w:rsid w:val="04F36269"/>
    <w:rsid w:val="04FC0AF4"/>
    <w:rsid w:val="051A6F66"/>
    <w:rsid w:val="051E25B2"/>
    <w:rsid w:val="053429C5"/>
    <w:rsid w:val="053578FC"/>
    <w:rsid w:val="053F7F25"/>
    <w:rsid w:val="05540447"/>
    <w:rsid w:val="056918CB"/>
    <w:rsid w:val="056D7096"/>
    <w:rsid w:val="057C0AF5"/>
    <w:rsid w:val="058510B0"/>
    <w:rsid w:val="05942874"/>
    <w:rsid w:val="05AA4171"/>
    <w:rsid w:val="05B004FB"/>
    <w:rsid w:val="05B118F8"/>
    <w:rsid w:val="05C018BB"/>
    <w:rsid w:val="05D47115"/>
    <w:rsid w:val="05E70C90"/>
    <w:rsid w:val="05E728FF"/>
    <w:rsid w:val="05F01560"/>
    <w:rsid w:val="05F2086C"/>
    <w:rsid w:val="05F25340"/>
    <w:rsid w:val="06090798"/>
    <w:rsid w:val="062F1BD9"/>
    <w:rsid w:val="064D0357"/>
    <w:rsid w:val="065A1D10"/>
    <w:rsid w:val="06823015"/>
    <w:rsid w:val="069B28BC"/>
    <w:rsid w:val="069E400C"/>
    <w:rsid w:val="06CC4290"/>
    <w:rsid w:val="06E22C36"/>
    <w:rsid w:val="06E630C2"/>
    <w:rsid w:val="06E93A50"/>
    <w:rsid w:val="06EA2A0A"/>
    <w:rsid w:val="071869D9"/>
    <w:rsid w:val="071C5490"/>
    <w:rsid w:val="073477BF"/>
    <w:rsid w:val="074277C6"/>
    <w:rsid w:val="07737512"/>
    <w:rsid w:val="07797D90"/>
    <w:rsid w:val="078A03D3"/>
    <w:rsid w:val="0795119E"/>
    <w:rsid w:val="07980065"/>
    <w:rsid w:val="07A13F88"/>
    <w:rsid w:val="07A21C63"/>
    <w:rsid w:val="07AB0349"/>
    <w:rsid w:val="07B15B08"/>
    <w:rsid w:val="07BF7EB9"/>
    <w:rsid w:val="07C3118F"/>
    <w:rsid w:val="07C73862"/>
    <w:rsid w:val="07E1653F"/>
    <w:rsid w:val="07EC7F51"/>
    <w:rsid w:val="07EE6EE6"/>
    <w:rsid w:val="07FB6822"/>
    <w:rsid w:val="07FF6FBF"/>
    <w:rsid w:val="08017F69"/>
    <w:rsid w:val="08064403"/>
    <w:rsid w:val="0811454E"/>
    <w:rsid w:val="08123F24"/>
    <w:rsid w:val="08207405"/>
    <w:rsid w:val="082B6330"/>
    <w:rsid w:val="08386908"/>
    <w:rsid w:val="085A6719"/>
    <w:rsid w:val="08686DF2"/>
    <w:rsid w:val="0874698D"/>
    <w:rsid w:val="087B3751"/>
    <w:rsid w:val="08842483"/>
    <w:rsid w:val="0888054E"/>
    <w:rsid w:val="088A5722"/>
    <w:rsid w:val="089332B7"/>
    <w:rsid w:val="089E0E96"/>
    <w:rsid w:val="08BA2E39"/>
    <w:rsid w:val="08C52D8C"/>
    <w:rsid w:val="08C70B71"/>
    <w:rsid w:val="08C914D7"/>
    <w:rsid w:val="08D85DA5"/>
    <w:rsid w:val="08E02242"/>
    <w:rsid w:val="08E94902"/>
    <w:rsid w:val="08F07447"/>
    <w:rsid w:val="08F8136C"/>
    <w:rsid w:val="08FA3980"/>
    <w:rsid w:val="08FA6D91"/>
    <w:rsid w:val="0908536A"/>
    <w:rsid w:val="09141D00"/>
    <w:rsid w:val="09414462"/>
    <w:rsid w:val="094F3BFD"/>
    <w:rsid w:val="095D5673"/>
    <w:rsid w:val="0978425B"/>
    <w:rsid w:val="09930045"/>
    <w:rsid w:val="099A2B3F"/>
    <w:rsid w:val="099E4DE2"/>
    <w:rsid w:val="09A26ADD"/>
    <w:rsid w:val="09A339CE"/>
    <w:rsid w:val="09B52349"/>
    <w:rsid w:val="09BF4FF9"/>
    <w:rsid w:val="09BF753B"/>
    <w:rsid w:val="09C12B5D"/>
    <w:rsid w:val="09C221FD"/>
    <w:rsid w:val="09D67E54"/>
    <w:rsid w:val="09E244F6"/>
    <w:rsid w:val="09E42A16"/>
    <w:rsid w:val="09E842DF"/>
    <w:rsid w:val="09F337E1"/>
    <w:rsid w:val="09F820EF"/>
    <w:rsid w:val="09FE29B2"/>
    <w:rsid w:val="0A023481"/>
    <w:rsid w:val="0A0A1858"/>
    <w:rsid w:val="0A0D0D0F"/>
    <w:rsid w:val="0A13426D"/>
    <w:rsid w:val="0A2543E3"/>
    <w:rsid w:val="0A295114"/>
    <w:rsid w:val="0A3F2CA4"/>
    <w:rsid w:val="0A424F95"/>
    <w:rsid w:val="0A4D1927"/>
    <w:rsid w:val="0A5E7FFD"/>
    <w:rsid w:val="0A7858C9"/>
    <w:rsid w:val="0A951569"/>
    <w:rsid w:val="0A9A7013"/>
    <w:rsid w:val="0AA730FB"/>
    <w:rsid w:val="0AAE0CA9"/>
    <w:rsid w:val="0AB65807"/>
    <w:rsid w:val="0AD619A2"/>
    <w:rsid w:val="0ADE2F3C"/>
    <w:rsid w:val="0AE933F3"/>
    <w:rsid w:val="0AF436B6"/>
    <w:rsid w:val="0AF66312"/>
    <w:rsid w:val="0AF7017B"/>
    <w:rsid w:val="0B474FD8"/>
    <w:rsid w:val="0B4F0607"/>
    <w:rsid w:val="0B67671C"/>
    <w:rsid w:val="0B892750"/>
    <w:rsid w:val="0B98567B"/>
    <w:rsid w:val="0BA42471"/>
    <w:rsid w:val="0BC26D6D"/>
    <w:rsid w:val="0BCE687D"/>
    <w:rsid w:val="0BCF3A20"/>
    <w:rsid w:val="0BD32CDD"/>
    <w:rsid w:val="0BDF05C2"/>
    <w:rsid w:val="0C032797"/>
    <w:rsid w:val="0C08413E"/>
    <w:rsid w:val="0C0E1B1E"/>
    <w:rsid w:val="0C0F7F67"/>
    <w:rsid w:val="0C2F4E16"/>
    <w:rsid w:val="0C395F24"/>
    <w:rsid w:val="0C403756"/>
    <w:rsid w:val="0C437B6B"/>
    <w:rsid w:val="0C4E09A1"/>
    <w:rsid w:val="0C5113FC"/>
    <w:rsid w:val="0C744154"/>
    <w:rsid w:val="0C9753C1"/>
    <w:rsid w:val="0C9C120B"/>
    <w:rsid w:val="0CB76BF9"/>
    <w:rsid w:val="0CBC026D"/>
    <w:rsid w:val="0CC20697"/>
    <w:rsid w:val="0CC35B1E"/>
    <w:rsid w:val="0CC93970"/>
    <w:rsid w:val="0CFB767D"/>
    <w:rsid w:val="0D1B6853"/>
    <w:rsid w:val="0D5F1783"/>
    <w:rsid w:val="0D6152AD"/>
    <w:rsid w:val="0D637A57"/>
    <w:rsid w:val="0D6905A9"/>
    <w:rsid w:val="0D6B406D"/>
    <w:rsid w:val="0D701E19"/>
    <w:rsid w:val="0D753087"/>
    <w:rsid w:val="0D780392"/>
    <w:rsid w:val="0D8A4305"/>
    <w:rsid w:val="0D8A430A"/>
    <w:rsid w:val="0D911BEB"/>
    <w:rsid w:val="0D9C1253"/>
    <w:rsid w:val="0DAE3A11"/>
    <w:rsid w:val="0DAF5C65"/>
    <w:rsid w:val="0DB80F1D"/>
    <w:rsid w:val="0DB8731C"/>
    <w:rsid w:val="0DBB0537"/>
    <w:rsid w:val="0DCA6256"/>
    <w:rsid w:val="0DCC4AB7"/>
    <w:rsid w:val="0DD411AC"/>
    <w:rsid w:val="0DED346A"/>
    <w:rsid w:val="0E124BC8"/>
    <w:rsid w:val="0E6D2F33"/>
    <w:rsid w:val="0E7B2058"/>
    <w:rsid w:val="0E803BEE"/>
    <w:rsid w:val="0E8A4519"/>
    <w:rsid w:val="0E9954B4"/>
    <w:rsid w:val="0EAB2412"/>
    <w:rsid w:val="0EC65420"/>
    <w:rsid w:val="0ED608B3"/>
    <w:rsid w:val="0ED87C76"/>
    <w:rsid w:val="0EE2002C"/>
    <w:rsid w:val="0F086D77"/>
    <w:rsid w:val="0F1D1B2D"/>
    <w:rsid w:val="0F213CE5"/>
    <w:rsid w:val="0F2A5FF8"/>
    <w:rsid w:val="0F2E395B"/>
    <w:rsid w:val="0F370963"/>
    <w:rsid w:val="0F397BDE"/>
    <w:rsid w:val="0F410916"/>
    <w:rsid w:val="0F445BE2"/>
    <w:rsid w:val="0F4B6819"/>
    <w:rsid w:val="0F55195B"/>
    <w:rsid w:val="0F601141"/>
    <w:rsid w:val="0F6239E3"/>
    <w:rsid w:val="0F653F2D"/>
    <w:rsid w:val="0F7258F5"/>
    <w:rsid w:val="0F873F4C"/>
    <w:rsid w:val="0F8B1035"/>
    <w:rsid w:val="0F974D77"/>
    <w:rsid w:val="0FA1275E"/>
    <w:rsid w:val="0FA36517"/>
    <w:rsid w:val="0FBB5569"/>
    <w:rsid w:val="0FDE750E"/>
    <w:rsid w:val="0FDF3286"/>
    <w:rsid w:val="0FF20AB6"/>
    <w:rsid w:val="0FF32712"/>
    <w:rsid w:val="0FF438B2"/>
    <w:rsid w:val="10022BB9"/>
    <w:rsid w:val="10042417"/>
    <w:rsid w:val="10203B0D"/>
    <w:rsid w:val="102173FB"/>
    <w:rsid w:val="1031679E"/>
    <w:rsid w:val="103709CC"/>
    <w:rsid w:val="103716BF"/>
    <w:rsid w:val="10445E57"/>
    <w:rsid w:val="104A6326"/>
    <w:rsid w:val="10527785"/>
    <w:rsid w:val="105B70D8"/>
    <w:rsid w:val="106317C1"/>
    <w:rsid w:val="107549AE"/>
    <w:rsid w:val="1076743D"/>
    <w:rsid w:val="10876522"/>
    <w:rsid w:val="108A3398"/>
    <w:rsid w:val="10A02856"/>
    <w:rsid w:val="10A86642"/>
    <w:rsid w:val="10AB4F16"/>
    <w:rsid w:val="10AC3EE9"/>
    <w:rsid w:val="10B12A65"/>
    <w:rsid w:val="10B4026F"/>
    <w:rsid w:val="10C765A7"/>
    <w:rsid w:val="10D83662"/>
    <w:rsid w:val="10DB0B9B"/>
    <w:rsid w:val="10FA566E"/>
    <w:rsid w:val="11194052"/>
    <w:rsid w:val="111A232E"/>
    <w:rsid w:val="11230C4F"/>
    <w:rsid w:val="11447FAC"/>
    <w:rsid w:val="115630D4"/>
    <w:rsid w:val="115831D4"/>
    <w:rsid w:val="117168CE"/>
    <w:rsid w:val="1185343E"/>
    <w:rsid w:val="118A01F9"/>
    <w:rsid w:val="11902A8A"/>
    <w:rsid w:val="119E201F"/>
    <w:rsid w:val="119F38A7"/>
    <w:rsid w:val="11B64DFB"/>
    <w:rsid w:val="11BF0768"/>
    <w:rsid w:val="11C3061B"/>
    <w:rsid w:val="11E126A8"/>
    <w:rsid w:val="11E62957"/>
    <w:rsid w:val="11F72B0F"/>
    <w:rsid w:val="120D5EA2"/>
    <w:rsid w:val="121C2721"/>
    <w:rsid w:val="121F7F32"/>
    <w:rsid w:val="122E0A12"/>
    <w:rsid w:val="123C2F27"/>
    <w:rsid w:val="12411E02"/>
    <w:rsid w:val="124D07A2"/>
    <w:rsid w:val="12505D75"/>
    <w:rsid w:val="12603C3F"/>
    <w:rsid w:val="129509BD"/>
    <w:rsid w:val="12A035C3"/>
    <w:rsid w:val="12AB389D"/>
    <w:rsid w:val="12B2725A"/>
    <w:rsid w:val="12B7313A"/>
    <w:rsid w:val="12BD3666"/>
    <w:rsid w:val="12BD65FB"/>
    <w:rsid w:val="12CC610E"/>
    <w:rsid w:val="12CE6CA6"/>
    <w:rsid w:val="12E06B8E"/>
    <w:rsid w:val="12E22503"/>
    <w:rsid w:val="12E73F33"/>
    <w:rsid w:val="13102371"/>
    <w:rsid w:val="133B1959"/>
    <w:rsid w:val="134E3261"/>
    <w:rsid w:val="13511FB4"/>
    <w:rsid w:val="137D33C2"/>
    <w:rsid w:val="137E5960"/>
    <w:rsid w:val="1394071F"/>
    <w:rsid w:val="13B42EBF"/>
    <w:rsid w:val="13D2765F"/>
    <w:rsid w:val="13E82401"/>
    <w:rsid w:val="13ED015D"/>
    <w:rsid w:val="13F4249E"/>
    <w:rsid w:val="13F541B2"/>
    <w:rsid w:val="140F4ED4"/>
    <w:rsid w:val="14104719"/>
    <w:rsid w:val="14411F94"/>
    <w:rsid w:val="14414D4A"/>
    <w:rsid w:val="14632429"/>
    <w:rsid w:val="146A40F0"/>
    <w:rsid w:val="14716C71"/>
    <w:rsid w:val="14781929"/>
    <w:rsid w:val="147D6074"/>
    <w:rsid w:val="14883EEC"/>
    <w:rsid w:val="14A051DA"/>
    <w:rsid w:val="14A946B6"/>
    <w:rsid w:val="14AA3E63"/>
    <w:rsid w:val="14AF624E"/>
    <w:rsid w:val="14BD4955"/>
    <w:rsid w:val="14C80F70"/>
    <w:rsid w:val="14CD1F79"/>
    <w:rsid w:val="14E914DA"/>
    <w:rsid w:val="14F61C80"/>
    <w:rsid w:val="15226753"/>
    <w:rsid w:val="15400323"/>
    <w:rsid w:val="1557566D"/>
    <w:rsid w:val="1559359E"/>
    <w:rsid w:val="15671D54"/>
    <w:rsid w:val="158756D2"/>
    <w:rsid w:val="15943D40"/>
    <w:rsid w:val="15990928"/>
    <w:rsid w:val="15C652DB"/>
    <w:rsid w:val="15D57719"/>
    <w:rsid w:val="15DC1781"/>
    <w:rsid w:val="15F20ABE"/>
    <w:rsid w:val="15F80BFE"/>
    <w:rsid w:val="1606466B"/>
    <w:rsid w:val="162437A1"/>
    <w:rsid w:val="16255AF4"/>
    <w:rsid w:val="1652746D"/>
    <w:rsid w:val="166659F9"/>
    <w:rsid w:val="1668534B"/>
    <w:rsid w:val="166E7BC7"/>
    <w:rsid w:val="167E347B"/>
    <w:rsid w:val="168D4939"/>
    <w:rsid w:val="16935BDD"/>
    <w:rsid w:val="169A5187"/>
    <w:rsid w:val="16A918FD"/>
    <w:rsid w:val="16D0536A"/>
    <w:rsid w:val="16DE7EE5"/>
    <w:rsid w:val="16E42F30"/>
    <w:rsid w:val="16E510F5"/>
    <w:rsid w:val="170E5DE5"/>
    <w:rsid w:val="17200C72"/>
    <w:rsid w:val="173D6CAC"/>
    <w:rsid w:val="1750358A"/>
    <w:rsid w:val="1765490B"/>
    <w:rsid w:val="177322DD"/>
    <w:rsid w:val="179077AA"/>
    <w:rsid w:val="17C36FE9"/>
    <w:rsid w:val="17D67DC6"/>
    <w:rsid w:val="17E03B1D"/>
    <w:rsid w:val="18134564"/>
    <w:rsid w:val="18236AF2"/>
    <w:rsid w:val="182C1FA8"/>
    <w:rsid w:val="18363C40"/>
    <w:rsid w:val="183E37DD"/>
    <w:rsid w:val="18547F57"/>
    <w:rsid w:val="185C1918"/>
    <w:rsid w:val="186500A0"/>
    <w:rsid w:val="186C72F5"/>
    <w:rsid w:val="1878680B"/>
    <w:rsid w:val="187C2253"/>
    <w:rsid w:val="18810C3B"/>
    <w:rsid w:val="18A920E9"/>
    <w:rsid w:val="18B50568"/>
    <w:rsid w:val="18BB7BEB"/>
    <w:rsid w:val="18DA5BCC"/>
    <w:rsid w:val="18F64E68"/>
    <w:rsid w:val="19063515"/>
    <w:rsid w:val="19075629"/>
    <w:rsid w:val="190D0C73"/>
    <w:rsid w:val="19313FC5"/>
    <w:rsid w:val="19355BD6"/>
    <w:rsid w:val="193D78FC"/>
    <w:rsid w:val="194B1127"/>
    <w:rsid w:val="19615755"/>
    <w:rsid w:val="196565AA"/>
    <w:rsid w:val="198A015E"/>
    <w:rsid w:val="199C4A9A"/>
    <w:rsid w:val="19AA6F48"/>
    <w:rsid w:val="19BE7198"/>
    <w:rsid w:val="19C2134B"/>
    <w:rsid w:val="19D02CCC"/>
    <w:rsid w:val="19D258F1"/>
    <w:rsid w:val="19E13E11"/>
    <w:rsid w:val="19F416DC"/>
    <w:rsid w:val="1A0E2FC3"/>
    <w:rsid w:val="1A0F193E"/>
    <w:rsid w:val="1A136F55"/>
    <w:rsid w:val="1A203925"/>
    <w:rsid w:val="1A2D77A3"/>
    <w:rsid w:val="1A381F10"/>
    <w:rsid w:val="1A5A7B13"/>
    <w:rsid w:val="1A6039C1"/>
    <w:rsid w:val="1A642D06"/>
    <w:rsid w:val="1A6652FC"/>
    <w:rsid w:val="1A8A3113"/>
    <w:rsid w:val="1A8C5DB8"/>
    <w:rsid w:val="1AA2738A"/>
    <w:rsid w:val="1AAD2B49"/>
    <w:rsid w:val="1AAD3555"/>
    <w:rsid w:val="1ABF7490"/>
    <w:rsid w:val="1AC41FAC"/>
    <w:rsid w:val="1AC65CDB"/>
    <w:rsid w:val="1AE314FF"/>
    <w:rsid w:val="1AE77ACD"/>
    <w:rsid w:val="1AF570A4"/>
    <w:rsid w:val="1B031585"/>
    <w:rsid w:val="1B0903F2"/>
    <w:rsid w:val="1B0D6EF9"/>
    <w:rsid w:val="1B21651D"/>
    <w:rsid w:val="1B2B55D1"/>
    <w:rsid w:val="1B447873"/>
    <w:rsid w:val="1B4961AA"/>
    <w:rsid w:val="1B516A8E"/>
    <w:rsid w:val="1B6D7998"/>
    <w:rsid w:val="1B8535FB"/>
    <w:rsid w:val="1B9C2395"/>
    <w:rsid w:val="1BB73C45"/>
    <w:rsid w:val="1BBC26CD"/>
    <w:rsid w:val="1BE216A3"/>
    <w:rsid w:val="1BFB2F7E"/>
    <w:rsid w:val="1C0C7904"/>
    <w:rsid w:val="1C152B77"/>
    <w:rsid w:val="1C2D0D45"/>
    <w:rsid w:val="1C3A3F25"/>
    <w:rsid w:val="1C586866"/>
    <w:rsid w:val="1C625E71"/>
    <w:rsid w:val="1C684A70"/>
    <w:rsid w:val="1CA14658"/>
    <w:rsid w:val="1CB05D8E"/>
    <w:rsid w:val="1CC15E4F"/>
    <w:rsid w:val="1CCD5532"/>
    <w:rsid w:val="1CD6401E"/>
    <w:rsid w:val="1CE617B0"/>
    <w:rsid w:val="1CFA34AD"/>
    <w:rsid w:val="1CFD3BC7"/>
    <w:rsid w:val="1D0A752D"/>
    <w:rsid w:val="1D2332EB"/>
    <w:rsid w:val="1D24677C"/>
    <w:rsid w:val="1D3A1AFC"/>
    <w:rsid w:val="1D5801D4"/>
    <w:rsid w:val="1D64779F"/>
    <w:rsid w:val="1D6C29AB"/>
    <w:rsid w:val="1D7E227F"/>
    <w:rsid w:val="1D801443"/>
    <w:rsid w:val="1DAC30CB"/>
    <w:rsid w:val="1DD43E88"/>
    <w:rsid w:val="1DD61315"/>
    <w:rsid w:val="1DDF1C07"/>
    <w:rsid w:val="1DE311AE"/>
    <w:rsid w:val="1DE9162A"/>
    <w:rsid w:val="1DFD543F"/>
    <w:rsid w:val="1E0B6777"/>
    <w:rsid w:val="1E0F402B"/>
    <w:rsid w:val="1E1D27C1"/>
    <w:rsid w:val="1E20045D"/>
    <w:rsid w:val="1E3416DE"/>
    <w:rsid w:val="1E3F7776"/>
    <w:rsid w:val="1E426EBA"/>
    <w:rsid w:val="1E537319"/>
    <w:rsid w:val="1E7955B6"/>
    <w:rsid w:val="1E8210BA"/>
    <w:rsid w:val="1E8852AF"/>
    <w:rsid w:val="1E8F5E77"/>
    <w:rsid w:val="1E90105B"/>
    <w:rsid w:val="1E961F37"/>
    <w:rsid w:val="1E973E0C"/>
    <w:rsid w:val="1EA2077B"/>
    <w:rsid w:val="1EAC6A29"/>
    <w:rsid w:val="1EC41FC5"/>
    <w:rsid w:val="1ED8437B"/>
    <w:rsid w:val="1EE571A7"/>
    <w:rsid w:val="1EE71F32"/>
    <w:rsid w:val="1EE72E4B"/>
    <w:rsid w:val="1EED1DFF"/>
    <w:rsid w:val="1EF9752C"/>
    <w:rsid w:val="1F0806FE"/>
    <w:rsid w:val="1F0A5D33"/>
    <w:rsid w:val="1F0D396C"/>
    <w:rsid w:val="1F4153C3"/>
    <w:rsid w:val="1F77234E"/>
    <w:rsid w:val="1F8359DC"/>
    <w:rsid w:val="1F853EAB"/>
    <w:rsid w:val="1F8930E3"/>
    <w:rsid w:val="1F8F4381"/>
    <w:rsid w:val="1FAE40E9"/>
    <w:rsid w:val="1FC13D43"/>
    <w:rsid w:val="1FC85AE5"/>
    <w:rsid w:val="1FE44C09"/>
    <w:rsid w:val="20085629"/>
    <w:rsid w:val="201E74B3"/>
    <w:rsid w:val="202D7712"/>
    <w:rsid w:val="20346CD6"/>
    <w:rsid w:val="203F2492"/>
    <w:rsid w:val="204031ED"/>
    <w:rsid w:val="204809D3"/>
    <w:rsid w:val="20496FD1"/>
    <w:rsid w:val="205D4EFD"/>
    <w:rsid w:val="20747A48"/>
    <w:rsid w:val="208D63E6"/>
    <w:rsid w:val="209239FD"/>
    <w:rsid w:val="20950015"/>
    <w:rsid w:val="20993C68"/>
    <w:rsid w:val="20BB11A5"/>
    <w:rsid w:val="20CA7303"/>
    <w:rsid w:val="20EE7822"/>
    <w:rsid w:val="20F05D37"/>
    <w:rsid w:val="20FE6D86"/>
    <w:rsid w:val="21046C04"/>
    <w:rsid w:val="21205F3D"/>
    <w:rsid w:val="21305544"/>
    <w:rsid w:val="21537630"/>
    <w:rsid w:val="2177331E"/>
    <w:rsid w:val="217750CC"/>
    <w:rsid w:val="21780EC5"/>
    <w:rsid w:val="217D2376"/>
    <w:rsid w:val="218547D2"/>
    <w:rsid w:val="21964358"/>
    <w:rsid w:val="219F2875"/>
    <w:rsid w:val="21C34C8F"/>
    <w:rsid w:val="21D84004"/>
    <w:rsid w:val="21FC40AF"/>
    <w:rsid w:val="22100614"/>
    <w:rsid w:val="223A0F72"/>
    <w:rsid w:val="223D4A63"/>
    <w:rsid w:val="223E1F05"/>
    <w:rsid w:val="224B26AD"/>
    <w:rsid w:val="224C2AAF"/>
    <w:rsid w:val="22663614"/>
    <w:rsid w:val="22885052"/>
    <w:rsid w:val="228C62F0"/>
    <w:rsid w:val="22926CD2"/>
    <w:rsid w:val="22983B0C"/>
    <w:rsid w:val="22C6288B"/>
    <w:rsid w:val="22C62F9D"/>
    <w:rsid w:val="22CC7C80"/>
    <w:rsid w:val="22E1303B"/>
    <w:rsid w:val="2307513E"/>
    <w:rsid w:val="230C30F4"/>
    <w:rsid w:val="231E4A82"/>
    <w:rsid w:val="23326295"/>
    <w:rsid w:val="23367F59"/>
    <w:rsid w:val="23464A4E"/>
    <w:rsid w:val="235631CB"/>
    <w:rsid w:val="23574826"/>
    <w:rsid w:val="237613B4"/>
    <w:rsid w:val="23765FC2"/>
    <w:rsid w:val="238D6EDA"/>
    <w:rsid w:val="23C36ED2"/>
    <w:rsid w:val="23D402F8"/>
    <w:rsid w:val="23D9206E"/>
    <w:rsid w:val="23DA6A35"/>
    <w:rsid w:val="23DC3E70"/>
    <w:rsid w:val="23DF51AB"/>
    <w:rsid w:val="23E96F25"/>
    <w:rsid w:val="23EC4293"/>
    <w:rsid w:val="23F23861"/>
    <w:rsid w:val="23F24EDE"/>
    <w:rsid w:val="23F513FE"/>
    <w:rsid w:val="23F71FBF"/>
    <w:rsid w:val="23F728DF"/>
    <w:rsid w:val="240F1E37"/>
    <w:rsid w:val="242D1584"/>
    <w:rsid w:val="24343749"/>
    <w:rsid w:val="244C34DC"/>
    <w:rsid w:val="24500B2A"/>
    <w:rsid w:val="246A53BC"/>
    <w:rsid w:val="246E0968"/>
    <w:rsid w:val="24935830"/>
    <w:rsid w:val="24937028"/>
    <w:rsid w:val="249A67AA"/>
    <w:rsid w:val="24AF2DCF"/>
    <w:rsid w:val="24BC54AE"/>
    <w:rsid w:val="24C20039"/>
    <w:rsid w:val="24C43915"/>
    <w:rsid w:val="24E072D5"/>
    <w:rsid w:val="24EB1D39"/>
    <w:rsid w:val="25023DDB"/>
    <w:rsid w:val="251A2000"/>
    <w:rsid w:val="2521689A"/>
    <w:rsid w:val="25245FBF"/>
    <w:rsid w:val="252873A4"/>
    <w:rsid w:val="254456D4"/>
    <w:rsid w:val="254F08C6"/>
    <w:rsid w:val="254F0EBD"/>
    <w:rsid w:val="256B7306"/>
    <w:rsid w:val="25976726"/>
    <w:rsid w:val="25985A5B"/>
    <w:rsid w:val="259C0BA3"/>
    <w:rsid w:val="25C603D0"/>
    <w:rsid w:val="25D777FB"/>
    <w:rsid w:val="25ED24BA"/>
    <w:rsid w:val="25FD71AD"/>
    <w:rsid w:val="26233A75"/>
    <w:rsid w:val="263F7A55"/>
    <w:rsid w:val="26682386"/>
    <w:rsid w:val="26740622"/>
    <w:rsid w:val="2678034B"/>
    <w:rsid w:val="269D137D"/>
    <w:rsid w:val="26A36C42"/>
    <w:rsid w:val="26D44D6F"/>
    <w:rsid w:val="26ED3DDE"/>
    <w:rsid w:val="26FC0350"/>
    <w:rsid w:val="270726BB"/>
    <w:rsid w:val="2708228B"/>
    <w:rsid w:val="27127645"/>
    <w:rsid w:val="27191B95"/>
    <w:rsid w:val="272F2947"/>
    <w:rsid w:val="27406510"/>
    <w:rsid w:val="27406C46"/>
    <w:rsid w:val="276053C9"/>
    <w:rsid w:val="277A10F3"/>
    <w:rsid w:val="277D3460"/>
    <w:rsid w:val="27914C7B"/>
    <w:rsid w:val="27A6025F"/>
    <w:rsid w:val="27A9047A"/>
    <w:rsid w:val="27A97D0C"/>
    <w:rsid w:val="27B6468A"/>
    <w:rsid w:val="27BB18BA"/>
    <w:rsid w:val="280B47C0"/>
    <w:rsid w:val="284B0101"/>
    <w:rsid w:val="28677E8D"/>
    <w:rsid w:val="28887BBF"/>
    <w:rsid w:val="28977F92"/>
    <w:rsid w:val="28A47F72"/>
    <w:rsid w:val="28B36E12"/>
    <w:rsid w:val="28B40207"/>
    <w:rsid w:val="28E15521"/>
    <w:rsid w:val="28ED3EC6"/>
    <w:rsid w:val="28FF113A"/>
    <w:rsid w:val="2907634A"/>
    <w:rsid w:val="290817D7"/>
    <w:rsid w:val="291130B4"/>
    <w:rsid w:val="29312005"/>
    <w:rsid w:val="29402072"/>
    <w:rsid w:val="29427770"/>
    <w:rsid w:val="2943145A"/>
    <w:rsid w:val="294B0EAB"/>
    <w:rsid w:val="294F4A19"/>
    <w:rsid w:val="295D7D32"/>
    <w:rsid w:val="2969358F"/>
    <w:rsid w:val="297E0A40"/>
    <w:rsid w:val="298E7AFD"/>
    <w:rsid w:val="299D352F"/>
    <w:rsid w:val="29A05D20"/>
    <w:rsid w:val="29A24CB1"/>
    <w:rsid w:val="29A76073"/>
    <w:rsid w:val="29A954F2"/>
    <w:rsid w:val="29B55A0E"/>
    <w:rsid w:val="29BF063B"/>
    <w:rsid w:val="29C407F5"/>
    <w:rsid w:val="29ED5888"/>
    <w:rsid w:val="29ED7574"/>
    <w:rsid w:val="29FD0B8C"/>
    <w:rsid w:val="2A010B28"/>
    <w:rsid w:val="2A112F1A"/>
    <w:rsid w:val="2A14420A"/>
    <w:rsid w:val="2A1B01A2"/>
    <w:rsid w:val="2A2F7F52"/>
    <w:rsid w:val="2A3034C3"/>
    <w:rsid w:val="2A4E06CB"/>
    <w:rsid w:val="2A550057"/>
    <w:rsid w:val="2A7205C6"/>
    <w:rsid w:val="2A734C4C"/>
    <w:rsid w:val="2A790107"/>
    <w:rsid w:val="2A806F49"/>
    <w:rsid w:val="2A9016DB"/>
    <w:rsid w:val="2AB2641A"/>
    <w:rsid w:val="2AF23A16"/>
    <w:rsid w:val="2AF50A0C"/>
    <w:rsid w:val="2B0D1047"/>
    <w:rsid w:val="2B0F2C57"/>
    <w:rsid w:val="2B1174FF"/>
    <w:rsid w:val="2B136354"/>
    <w:rsid w:val="2B1746E4"/>
    <w:rsid w:val="2B193698"/>
    <w:rsid w:val="2B1C6EB8"/>
    <w:rsid w:val="2B27251C"/>
    <w:rsid w:val="2B281768"/>
    <w:rsid w:val="2B417FE5"/>
    <w:rsid w:val="2B515816"/>
    <w:rsid w:val="2B547E1E"/>
    <w:rsid w:val="2B6A5CA2"/>
    <w:rsid w:val="2B6B2BFE"/>
    <w:rsid w:val="2B812281"/>
    <w:rsid w:val="2B9124AA"/>
    <w:rsid w:val="2BAC6C9A"/>
    <w:rsid w:val="2BB05DAB"/>
    <w:rsid w:val="2BC51F7C"/>
    <w:rsid w:val="2BD8776E"/>
    <w:rsid w:val="2BDA0BB7"/>
    <w:rsid w:val="2BE041B6"/>
    <w:rsid w:val="2C03795A"/>
    <w:rsid w:val="2C0A54AD"/>
    <w:rsid w:val="2C0D0D85"/>
    <w:rsid w:val="2C0E56CF"/>
    <w:rsid w:val="2C1765BC"/>
    <w:rsid w:val="2C2E7508"/>
    <w:rsid w:val="2C427CA1"/>
    <w:rsid w:val="2C4A553B"/>
    <w:rsid w:val="2C4D43FD"/>
    <w:rsid w:val="2C872D3A"/>
    <w:rsid w:val="2C8E029E"/>
    <w:rsid w:val="2C994921"/>
    <w:rsid w:val="2CBA67B5"/>
    <w:rsid w:val="2CBD30E4"/>
    <w:rsid w:val="2CDA259B"/>
    <w:rsid w:val="2CF41CC7"/>
    <w:rsid w:val="2D0A773C"/>
    <w:rsid w:val="2D0B1D7D"/>
    <w:rsid w:val="2D0F4D53"/>
    <w:rsid w:val="2D1541BA"/>
    <w:rsid w:val="2D1C5D12"/>
    <w:rsid w:val="2D224336"/>
    <w:rsid w:val="2D2A62FE"/>
    <w:rsid w:val="2D3A02E2"/>
    <w:rsid w:val="2D7230EC"/>
    <w:rsid w:val="2D846C7F"/>
    <w:rsid w:val="2DBC3792"/>
    <w:rsid w:val="2DC25D53"/>
    <w:rsid w:val="2DC31ECD"/>
    <w:rsid w:val="2DC4350A"/>
    <w:rsid w:val="2DCE6667"/>
    <w:rsid w:val="2DDA0FB0"/>
    <w:rsid w:val="2DF66B23"/>
    <w:rsid w:val="2DFE5E8C"/>
    <w:rsid w:val="2E1E5D3C"/>
    <w:rsid w:val="2E3B2871"/>
    <w:rsid w:val="2E5F5C36"/>
    <w:rsid w:val="2E731D28"/>
    <w:rsid w:val="2E814749"/>
    <w:rsid w:val="2E8342AB"/>
    <w:rsid w:val="2EDB339A"/>
    <w:rsid w:val="2EF7784D"/>
    <w:rsid w:val="2F276953"/>
    <w:rsid w:val="2F4F1437"/>
    <w:rsid w:val="2F690B3E"/>
    <w:rsid w:val="2F765818"/>
    <w:rsid w:val="2F766A05"/>
    <w:rsid w:val="2F781B66"/>
    <w:rsid w:val="2F856791"/>
    <w:rsid w:val="2F865FDC"/>
    <w:rsid w:val="2F927AAF"/>
    <w:rsid w:val="2FB34612"/>
    <w:rsid w:val="2FB5242A"/>
    <w:rsid w:val="2FC11CA2"/>
    <w:rsid w:val="2FC5794B"/>
    <w:rsid w:val="2FC736C3"/>
    <w:rsid w:val="2FDB283C"/>
    <w:rsid w:val="2FDE316B"/>
    <w:rsid w:val="2FDF2142"/>
    <w:rsid w:val="2FF14618"/>
    <w:rsid w:val="3002294D"/>
    <w:rsid w:val="300E147C"/>
    <w:rsid w:val="300E30A0"/>
    <w:rsid w:val="303905AA"/>
    <w:rsid w:val="30531922"/>
    <w:rsid w:val="306340AC"/>
    <w:rsid w:val="30687C32"/>
    <w:rsid w:val="306F6AD6"/>
    <w:rsid w:val="30761105"/>
    <w:rsid w:val="3086532C"/>
    <w:rsid w:val="308D4C15"/>
    <w:rsid w:val="30930D2E"/>
    <w:rsid w:val="30A13F5D"/>
    <w:rsid w:val="30AF0AF4"/>
    <w:rsid w:val="30BD1D5A"/>
    <w:rsid w:val="30C96B1B"/>
    <w:rsid w:val="31000CF0"/>
    <w:rsid w:val="3113431C"/>
    <w:rsid w:val="314A2F1A"/>
    <w:rsid w:val="314D2BB0"/>
    <w:rsid w:val="315017E0"/>
    <w:rsid w:val="31600528"/>
    <w:rsid w:val="31687BA1"/>
    <w:rsid w:val="316D713A"/>
    <w:rsid w:val="31710983"/>
    <w:rsid w:val="318D6246"/>
    <w:rsid w:val="319B550D"/>
    <w:rsid w:val="31A1054D"/>
    <w:rsid w:val="31B60A94"/>
    <w:rsid w:val="31C116F3"/>
    <w:rsid w:val="320F286C"/>
    <w:rsid w:val="32282C05"/>
    <w:rsid w:val="32455A6F"/>
    <w:rsid w:val="324858DB"/>
    <w:rsid w:val="324F40B8"/>
    <w:rsid w:val="32587AA9"/>
    <w:rsid w:val="326B70E6"/>
    <w:rsid w:val="326C1DB1"/>
    <w:rsid w:val="32760CD8"/>
    <w:rsid w:val="329D5F11"/>
    <w:rsid w:val="329F18E5"/>
    <w:rsid w:val="32A02C39"/>
    <w:rsid w:val="32A41DF5"/>
    <w:rsid w:val="32B53CA7"/>
    <w:rsid w:val="32B81A36"/>
    <w:rsid w:val="32BB4327"/>
    <w:rsid w:val="32CC43C5"/>
    <w:rsid w:val="32D14A41"/>
    <w:rsid w:val="32D95271"/>
    <w:rsid w:val="32DA4EEE"/>
    <w:rsid w:val="33024A12"/>
    <w:rsid w:val="33165AE2"/>
    <w:rsid w:val="33197908"/>
    <w:rsid w:val="331C5AD4"/>
    <w:rsid w:val="332F0517"/>
    <w:rsid w:val="333E1EEE"/>
    <w:rsid w:val="334B460B"/>
    <w:rsid w:val="33573412"/>
    <w:rsid w:val="33670EC3"/>
    <w:rsid w:val="33690A51"/>
    <w:rsid w:val="336C3415"/>
    <w:rsid w:val="3374797E"/>
    <w:rsid w:val="337C6BFF"/>
    <w:rsid w:val="33A01FF8"/>
    <w:rsid w:val="33B16B0F"/>
    <w:rsid w:val="33BE2666"/>
    <w:rsid w:val="33C817B8"/>
    <w:rsid w:val="33CD7E7A"/>
    <w:rsid w:val="33E36995"/>
    <w:rsid w:val="33F06A9A"/>
    <w:rsid w:val="341A2E14"/>
    <w:rsid w:val="34272982"/>
    <w:rsid w:val="342A06C4"/>
    <w:rsid w:val="343A5A3C"/>
    <w:rsid w:val="344312A7"/>
    <w:rsid w:val="3449068A"/>
    <w:rsid w:val="345A3F65"/>
    <w:rsid w:val="34674214"/>
    <w:rsid w:val="347305DB"/>
    <w:rsid w:val="34773CDD"/>
    <w:rsid w:val="3491331C"/>
    <w:rsid w:val="349A5CAA"/>
    <w:rsid w:val="349F6384"/>
    <w:rsid w:val="34BF705E"/>
    <w:rsid w:val="34CD53FB"/>
    <w:rsid w:val="34CE222E"/>
    <w:rsid w:val="34DA2A00"/>
    <w:rsid w:val="34E61A46"/>
    <w:rsid w:val="34EE36E2"/>
    <w:rsid w:val="34F11261"/>
    <w:rsid w:val="35031B84"/>
    <w:rsid w:val="350E68EB"/>
    <w:rsid w:val="352865F9"/>
    <w:rsid w:val="35491FE4"/>
    <w:rsid w:val="354F01B1"/>
    <w:rsid w:val="355702DD"/>
    <w:rsid w:val="35626CFD"/>
    <w:rsid w:val="35842ED7"/>
    <w:rsid w:val="3587007C"/>
    <w:rsid w:val="359D0A22"/>
    <w:rsid w:val="35B13F08"/>
    <w:rsid w:val="35CB5EC4"/>
    <w:rsid w:val="35D2691D"/>
    <w:rsid w:val="35D74874"/>
    <w:rsid w:val="36085F00"/>
    <w:rsid w:val="360B0081"/>
    <w:rsid w:val="361D7AAB"/>
    <w:rsid w:val="362D7FF8"/>
    <w:rsid w:val="363A4D2E"/>
    <w:rsid w:val="364165C2"/>
    <w:rsid w:val="36465C29"/>
    <w:rsid w:val="36565E43"/>
    <w:rsid w:val="36677305"/>
    <w:rsid w:val="367414C5"/>
    <w:rsid w:val="36754AA0"/>
    <w:rsid w:val="367972A2"/>
    <w:rsid w:val="3697421C"/>
    <w:rsid w:val="36AC727C"/>
    <w:rsid w:val="36C4095C"/>
    <w:rsid w:val="36D16C03"/>
    <w:rsid w:val="36D87F64"/>
    <w:rsid w:val="36DC0D99"/>
    <w:rsid w:val="36F2569E"/>
    <w:rsid w:val="36F54FB9"/>
    <w:rsid w:val="37175297"/>
    <w:rsid w:val="37207A8A"/>
    <w:rsid w:val="37305FF2"/>
    <w:rsid w:val="3740019B"/>
    <w:rsid w:val="37520B05"/>
    <w:rsid w:val="377D109A"/>
    <w:rsid w:val="377F0D27"/>
    <w:rsid w:val="379252A0"/>
    <w:rsid w:val="37984689"/>
    <w:rsid w:val="37985945"/>
    <w:rsid w:val="379D07AC"/>
    <w:rsid w:val="37B17E35"/>
    <w:rsid w:val="37B46376"/>
    <w:rsid w:val="37C15482"/>
    <w:rsid w:val="37C721BC"/>
    <w:rsid w:val="37CC2DD8"/>
    <w:rsid w:val="37D4145C"/>
    <w:rsid w:val="37D526F5"/>
    <w:rsid w:val="37D82BFD"/>
    <w:rsid w:val="37E238E7"/>
    <w:rsid w:val="37E4406B"/>
    <w:rsid w:val="37F45271"/>
    <w:rsid w:val="380045EE"/>
    <w:rsid w:val="38050453"/>
    <w:rsid w:val="380E2A0A"/>
    <w:rsid w:val="383833B9"/>
    <w:rsid w:val="384A30E3"/>
    <w:rsid w:val="384C53E3"/>
    <w:rsid w:val="38562ACE"/>
    <w:rsid w:val="386B326B"/>
    <w:rsid w:val="38701488"/>
    <w:rsid w:val="38791911"/>
    <w:rsid w:val="38842138"/>
    <w:rsid w:val="389375A3"/>
    <w:rsid w:val="38A5758D"/>
    <w:rsid w:val="38BC7D9C"/>
    <w:rsid w:val="38BD6F1E"/>
    <w:rsid w:val="38D72B27"/>
    <w:rsid w:val="38F606D4"/>
    <w:rsid w:val="39194315"/>
    <w:rsid w:val="391F6D70"/>
    <w:rsid w:val="393873DF"/>
    <w:rsid w:val="39391F69"/>
    <w:rsid w:val="394925BC"/>
    <w:rsid w:val="39542837"/>
    <w:rsid w:val="395A224E"/>
    <w:rsid w:val="396D2DBD"/>
    <w:rsid w:val="396E78A8"/>
    <w:rsid w:val="3976152F"/>
    <w:rsid w:val="39762311"/>
    <w:rsid w:val="398C14D9"/>
    <w:rsid w:val="39922270"/>
    <w:rsid w:val="39935572"/>
    <w:rsid w:val="39AA6D2E"/>
    <w:rsid w:val="39AF5FE9"/>
    <w:rsid w:val="39B84EB9"/>
    <w:rsid w:val="39CC0A7C"/>
    <w:rsid w:val="39D914D3"/>
    <w:rsid w:val="39DA3FF3"/>
    <w:rsid w:val="39F20614"/>
    <w:rsid w:val="39F30D07"/>
    <w:rsid w:val="39FA2602"/>
    <w:rsid w:val="3A1439A9"/>
    <w:rsid w:val="3A2656C1"/>
    <w:rsid w:val="3A2D404C"/>
    <w:rsid w:val="3A2F1A24"/>
    <w:rsid w:val="3A3057C7"/>
    <w:rsid w:val="3A502507"/>
    <w:rsid w:val="3A552CC3"/>
    <w:rsid w:val="3A6A56B0"/>
    <w:rsid w:val="3A6D479D"/>
    <w:rsid w:val="3A6F6E31"/>
    <w:rsid w:val="3A7116D6"/>
    <w:rsid w:val="3AA21F24"/>
    <w:rsid w:val="3AA23B65"/>
    <w:rsid w:val="3AA87A44"/>
    <w:rsid w:val="3AAB3228"/>
    <w:rsid w:val="3AB731F0"/>
    <w:rsid w:val="3ABC2D9F"/>
    <w:rsid w:val="3AE554FF"/>
    <w:rsid w:val="3AE64503"/>
    <w:rsid w:val="3B167EA0"/>
    <w:rsid w:val="3B270FA4"/>
    <w:rsid w:val="3B2C4A2C"/>
    <w:rsid w:val="3B4C61CB"/>
    <w:rsid w:val="3B541395"/>
    <w:rsid w:val="3B761080"/>
    <w:rsid w:val="3B8C2D51"/>
    <w:rsid w:val="3BAB497E"/>
    <w:rsid w:val="3BAE2539"/>
    <w:rsid w:val="3BB16313"/>
    <w:rsid w:val="3BB55C73"/>
    <w:rsid w:val="3BD13747"/>
    <w:rsid w:val="3BD4706A"/>
    <w:rsid w:val="3BE35D9E"/>
    <w:rsid w:val="3BEF2F2E"/>
    <w:rsid w:val="3BF76528"/>
    <w:rsid w:val="3BFA0EB8"/>
    <w:rsid w:val="3C0951C4"/>
    <w:rsid w:val="3C0D0EC8"/>
    <w:rsid w:val="3C1A101E"/>
    <w:rsid w:val="3C202B7C"/>
    <w:rsid w:val="3C2114CE"/>
    <w:rsid w:val="3C261512"/>
    <w:rsid w:val="3C265E2A"/>
    <w:rsid w:val="3C332B0E"/>
    <w:rsid w:val="3C4D0385"/>
    <w:rsid w:val="3C50632E"/>
    <w:rsid w:val="3C792151"/>
    <w:rsid w:val="3C7A1154"/>
    <w:rsid w:val="3C7C43CD"/>
    <w:rsid w:val="3C801F1A"/>
    <w:rsid w:val="3C8D773A"/>
    <w:rsid w:val="3CDF4E4E"/>
    <w:rsid w:val="3D256911"/>
    <w:rsid w:val="3D295334"/>
    <w:rsid w:val="3D352E9B"/>
    <w:rsid w:val="3D3A5E28"/>
    <w:rsid w:val="3D52587D"/>
    <w:rsid w:val="3D80403D"/>
    <w:rsid w:val="3D8C461C"/>
    <w:rsid w:val="3D8C79A3"/>
    <w:rsid w:val="3D903284"/>
    <w:rsid w:val="3D924C80"/>
    <w:rsid w:val="3D9304FD"/>
    <w:rsid w:val="3DA16318"/>
    <w:rsid w:val="3DAC5CA6"/>
    <w:rsid w:val="3DB92177"/>
    <w:rsid w:val="3DC35B00"/>
    <w:rsid w:val="3DCD6BAB"/>
    <w:rsid w:val="3DE14104"/>
    <w:rsid w:val="3DF17B5D"/>
    <w:rsid w:val="3E1CB29E"/>
    <w:rsid w:val="3E1D6DE0"/>
    <w:rsid w:val="3E215708"/>
    <w:rsid w:val="3E2A6D0B"/>
    <w:rsid w:val="3E4405D4"/>
    <w:rsid w:val="3E4550C2"/>
    <w:rsid w:val="3E455B20"/>
    <w:rsid w:val="3E500178"/>
    <w:rsid w:val="3E53761E"/>
    <w:rsid w:val="3E5B3088"/>
    <w:rsid w:val="3E5B57B2"/>
    <w:rsid w:val="3E5C147A"/>
    <w:rsid w:val="3E6D0B07"/>
    <w:rsid w:val="3E7566DA"/>
    <w:rsid w:val="3E7E4F0C"/>
    <w:rsid w:val="3E8F04BB"/>
    <w:rsid w:val="3EA61F38"/>
    <w:rsid w:val="3EA93A1C"/>
    <w:rsid w:val="3EC53E95"/>
    <w:rsid w:val="3ECC206A"/>
    <w:rsid w:val="3EDC6CF1"/>
    <w:rsid w:val="3EE12ED2"/>
    <w:rsid w:val="3EF141B2"/>
    <w:rsid w:val="3EF363D5"/>
    <w:rsid w:val="3EF73C9E"/>
    <w:rsid w:val="3EF95BF4"/>
    <w:rsid w:val="3EFA7CF0"/>
    <w:rsid w:val="3F12422F"/>
    <w:rsid w:val="3F1328EC"/>
    <w:rsid w:val="3F133261"/>
    <w:rsid w:val="3F196761"/>
    <w:rsid w:val="3F3D48DC"/>
    <w:rsid w:val="3F3E2F0A"/>
    <w:rsid w:val="3F536673"/>
    <w:rsid w:val="3F612A8A"/>
    <w:rsid w:val="3F656A54"/>
    <w:rsid w:val="3F745999"/>
    <w:rsid w:val="3F7E52C6"/>
    <w:rsid w:val="3F7F05F2"/>
    <w:rsid w:val="3F863D82"/>
    <w:rsid w:val="3FAA10AC"/>
    <w:rsid w:val="3FB11D9C"/>
    <w:rsid w:val="3FBC0C3A"/>
    <w:rsid w:val="3FCA0677"/>
    <w:rsid w:val="3FDC6763"/>
    <w:rsid w:val="3FE16397"/>
    <w:rsid w:val="3FE200A5"/>
    <w:rsid w:val="3FFD67B7"/>
    <w:rsid w:val="40090F9F"/>
    <w:rsid w:val="40094E1E"/>
    <w:rsid w:val="40204729"/>
    <w:rsid w:val="402534FC"/>
    <w:rsid w:val="402E2B37"/>
    <w:rsid w:val="40354D62"/>
    <w:rsid w:val="405E0CDC"/>
    <w:rsid w:val="406F01DF"/>
    <w:rsid w:val="40836E4D"/>
    <w:rsid w:val="40854269"/>
    <w:rsid w:val="40955953"/>
    <w:rsid w:val="40BA5F43"/>
    <w:rsid w:val="40C551BC"/>
    <w:rsid w:val="40C70998"/>
    <w:rsid w:val="40D41DE6"/>
    <w:rsid w:val="40F03CE8"/>
    <w:rsid w:val="410243D6"/>
    <w:rsid w:val="41087697"/>
    <w:rsid w:val="410D1643"/>
    <w:rsid w:val="41127E46"/>
    <w:rsid w:val="41170647"/>
    <w:rsid w:val="41182CE1"/>
    <w:rsid w:val="413C78AC"/>
    <w:rsid w:val="41425107"/>
    <w:rsid w:val="416D6980"/>
    <w:rsid w:val="416E3513"/>
    <w:rsid w:val="417F763C"/>
    <w:rsid w:val="41981EAC"/>
    <w:rsid w:val="41A043E9"/>
    <w:rsid w:val="41B25855"/>
    <w:rsid w:val="41CA06A4"/>
    <w:rsid w:val="41D554A1"/>
    <w:rsid w:val="41E0530F"/>
    <w:rsid w:val="41E13EB6"/>
    <w:rsid w:val="41EA1493"/>
    <w:rsid w:val="41EC0D67"/>
    <w:rsid w:val="42005999"/>
    <w:rsid w:val="42117CEF"/>
    <w:rsid w:val="42127C1B"/>
    <w:rsid w:val="4226385D"/>
    <w:rsid w:val="42293D69"/>
    <w:rsid w:val="422C4AC9"/>
    <w:rsid w:val="423073DF"/>
    <w:rsid w:val="42317390"/>
    <w:rsid w:val="423F358D"/>
    <w:rsid w:val="42467B20"/>
    <w:rsid w:val="42545737"/>
    <w:rsid w:val="426D151B"/>
    <w:rsid w:val="42770F78"/>
    <w:rsid w:val="427F471C"/>
    <w:rsid w:val="42D57A4D"/>
    <w:rsid w:val="42EA3EEB"/>
    <w:rsid w:val="42F103B4"/>
    <w:rsid w:val="43003C7E"/>
    <w:rsid w:val="43065A76"/>
    <w:rsid w:val="43195B8C"/>
    <w:rsid w:val="431F3D85"/>
    <w:rsid w:val="4325395F"/>
    <w:rsid w:val="43315877"/>
    <w:rsid w:val="43322015"/>
    <w:rsid w:val="4342779E"/>
    <w:rsid w:val="4344667F"/>
    <w:rsid w:val="43453B67"/>
    <w:rsid w:val="434655D2"/>
    <w:rsid w:val="43937DAC"/>
    <w:rsid w:val="439A2873"/>
    <w:rsid w:val="43A44631"/>
    <w:rsid w:val="43A4601A"/>
    <w:rsid w:val="43AC2EA4"/>
    <w:rsid w:val="43BE5738"/>
    <w:rsid w:val="43C27CBE"/>
    <w:rsid w:val="43C401ED"/>
    <w:rsid w:val="43E077BD"/>
    <w:rsid w:val="43E62908"/>
    <w:rsid w:val="43E9214E"/>
    <w:rsid w:val="43FF338B"/>
    <w:rsid w:val="44136A7F"/>
    <w:rsid w:val="4447229F"/>
    <w:rsid w:val="44503E8C"/>
    <w:rsid w:val="445F5243"/>
    <w:rsid w:val="4469156E"/>
    <w:rsid w:val="446A2417"/>
    <w:rsid w:val="447A3112"/>
    <w:rsid w:val="448742A8"/>
    <w:rsid w:val="449C339C"/>
    <w:rsid w:val="449F20EB"/>
    <w:rsid w:val="44A709F6"/>
    <w:rsid w:val="44B57A41"/>
    <w:rsid w:val="44BC6715"/>
    <w:rsid w:val="44C1472D"/>
    <w:rsid w:val="44CB57D8"/>
    <w:rsid w:val="44CF7CA4"/>
    <w:rsid w:val="44DF6307"/>
    <w:rsid w:val="452E517F"/>
    <w:rsid w:val="453976EB"/>
    <w:rsid w:val="456357E4"/>
    <w:rsid w:val="457A1316"/>
    <w:rsid w:val="458327DA"/>
    <w:rsid w:val="458E1418"/>
    <w:rsid w:val="45924862"/>
    <w:rsid w:val="45A007E6"/>
    <w:rsid w:val="45A87810"/>
    <w:rsid w:val="45AB6654"/>
    <w:rsid w:val="45C92870"/>
    <w:rsid w:val="45CD7101"/>
    <w:rsid w:val="45D35387"/>
    <w:rsid w:val="45DA07B2"/>
    <w:rsid w:val="45DE2E69"/>
    <w:rsid w:val="45ED72A2"/>
    <w:rsid w:val="45F30E96"/>
    <w:rsid w:val="46057F97"/>
    <w:rsid w:val="4606318A"/>
    <w:rsid w:val="460E5B36"/>
    <w:rsid w:val="46142C3A"/>
    <w:rsid w:val="461E56FD"/>
    <w:rsid w:val="464411A4"/>
    <w:rsid w:val="464C46DD"/>
    <w:rsid w:val="464D3CB8"/>
    <w:rsid w:val="465B7FD7"/>
    <w:rsid w:val="467462F1"/>
    <w:rsid w:val="4674732E"/>
    <w:rsid w:val="46822AEF"/>
    <w:rsid w:val="46887275"/>
    <w:rsid w:val="469149DA"/>
    <w:rsid w:val="46940681"/>
    <w:rsid w:val="46963997"/>
    <w:rsid w:val="4697091D"/>
    <w:rsid w:val="46A94F06"/>
    <w:rsid w:val="46C43438"/>
    <w:rsid w:val="46D246E2"/>
    <w:rsid w:val="46F11858"/>
    <w:rsid w:val="46F243BF"/>
    <w:rsid w:val="46FB1DF0"/>
    <w:rsid w:val="47121089"/>
    <w:rsid w:val="47227377"/>
    <w:rsid w:val="472F2B19"/>
    <w:rsid w:val="47370CD6"/>
    <w:rsid w:val="473F57F6"/>
    <w:rsid w:val="47403BDC"/>
    <w:rsid w:val="474F6536"/>
    <w:rsid w:val="47574369"/>
    <w:rsid w:val="475D6181"/>
    <w:rsid w:val="47621509"/>
    <w:rsid w:val="476452B0"/>
    <w:rsid w:val="476D33F9"/>
    <w:rsid w:val="476E221E"/>
    <w:rsid w:val="477939FD"/>
    <w:rsid w:val="477E7B1E"/>
    <w:rsid w:val="47952723"/>
    <w:rsid w:val="47B02837"/>
    <w:rsid w:val="47B11D7C"/>
    <w:rsid w:val="47B440D5"/>
    <w:rsid w:val="47B944B8"/>
    <w:rsid w:val="47EA5D49"/>
    <w:rsid w:val="47F01DF2"/>
    <w:rsid w:val="47F71DB8"/>
    <w:rsid w:val="47FD67C9"/>
    <w:rsid w:val="480B3143"/>
    <w:rsid w:val="480D40CF"/>
    <w:rsid w:val="481452DA"/>
    <w:rsid w:val="482070DC"/>
    <w:rsid w:val="48224610"/>
    <w:rsid w:val="48295724"/>
    <w:rsid w:val="483B08B4"/>
    <w:rsid w:val="483F7819"/>
    <w:rsid w:val="48520B3A"/>
    <w:rsid w:val="48553B09"/>
    <w:rsid w:val="48572D04"/>
    <w:rsid w:val="485910F2"/>
    <w:rsid w:val="485F6737"/>
    <w:rsid w:val="48632F4C"/>
    <w:rsid w:val="486A6F51"/>
    <w:rsid w:val="48764E94"/>
    <w:rsid w:val="48797010"/>
    <w:rsid w:val="487B366D"/>
    <w:rsid w:val="487D3B49"/>
    <w:rsid w:val="488A6AC2"/>
    <w:rsid w:val="48904760"/>
    <w:rsid w:val="48937C1F"/>
    <w:rsid w:val="48950C6B"/>
    <w:rsid w:val="48991194"/>
    <w:rsid w:val="489C3DB1"/>
    <w:rsid w:val="489F1B49"/>
    <w:rsid w:val="48CC3508"/>
    <w:rsid w:val="48D6720B"/>
    <w:rsid w:val="48E1297D"/>
    <w:rsid w:val="48E737DC"/>
    <w:rsid w:val="48F15476"/>
    <w:rsid w:val="49174E6E"/>
    <w:rsid w:val="491A3BC5"/>
    <w:rsid w:val="491C799D"/>
    <w:rsid w:val="491D28B1"/>
    <w:rsid w:val="49310D5F"/>
    <w:rsid w:val="49412BD2"/>
    <w:rsid w:val="4941408E"/>
    <w:rsid w:val="49647D7D"/>
    <w:rsid w:val="49787384"/>
    <w:rsid w:val="499E51CE"/>
    <w:rsid w:val="49BC3674"/>
    <w:rsid w:val="49CF7F85"/>
    <w:rsid w:val="49E2559B"/>
    <w:rsid w:val="49F6650C"/>
    <w:rsid w:val="49F92273"/>
    <w:rsid w:val="49F963E8"/>
    <w:rsid w:val="49FA6221"/>
    <w:rsid w:val="4A0D5411"/>
    <w:rsid w:val="4A105B6D"/>
    <w:rsid w:val="4A162E25"/>
    <w:rsid w:val="4A1652FC"/>
    <w:rsid w:val="4A3C44F7"/>
    <w:rsid w:val="4A4C0454"/>
    <w:rsid w:val="4A527BD5"/>
    <w:rsid w:val="4A575461"/>
    <w:rsid w:val="4A5F4F5C"/>
    <w:rsid w:val="4A6246CC"/>
    <w:rsid w:val="4A6C6194"/>
    <w:rsid w:val="4A7459B6"/>
    <w:rsid w:val="4A7664AA"/>
    <w:rsid w:val="4A83033B"/>
    <w:rsid w:val="4A914F9A"/>
    <w:rsid w:val="4A9865CC"/>
    <w:rsid w:val="4A9B34E3"/>
    <w:rsid w:val="4ACE28F1"/>
    <w:rsid w:val="4AE6251F"/>
    <w:rsid w:val="4AE63B4F"/>
    <w:rsid w:val="4AE75C28"/>
    <w:rsid w:val="4AF278A2"/>
    <w:rsid w:val="4AFF05B6"/>
    <w:rsid w:val="4B0C5FD6"/>
    <w:rsid w:val="4B252CDB"/>
    <w:rsid w:val="4B292D86"/>
    <w:rsid w:val="4B5A757A"/>
    <w:rsid w:val="4B622569"/>
    <w:rsid w:val="4B6B0F4E"/>
    <w:rsid w:val="4B723A64"/>
    <w:rsid w:val="4B765858"/>
    <w:rsid w:val="4B842CBF"/>
    <w:rsid w:val="4BAC1912"/>
    <w:rsid w:val="4BB94F3A"/>
    <w:rsid w:val="4BC05AA9"/>
    <w:rsid w:val="4BC5701F"/>
    <w:rsid w:val="4BE429CF"/>
    <w:rsid w:val="4BE64F18"/>
    <w:rsid w:val="4BE76EBE"/>
    <w:rsid w:val="4BFD18C4"/>
    <w:rsid w:val="4C0603BE"/>
    <w:rsid w:val="4C1846BE"/>
    <w:rsid w:val="4C2131D5"/>
    <w:rsid w:val="4C286561"/>
    <w:rsid w:val="4C47101B"/>
    <w:rsid w:val="4C67355C"/>
    <w:rsid w:val="4C885B30"/>
    <w:rsid w:val="4CA50490"/>
    <w:rsid w:val="4CA631BF"/>
    <w:rsid w:val="4CB24246"/>
    <w:rsid w:val="4CB61416"/>
    <w:rsid w:val="4CCE72CB"/>
    <w:rsid w:val="4CE000AE"/>
    <w:rsid w:val="4CE33C2D"/>
    <w:rsid w:val="4CEA6A43"/>
    <w:rsid w:val="4CED215C"/>
    <w:rsid w:val="4CF15BC3"/>
    <w:rsid w:val="4D153962"/>
    <w:rsid w:val="4D2832DD"/>
    <w:rsid w:val="4D3B1A90"/>
    <w:rsid w:val="4D4952BF"/>
    <w:rsid w:val="4D4C4DB0"/>
    <w:rsid w:val="4D523F30"/>
    <w:rsid w:val="4D5400B6"/>
    <w:rsid w:val="4D561D1F"/>
    <w:rsid w:val="4D5B17F2"/>
    <w:rsid w:val="4D783BFE"/>
    <w:rsid w:val="4D7A191D"/>
    <w:rsid w:val="4D862070"/>
    <w:rsid w:val="4D9E3D8E"/>
    <w:rsid w:val="4DB7560A"/>
    <w:rsid w:val="4DCE74D5"/>
    <w:rsid w:val="4DD045FA"/>
    <w:rsid w:val="4DD81AFC"/>
    <w:rsid w:val="4DE1374A"/>
    <w:rsid w:val="4DE24CEE"/>
    <w:rsid w:val="4DE80F5D"/>
    <w:rsid w:val="4E07266E"/>
    <w:rsid w:val="4E0E4BB5"/>
    <w:rsid w:val="4E26178D"/>
    <w:rsid w:val="4E393C92"/>
    <w:rsid w:val="4E402BAC"/>
    <w:rsid w:val="4E4A58B7"/>
    <w:rsid w:val="4E5F25F3"/>
    <w:rsid w:val="4E616AFD"/>
    <w:rsid w:val="4E6323B1"/>
    <w:rsid w:val="4E6B74B7"/>
    <w:rsid w:val="4E7000ED"/>
    <w:rsid w:val="4E7319B9"/>
    <w:rsid w:val="4E734D62"/>
    <w:rsid w:val="4E816CDB"/>
    <w:rsid w:val="4EB41907"/>
    <w:rsid w:val="4EBB3F9B"/>
    <w:rsid w:val="4ECD6765"/>
    <w:rsid w:val="4EDD489A"/>
    <w:rsid w:val="4EE0450F"/>
    <w:rsid w:val="4EFB6834"/>
    <w:rsid w:val="4F0476E0"/>
    <w:rsid w:val="4F132849"/>
    <w:rsid w:val="4F152DF6"/>
    <w:rsid w:val="4F1B712F"/>
    <w:rsid w:val="4F4038E5"/>
    <w:rsid w:val="4F455F5A"/>
    <w:rsid w:val="4F4F36AC"/>
    <w:rsid w:val="4F5F2710"/>
    <w:rsid w:val="4F652159"/>
    <w:rsid w:val="4F687E75"/>
    <w:rsid w:val="4F690B16"/>
    <w:rsid w:val="4F6B13AD"/>
    <w:rsid w:val="4F6C646A"/>
    <w:rsid w:val="4F6C798B"/>
    <w:rsid w:val="4F6E54B1"/>
    <w:rsid w:val="4F897709"/>
    <w:rsid w:val="4FC821FA"/>
    <w:rsid w:val="4FF534DD"/>
    <w:rsid w:val="4FF92716"/>
    <w:rsid w:val="500D3814"/>
    <w:rsid w:val="501C7F9F"/>
    <w:rsid w:val="50452E85"/>
    <w:rsid w:val="506568B4"/>
    <w:rsid w:val="508A04F1"/>
    <w:rsid w:val="509108FB"/>
    <w:rsid w:val="50941F4E"/>
    <w:rsid w:val="50963608"/>
    <w:rsid w:val="50986A9B"/>
    <w:rsid w:val="509B07D6"/>
    <w:rsid w:val="50A02BD7"/>
    <w:rsid w:val="50C31AE7"/>
    <w:rsid w:val="50C8235F"/>
    <w:rsid w:val="50C95D77"/>
    <w:rsid w:val="50CD7D82"/>
    <w:rsid w:val="50EB3F82"/>
    <w:rsid w:val="50EB6882"/>
    <w:rsid w:val="50FB1520"/>
    <w:rsid w:val="50FC2D26"/>
    <w:rsid w:val="510E202D"/>
    <w:rsid w:val="51392119"/>
    <w:rsid w:val="5144134F"/>
    <w:rsid w:val="516415A6"/>
    <w:rsid w:val="51644DBE"/>
    <w:rsid w:val="516E18FA"/>
    <w:rsid w:val="517C5DFA"/>
    <w:rsid w:val="517D2145"/>
    <w:rsid w:val="518A0215"/>
    <w:rsid w:val="51993729"/>
    <w:rsid w:val="51A578EE"/>
    <w:rsid w:val="51B35603"/>
    <w:rsid w:val="51BD1110"/>
    <w:rsid w:val="51DF7B80"/>
    <w:rsid w:val="51E00148"/>
    <w:rsid w:val="51E35D6E"/>
    <w:rsid w:val="51E73704"/>
    <w:rsid w:val="51F32EDB"/>
    <w:rsid w:val="5206051F"/>
    <w:rsid w:val="521078F8"/>
    <w:rsid w:val="521C2FA3"/>
    <w:rsid w:val="522746EB"/>
    <w:rsid w:val="52334B31"/>
    <w:rsid w:val="524146DC"/>
    <w:rsid w:val="52416EAD"/>
    <w:rsid w:val="524911D3"/>
    <w:rsid w:val="525F1CB4"/>
    <w:rsid w:val="526535EC"/>
    <w:rsid w:val="52674308"/>
    <w:rsid w:val="527B4702"/>
    <w:rsid w:val="527C6137"/>
    <w:rsid w:val="52921C97"/>
    <w:rsid w:val="52AA6800"/>
    <w:rsid w:val="52AB6CBA"/>
    <w:rsid w:val="52BE22AC"/>
    <w:rsid w:val="52E141EC"/>
    <w:rsid w:val="52E90AEB"/>
    <w:rsid w:val="52F02A8D"/>
    <w:rsid w:val="52F957F2"/>
    <w:rsid w:val="531454AA"/>
    <w:rsid w:val="531A366F"/>
    <w:rsid w:val="531D23B7"/>
    <w:rsid w:val="53224550"/>
    <w:rsid w:val="532A5250"/>
    <w:rsid w:val="532C286E"/>
    <w:rsid w:val="5359526E"/>
    <w:rsid w:val="536C28E0"/>
    <w:rsid w:val="53731A95"/>
    <w:rsid w:val="53802B5B"/>
    <w:rsid w:val="53862E55"/>
    <w:rsid w:val="53925D40"/>
    <w:rsid w:val="539F64D7"/>
    <w:rsid w:val="53B419BE"/>
    <w:rsid w:val="53DE7100"/>
    <w:rsid w:val="53F152AE"/>
    <w:rsid w:val="540869F1"/>
    <w:rsid w:val="540E3F3F"/>
    <w:rsid w:val="541505F1"/>
    <w:rsid w:val="541F2481"/>
    <w:rsid w:val="5425172B"/>
    <w:rsid w:val="54493D1F"/>
    <w:rsid w:val="544E5F99"/>
    <w:rsid w:val="54631BCD"/>
    <w:rsid w:val="547343F9"/>
    <w:rsid w:val="54794265"/>
    <w:rsid w:val="548457F1"/>
    <w:rsid w:val="54977258"/>
    <w:rsid w:val="54B716A8"/>
    <w:rsid w:val="54B75968"/>
    <w:rsid w:val="54BE5401"/>
    <w:rsid w:val="54CE0B40"/>
    <w:rsid w:val="54E30B76"/>
    <w:rsid w:val="54E94664"/>
    <w:rsid w:val="5516431C"/>
    <w:rsid w:val="55191A1B"/>
    <w:rsid w:val="552A31DD"/>
    <w:rsid w:val="55467B2A"/>
    <w:rsid w:val="554D5B69"/>
    <w:rsid w:val="555306E4"/>
    <w:rsid w:val="5556423D"/>
    <w:rsid w:val="556E7977"/>
    <w:rsid w:val="5575393E"/>
    <w:rsid w:val="55A25EB5"/>
    <w:rsid w:val="55A35BEE"/>
    <w:rsid w:val="55A37560"/>
    <w:rsid w:val="55B2611B"/>
    <w:rsid w:val="55B333FC"/>
    <w:rsid w:val="55C91693"/>
    <w:rsid w:val="55CA0F6B"/>
    <w:rsid w:val="55EA33B8"/>
    <w:rsid w:val="55EA76A9"/>
    <w:rsid w:val="56064695"/>
    <w:rsid w:val="560D23B9"/>
    <w:rsid w:val="56171976"/>
    <w:rsid w:val="5617654C"/>
    <w:rsid w:val="563150A0"/>
    <w:rsid w:val="563C719E"/>
    <w:rsid w:val="56441545"/>
    <w:rsid w:val="567A0BDF"/>
    <w:rsid w:val="568C3F52"/>
    <w:rsid w:val="568D2FC2"/>
    <w:rsid w:val="568D446F"/>
    <w:rsid w:val="56B2634F"/>
    <w:rsid w:val="56C014FE"/>
    <w:rsid w:val="56C22730"/>
    <w:rsid w:val="56C37E91"/>
    <w:rsid w:val="56C53F2C"/>
    <w:rsid w:val="56D54068"/>
    <w:rsid w:val="56EB388B"/>
    <w:rsid w:val="56F470AE"/>
    <w:rsid w:val="56F633DF"/>
    <w:rsid w:val="56FA1CED"/>
    <w:rsid w:val="570D08CF"/>
    <w:rsid w:val="570F1328"/>
    <w:rsid w:val="571B217D"/>
    <w:rsid w:val="571B7CCD"/>
    <w:rsid w:val="5726554A"/>
    <w:rsid w:val="57354276"/>
    <w:rsid w:val="5736251C"/>
    <w:rsid w:val="57495702"/>
    <w:rsid w:val="57573507"/>
    <w:rsid w:val="576938DD"/>
    <w:rsid w:val="57813603"/>
    <w:rsid w:val="578673C0"/>
    <w:rsid w:val="57953678"/>
    <w:rsid w:val="579A7EAC"/>
    <w:rsid w:val="57A96520"/>
    <w:rsid w:val="57B243A4"/>
    <w:rsid w:val="57B82351"/>
    <w:rsid w:val="57D009E5"/>
    <w:rsid w:val="57D2145E"/>
    <w:rsid w:val="57D25149"/>
    <w:rsid w:val="57D26DC6"/>
    <w:rsid w:val="57F347A6"/>
    <w:rsid w:val="581B5AAA"/>
    <w:rsid w:val="58207565"/>
    <w:rsid w:val="58311772"/>
    <w:rsid w:val="584B0FFE"/>
    <w:rsid w:val="585E6AE3"/>
    <w:rsid w:val="586E7485"/>
    <w:rsid w:val="587170CB"/>
    <w:rsid w:val="5875165E"/>
    <w:rsid w:val="589A2937"/>
    <w:rsid w:val="58A4706F"/>
    <w:rsid w:val="58AB62C2"/>
    <w:rsid w:val="58B73A25"/>
    <w:rsid w:val="58B97888"/>
    <w:rsid w:val="58CF1DAA"/>
    <w:rsid w:val="58D26AB1"/>
    <w:rsid w:val="58FC71A2"/>
    <w:rsid w:val="590B706D"/>
    <w:rsid w:val="591510CA"/>
    <w:rsid w:val="5915406D"/>
    <w:rsid w:val="591656D3"/>
    <w:rsid w:val="591924A2"/>
    <w:rsid w:val="59253085"/>
    <w:rsid w:val="59260BAB"/>
    <w:rsid w:val="592A45B9"/>
    <w:rsid w:val="592E4BE3"/>
    <w:rsid w:val="593B28A8"/>
    <w:rsid w:val="594B23BF"/>
    <w:rsid w:val="59627EEE"/>
    <w:rsid w:val="59665CA1"/>
    <w:rsid w:val="59813CF1"/>
    <w:rsid w:val="59822AF9"/>
    <w:rsid w:val="59912DAA"/>
    <w:rsid w:val="59975605"/>
    <w:rsid w:val="59A03F06"/>
    <w:rsid w:val="59B87359"/>
    <w:rsid w:val="59BE738A"/>
    <w:rsid w:val="59C72040"/>
    <w:rsid w:val="59D92016"/>
    <w:rsid w:val="59FB4102"/>
    <w:rsid w:val="5A027A04"/>
    <w:rsid w:val="5A0C5EC1"/>
    <w:rsid w:val="5A0E41F4"/>
    <w:rsid w:val="5A0E48B8"/>
    <w:rsid w:val="5A0F1272"/>
    <w:rsid w:val="5A1D23D5"/>
    <w:rsid w:val="5A2045F2"/>
    <w:rsid w:val="5A234B51"/>
    <w:rsid w:val="5A247C05"/>
    <w:rsid w:val="5A2907AA"/>
    <w:rsid w:val="5A2E4268"/>
    <w:rsid w:val="5A355A42"/>
    <w:rsid w:val="5A3C3CDE"/>
    <w:rsid w:val="5A4F0DF0"/>
    <w:rsid w:val="5A501889"/>
    <w:rsid w:val="5A55708A"/>
    <w:rsid w:val="5A5B3046"/>
    <w:rsid w:val="5A5D3EAC"/>
    <w:rsid w:val="5A611438"/>
    <w:rsid w:val="5A627684"/>
    <w:rsid w:val="5A662EF4"/>
    <w:rsid w:val="5A78298E"/>
    <w:rsid w:val="5A851901"/>
    <w:rsid w:val="5A963B0E"/>
    <w:rsid w:val="5A9E408F"/>
    <w:rsid w:val="5ABE1750"/>
    <w:rsid w:val="5AD9679E"/>
    <w:rsid w:val="5ADA379C"/>
    <w:rsid w:val="5AE72769"/>
    <w:rsid w:val="5B013B7F"/>
    <w:rsid w:val="5B181BEE"/>
    <w:rsid w:val="5B3478AD"/>
    <w:rsid w:val="5B4F069F"/>
    <w:rsid w:val="5B505E0A"/>
    <w:rsid w:val="5B50751B"/>
    <w:rsid w:val="5B513B65"/>
    <w:rsid w:val="5B521522"/>
    <w:rsid w:val="5B543E89"/>
    <w:rsid w:val="5B641FD2"/>
    <w:rsid w:val="5B6A451A"/>
    <w:rsid w:val="5B6B214B"/>
    <w:rsid w:val="5B9C28AF"/>
    <w:rsid w:val="5BCF0469"/>
    <w:rsid w:val="5BE94E68"/>
    <w:rsid w:val="5BF22971"/>
    <w:rsid w:val="5BF63775"/>
    <w:rsid w:val="5C007E73"/>
    <w:rsid w:val="5C0D4961"/>
    <w:rsid w:val="5C0E4EF3"/>
    <w:rsid w:val="5C190E62"/>
    <w:rsid w:val="5C1E2E31"/>
    <w:rsid w:val="5C233ED4"/>
    <w:rsid w:val="5C305E0D"/>
    <w:rsid w:val="5C4441A5"/>
    <w:rsid w:val="5C4C5D7C"/>
    <w:rsid w:val="5C4E6627"/>
    <w:rsid w:val="5C513979"/>
    <w:rsid w:val="5C786F83"/>
    <w:rsid w:val="5C806E13"/>
    <w:rsid w:val="5C866026"/>
    <w:rsid w:val="5C943DF3"/>
    <w:rsid w:val="5C9C7524"/>
    <w:rsid w:val="5CA90C0B"/>
    <w:rsid w:val="5CB63FF4"/>
    <w:rsid w:val="5CC233C6"/>
    <w:rsid w:val="5CC26D54"/>
    <w:rsid w:val="5CE17E2A"/>
    <w:rsid w:val="5CE37B00"/>
    <w:rsid w:val="5CEF5001"/>
    <w:rsid w:val="5CF0648D"/>
    <w:rsid w:val="5CF16D6A"/>
    <w:rsid w:val="5CF36FF6"/>
    <w:rsid w:val="5D077882"/>
    <w:rsid w:val="5D083506"/>
    <w:rsid w:val="5D0A7043"/>
    <w:rsid w:val="5D0E3E30"/>
    <w:rsid w:val="5D147A7C"/>
    <w:rsid w:val="5D4C188D"/>
    <w:rsid w:val="5D753649"/>
    <w:rsid w:val="5DA409E8"/>
    <w:rsid w:val="5DA81970"/>
    <w:rsid w:val="5DA85522"/>
    <w:rsid w:val="5DAA1DAA"/>
    <w:rsid w:val="5DB947AD"/>
    <w:rsid w:val="5DBA60DD"/>
    <w:rsid w:val="5DBF512A"/>
    <w:rsid w:val="5DC907C0"/>
    <w:rsid w:val="5DD619A0"/>
    <w:rsid w:val="5DD633B5"/>
    <w:rsid w:val="5DDA5D9F"/>
    <w:rsid w:val="5DE13654"/>
    <w:rsid w:val="5DEC4171"/>
    <w:rsid w:val="5E025AC6"/>
    <w:rsid w:val="5E0E6627"/>
    <w:rsid w:val="5E2F55F8"/>
    <w:rsid w:val="5E337160"/>
    <w:rsid w:val="5E38296D"/>
    <w:rsid w:val="5E3D252B"/>
    <w:rsid w:val="5E4C4C10"/>
    <w:rsid w:val="5E6526B6"/>
    <w:rsid w:val="5E685D52"/>
    <w:rsid w:val="5E91796B"/>
    <w:rsid w:val="5EA64302"/>
    <w:rsid w:val="5EBB3877"/>
    <w:rsid w:val="5ECC46C7"/>
    <w:rsid w:val="5ED64FCA"/>
    <w:rsid w:val="5EDA3ED5"/>
    <w:rsid w:val="5EDB41E5"/>
    <w:rsid w:val="5F0C419A"/>
    <w:rsid w:val="5F1B4E5D"/>
    <w:rsid w:val="5F3315A0"/>
    <w:rsid w:val="5F5C70D4"/>
    <w:rsid w:val="5F6366B5"/>
    <w:rsid w:val="5F69359F"/>
    <w:rsid w:val="5F695A94"/>
    <w:rsid w:val="5F6C7846"/>
    <w:rsid w:val="5F7A2D2A"/>
    <w:rsid w:val="5F7A755A"/>
    <w:rsid w:val="5F7F2E48"/>
    <w:rsid w:val="5FA24B48"/>
    <w:rsid w:val="5FAB4F11"/>
    <w:rsid w:val="5FB83DEA"/>
    <w:rsid w:val="5FC63809"/>
    <w:rsid w:val="5FCD6837"/>
    <w:rsid w:val="5FD749AD"/>
    <w:rsid w:val="5FDC7A54"/>
    <w:rsid w:val="5FE315A4"/>
    <w:rsid w:val="5FE517A4"/>
    <w:rsid w:val="5FFD65F2"/>
    <w:rsid w:val="60034AF8"/>
    <w:rsid w:val="603D64BE"/>
    <w:rsid w:val="605051FE"/>
    <w:rsid w:val="6062071A"/>
    <w:rsid w:val="606A59FD"/>
    <w:rsid w:val="6071127B"/>
    <w:rsid w:val="607651B5"/>
    <w:rsid w:val="607B37D1"/>
    <w:rsid w:val="60860D5E"/>
    <w:rsid w:val="608C54D0"/>
    <w:rsid w:val="609818DD"/>
    <w:rsid w:val="60991EE6"/>
    <w:rsid w:val="609B59DA"/>
    <w:rsid w:val="609D23A0"/>
    <w:rsid w:val="609F1D7E"/>
    <w:rsid w:val="60A811D6"/>
    <w:rsid w:val="60A93189"/>
    <w:rsid w:val="60BF730A"/>
    <w:rsid w:val="60CA2CDE"/>
    <w:rsid w:val="60D71E1C"/>
    <w:rsid w:val="60EC323A"/>
    <w:rsid w:val="60F90A6D"/>
    <w:rsid w:val="60FC118D"/>
    <w:rsid w:val="61063F39"/>
    <w:rsid w:val="61131A15"/>
    <w:rsid w:val="611C4E6B"/>
    <w:rsid w:val="614C6678"/>
    <w:rsid w:val="614D48E4"/>
    <w:rsid w:val="615232C7"/>
    <w:rsid w:val="61610EB4"/>
    <w:rsid w:val="61616C24"/>
    <w:rsid w:val="61642270"/>
    <w:rsid w:val="6169129D"/>
    <w:rsid w:val="618A0ACD"/>
    <w:rsid w:val="61B60531"/>
    <w:rsid w:val="61B67E6C"/>
    <w:rsid w:val="61D13A9C"/>
    <w:rsid w:val="61D63019"/>
    <w:rsid w:val="61E138C1"/>
    <w:rsid w:val="61F24AA6"/>
    <w:rsid w:val="6200468F"/>
    <w:rsid w:val="6200643D"/>
    <w:rsid w:val="62010843"/>
    <w:rsid w:val="62347E94"/>
    <w:rsid w:val="623F4619"/>
    <w:rsid w:val="6261136A"/>
    <w:rsid w:val="62620EA5"/>
    <w:rsid w:val="62775FD3"/>
    <w:rsid w:val="62810974"/>
    <w:rsid w:val="62821147"/>
    <w:rsid w:val="62851A54"/>
    <w:rsid w:val="6285730C"/>
    <w:rsid w:val="6292105F"/>
    <w:rsid w:val="62AA137B"/>
    <w:rsid w:val="62CB15F3"/>
    <w:rsid w:val="62D11B87"/>
    <w:rsid w:val="62D34A90"/>
    <w:rsid w:val="62D43C6C"/>
    <w:rsid w:val="62FF575B"/>
    <w:rsid w:val="6303477F"/>
    <w:rsid w:val="63090B79"/>
    <w:rsid w:val="63163A3E"/>
    <w:rsid w:val="63276A62"/>
    <w:rsid w:val="6355217D"/>
    <w:rsid w:val="63611A32"/>
    <w:rsid w:val="63671F8D"/>
    <w:rsid w:val="637569B7"/>
    <w:rsid w:val="637F3391"/>
    <w:rsid w:val="63832406"/>
    <w:rsid w:val="63BF175E"/>
    <w:rsid w:val="63C003D6"/>
    <w:rsid w:val="63C76C52"/>
    <w:rsid w:val="63D8066F"/>
    <w:rsid w:val="63DF02D4"/>
    <w:rsid w:val="63E80EA9"/>
    <w:rsid w:val="63EA1D8A"/>
    <w:rsid w:val="63EA6B16"/>
    <w:rsid w:val="63EC2531"/>
    <w:rsid w:val="64043A1C"/>
    <w:rsid w:val="64047D3A"/>
    <w:rsid w:val="6409549F"/>
    <w:rsid w:val="640E3108"/>
    <w:rsid w:val="641079F5"/>
    <w:rsid w:val="64251F57"/>
    <w:rsid w:val="6429154F"/>
    <w:rsid w:val="642E764D"/>
    <w:rsid w:val="644A1BF1"/>
    <w:rsid w:val="64505C39"/>
    <w:rsid w:val="64513A41"/>
    <w:rsid w:val="645E3D06"/>
    <w:rsid w:val="64686022"/>
    <w:rsid w:val="646D2552"/>
    <w:rsid w:val="64734F1B"/>
    <w:rsid w:val="64871D55"/>
    <w:rsid w:val="64932CA2"/>
    <w:rsid w:val="649C4429"/>
    <w:rsid w:val="64A62BA0"/>
    <w:rsid w:val="64B32BBF"/>
    <w:rsid w:val="64B72FE9"/>
    <w:rsid w:val="64C702C4"/>
    <w:rsid w:val="64CC385F"/>
    <w:rsid w:val="64D16061"/>
    <w:rsid w:val="64E10196"/>
    <w:rsid w:val="64F71E63"/>
    <w:rsid w:val="64FE6417"/>
    <w:rsid w:val="651476B8"/>
    <w:rsid w:val="652E1A1F"/>
    <w:rsid w:val="65436640"/>
    <w:rsid w:val="655225E0"/>
    <w:rsid w:val="6559365C"/>
    <w:rsid w:val="655B1264"/>
    <w:rsid w:val="65671AA1"/>
    <w:rsid w:val="656A066E"/>
    <w:rsid w:val="65717652"/>
    <w:rsid w:val="65783C02"/>
    <w:rsid w:val="658C25CB"/>
    <w:rsid w:val="65956E9C"/>
    <w:rsid w:val="659916DC"/>
    <w:rsid w:val="659D6F7D"/>
    <w:rsid w:val="65C149FF"/>
    <w:rsid w:val="65C71669"/>
    <w:rsid w:val="65F05759"/>
    <w:rsid w:val="65F31220"/>
    <w:rsid w:val="65F75602"/>
    <w:rsid w:val="660109D5"/>
    <w:rsid w:val="662F5543"/>
    <w:rsid w:val="664740DA"/>
    <w:rsid w:val="6652695B"/>
    <w:rsid w:val="66874566"/>
    <w:rsid w:val="668B029F"/>
    <w:rsid w:val="66954EB3"/>
    <w:rsid w:val="66A836C1"/>
    <w:rsid w:val="66A9798A"/>
    <w:rsid w:val="66AD5410"/>
    <w:rsid w:val="66B5269F"/>
    <w:rsid w:val="66BB1273"/>
    <w:rsid w:val="66CD2666"/>
    <w:rsid w:val="66EA4812"/>
    <w:rsid w:val="66FB3677"/>
    <w:rsid w:val="66FFA807"/>
    <w:rsid w:val="671031CC"/>
    <w:rsid w:val="672720CC"/>
    <w:rsid w:val="67280BA1"/>
    <w:rsid w:val="673114F5"/>
    <w:rsid w:val="67323F2E"/>
    <w:rsid w:val="67385E0B"/>
    <w:rsid w:val="67504A7C"/>
    <w:rsid w:val="675A35DF"/>
    <w:rsid w:val="67643E83"/>
    <w:rsid w:val="67645415"/>
    <w:rsid w:val="67697D5E"/>
    <w:rsid w:val="676A69E7"/>
    <w:rsid w:val="6779613C"/>
    <w:rsid w:val="67AD6FA5"/>
    <w:rsid w:val="67B04461"/>
    <w:rsid w:val="67CE0D8B"/>
    <w:rsid w:val="67D02E98"/>
    <w:rsid w:val="67E81E4D"/>
    <w:rsid w:val="67F0485E"/>
    <w:rsid w:val="67F0486B"/>
    <w:rsid w:val="67F83DF0"/>
    <w:rsid w:val="680354EE"/>
    <w:rsid w:val="680A3FE8"/>
    <w:rsid w:val="680B1697"/>
    <w:rsid w:val="6811140F"/>
    <w:rsid w:val="68197E55"/>
    <w:rsid w:val="68330655"/>
    <w:rsid w:val="68505089"/>
    <w:rsid w:val="68551330"/>
    <w:rsid w:val="685B306D"/>
    <w:rsid w:val="687C4343"/>
    <w:rsid w:val="688C34C2"/>
    <w:rsid w:val="68964168"/>
    <w:rsid w:val="68A910E0"/>
    <w:rsid w:val="68D0643D"/>
    <w:rsid w:val="68D22223"/>
    <w:rsid w:val="68D72731"/>
    <w:rsid w:val="68EF0EF9"/>
    <w:rsid w:val="68F95994"/>
    <w:rsid w:val="68F95F95"/>
    <w:rsid w:val="690158BE"/>
    <w:rsid w:val="69142752"/>
    <w:rsid w:val="691933D8"/>
    <w:rsid w:val="692213C1"/>
    <w:rsid w:val="69362DAC"/>
    <w:rsid w:val="694F22F8"/>
    <w:rsid w:val="6968733C"/>
    <w:rsid w:val="69843F6F"/>
    <w:rsid w:val="69871107"/>
    <w:rsid w:val="698E776B"/>
    <w:rsid w:val="6994390F"/>
    <w:rsid w:val="69A00505"/>
    <w:rsid w:val="69B231E0"/>
    <w:rsid w:val="69B87CB4"/>
    <w:rsid w:val="69BD5B16"/>
    <w:rsid w:val="69D215F0"/>
    <w:rsid w:val="69D7445F"/>
    <w:rsid w:val="69DA095A"/>
    <w:rsid w:val="69E00902"/>
    <w:rsid w:val="69FE4732"/>
    <w:rsid w:val="6A080BE1"/>
    <w:rsid w:val="6A0F2AB9"/>
    <w:rsid w:val="6A2818FC"/>
    <w:rsid w:val="6A3B0494"/>
    <w:rsid w:val="6A4A4B7D"/>
    <w:rsid w:val="6A557765"/>
    <w:rsid w:val="6AA40918"/>
    <w:rsid w:val="6AA55470"/>
    <w:rsid w:val="6AB51D8E"/>
    <w:rsid w:val="6ACD41D5"/>
    <w:rsid w:val="6AD9782B"/>
    <w:rsid w:val="6AE47234"/>
    <w:rsid w:val="6AFC16DB"/>
    <w:rsid w:val="6B114CED"/>
    <w:rsid w:val="6B355CE8"/>
    <w:rsid w:val="6B570130"/>
    <w:rsid w:val="6B5E5F82"/>
    <w:rsid w:val="6B6932A5"/>
    <w:rsid w:val="6B787DF4"/>
    <w:rsid w:val="6B7D0AFE"/>
    <w:rsid w:val="6B7F04C5"/>
    <w:rsid w:val="6B8B192E"/>
    <w:rsid w:val="6B983915"/>
    <w:rsid w:val="6BA97047"/>
    <w:rsid w:val="6BAD7C58"/>
    <w:rsid w:val="6BB24E01"/>
    <w:rsid w:val="6BB59842"/>
    <w:rsid w:val="6BC73B27"/>
    <w:rsid w:val="6BC95AC0"/>
    <w:rsid w:val="6BE637A3"/>
    <w:rsid w:val="6BEB1617"/>
    <w:rsid w:val="6BED2349"/>
    <w:rsid w:val="6C064309"/>
    <w:rsid w:val="6C0C173A"/>
    <w:rsid w:val="6C1233F3"/>
    <w:rsid w:val="6C147C26"/>
    <w:rsid w:val="6C1A5BA2"/>
    <w:rsid w:val="6C3C4515"/>
    <w:rsid w:val="6C4172B3"/>
    <w:rsid w:val="6C4C04D0"/>
    <w:rsid w:val="6C6C5512"/>
    <w:rsid w:val="6C7909CD"/>
    <w:rsid w:val="6C852B4E"/>
    <w:rsid w:val="6C9549CC"/>
    <w:rsid w:val="6CA1615D"/>
    <w:rsid w:val="6CA813D1"/>
    <w:rsid w:val="6CD40AB4"/>
    <w:rsid w:val="6CDB7AAD"/>
    <w:rsid w:val="6CDC3602"/>
    <w:rsid w:val="6CDF2634"/>
    <w:rsid w:val="6CE150BD"/>
    <w:rsid w:val="6CE71120"/>
    <w:rsid w:val="6CF72697"/>
    <w:rsid w:val="6CF748E0"/>
    <w:rsid w:val="6CF85EC5"/>
    <w:rsid w:val="6D0D73DC"/>
    <w:rsid w:val="6D132484"/>
    <w:rsid w:val="6D22553B"/>
    <w:rsid w:val="6D26086E"/>
    <w:rsid w:val="6D263022"/>
    <w:rsid w:val="6D284A9A"/>
    <w:rsid w:val="6D3D63DC"/>
    <w:rsid w:val="6D3F3B91"/>
    <w:rsid w:val="6D472D70"/>
    <w:rsid w:val="6D4A2F93"/>
    <w:rsid w:val="6D5A11D0"/>
    <w:rsid w:val="6D6207EC"/>
    <w:rsid w:val="6D624DC9"/>
    <w:rsid w:val="6D6A32B8"/>
    <w:rsid w:val="6D7310A3"/>
    <w:rsid w:val="6D7E663B"/>
    <w:rsid w:val="6D94551C"/>
    <w:rsid w:val="6D9E11B8"/>
    <w:rsid w:val="6DAA3701"/>
    <w:rsid w:val="6DBD22A9"/>
    <w:rsid w:val="6DC80F51"/>
    <w:rsid w:val="6DD60F7F"/>
    <w:rsid w:val="6DDB6562"/>
    <w:rsid w:val="6DFB5D0A"/>
    <w:rsid w:val="6E064D15"/>
    <w:rsid w:val="6E22436A"/>
    <w:rsid w:val="6E3336F6"/>
    <w:rsid w:val="6E365862"/>
    <w:rsid w:val="6E3C3970"/>
    <w:rsid w:val="6E6108B6"/>
    <w:rsid w:val="6E7004A6"/>
    <w:rsid w:val="6E764561"/>
    <w:rsid w:val="6E8E261C"/>
    <w:rsid w:val="6EAB0A3B"/>
    <w:rsid w:val="6EBE7D1F"/>
    <w:rsid w:val="6EC417C9"/>
    <w:rsid w:val="6ED15F32"/>
    <w:rsid w:val="6EF84AA0"/>
    <w:rsid w:val="6F0376F3"/>
    <w:rsid w:val="6F0B68F9"/>
    <w:rsid w:val="6F2F3642"/>
    <w:rsid w:val="6F3C2D2C"/>
    <w:rsid w:val="6F5023D8"/>
    <w:rsid w:val="6F55769C"/>
    <w:rsid w:val="6F566FDA"/>
    <w:rsid w:val="6F604BEF"/>
    <w:rsid w:val="6F71184C"/>
    <w:rsid w:val="6F7F6F94"/>
    <w:rsid w:val="6F887A72"/>
    <w:rsid w:val="6F984337"/>
    <w:rsid w:val="6F9C58C6"/>
    <w:rsid w:val="6FA44071"/>
    <w:rsid w:val="6FA8405C"/>
    <w:rsid w:val="6FBD64A8"/>
    <w:rsid w:val="6FBF4255"/>
    <w:rsid w:val="6FC74241"/>
    <w:rsid w:val="6FDE58E3"/>
    <w:rsid w:val="6FE24D9C"/>
    <w:rsid w:val="6FE543D4"/>
    <w:rsid w:val="6FE65E26"/>
    <w:rsid w:val="6FEA2151"/>
    <w:rsid w:val="6FF65867"/>
    <w:rsid w:val="70072487"/>
    <w:rsid w:val="700B4736"/>
    <w:rsid w:val="701A5DAD"/>
    <w:rsid w:val="702D4632"/>
    <w:rsid w:val="70692F9C"/>
    <w:rsid w:val="706C1141"/>
    <w:rsid w:val="70767889"/>
    <w:rsid w:val="70785D38"/>
    <w:rsid w:val="708F3A7C"/>
    <w:rsid w:val="70967343"/>
    <w:rsid w:val="709E4DCA"/>
    <w:rsid w:val="70B059F8"/>
    <w:rsid w:val="70D0114C"/>
    <w:rsid w:val="70DF34B0"/>
    <w:rsid w:val="70E56550"/>
    <w:rsid w:val="70F2248E"/>
    <w:rsid w:val="70F73DF5"/>
    <w:rsid w:val="71083821"/>
    <w:rsid w:val="71091C4E"/>
    <w:rsid w:val="710A1FB3"/>
    <w:rsid w:val="710F2B11"/>
    <w:rsid w:val="711A4D5D"/>
    <w:rsid w:val="714F373C"/>
    <w:rsid w:val="7169483D"/>
    <w:rsid w:val="71A64CDA"/>
    <w:rsid w:val="71B71FA3"/>
    <w:rsid w:val="71C50B09"/>
    <w:rsid w:val="71C66262"/>
    <w:rsid w:val="71D05A85"/>
    <w:rsid w:val="71DE0B72"/>
    <w:rsid w:val="71DF49FA"/>
    <w:rsid w:val="71E047FD"/>
    <w:rsid w:val="71EC4DE7"/>
    <w:rsid w:val="71F93F96"/>
    <w:rsid w:val="71FA366D"/>
    <w:rsid w:val="71FA608B"/>
    <w:rsid w:val="71FC1AA8"/>
    <w:rsid w:val="72021AB2"/>
    <w:rsid w:val="72207AF2"/>
    <w:rsid w:val="722F5457"/>
    <w:rsid w:val="723132EF"/>
    <w:rsid w:val="72331AE6"/>
    <w:rsid w:val="723F6DE4"/>
    <w:rsid w:val="72414845"/>
    <w:rsid w:val="724A75EE"/>
    <w:rsid w:val="72573F37"/>
    <w:rsid w:val="725E4ABA"/>
    <w:rsid w:val="725F2577"/>
    <w:rsid w:val="726227FC"/>
    <w:rsid w:val="726A5EB8"/>
    <w:rsid w:val="727201B6"/>
    <w:rsid w:val="72913307"/>
    <w:rsid w:val="72934881"/>
    <w:rsid w:val="729D3834"/>
    <w:rsid w:val="72AC51DF"/>
    <w:rsid w:val="72C20202"/>
    <w:rsid w:val="72C321BA"/>
    <w:rsid w:val="72DF73C1"/>
    <w:rsid w:val="72E134D3"/>
    <w:rsid w:val="72E377E9"/>
    <w:rsid w:val="72F31A3A"/>
    <w:rsid w:val="732A113B"/>
    <w:rsid w:val="73335F46"/>
    <w:rsid w:val="73706993"/>
    <w:rsid w:val="73797250"/>
    <w:rsid w:val="73A75ADA"/>
    <w:rsid w:val="73B21561"/>
    <w:rsid w:val="73C72801"/>
    <w:rsid w:val="73D07067"/>
    <w:rsid w:val="73E21E46"/>
    <w:rsid w:val="73EF1E6D"/>
    <w:rsid w:val="73FA17F4"/>
    <w:rsid w:val="74050685"/>
    <w:rsid w:val="74281DF1"/>
    <w:rsid w:val="742A7349"/>
    <w:rsid w:val="74324450"/>
    <w:rsid w:val="74361851"/>
    <w:rsid w:val="74367A9C"/>
    <w:rsid w:val="743E198B"/>
    <w:rsid w:val="745F7E26"/>
    <w:rsid w:val="747E04B8"/>
    <w:rsid w:val="748E631E"/>
    <w:rsid w:val="749838FA"/>
    <w:rsid w:val="749D7288"/>
    <w:rsid w:val="74A61660"/>
    <w:rsid w:val="74A9466F"/>
    <w:rsid w:val="74AA2238"/>
    <w:rsid w:val="74AC5FB0"/>
    <w:rsid w:val="74AF784E"/>
    <w:rsid w:val="74B07967"/>
    <w:rsid w:val="74CB4479"/>
    <w:rsid w:val="74CF3AE2"/>
    <w:rsid w:val="74D55416"/>
    <w:rsid w:val="74D865F8"/>
    <w:rsid w:val="74DD15D0"/>
    <w:rsid w:val="74DD5034"/>
    <w:rsid w:val="74E34F73"/>
    <w:rsid w:val="74EC0CBA"/>
    <w:rsid w:val="75047B9A"/>
    <w:rsid w:val="75056CA1"/>
    <w:rsid w:val="750951B1"/>
    <w:rsid w:val="7512147B"/>
    <w:rsid w:val="75854AD6"/>
    <w:rsid w:val="758B611F"/>
    <w:rsid w:val="75A5300F"/>
    <w:rsid w:val="75A9113C"/>
    <w:rsid w:val="75B172CA"/>
    <w:rsid w:val="75B65D05"/>
    <w:rsid w:val="75B726B5"/>
    <w:rsid w:val="75BF3AC1"/>
    <w:rsid w:val="75C5257F"/>
    <w:rsid w:val="75CC7327"/>
    <w:rsid w:val="75D5254C"/>
    <w:rsid w:val="75DD295D"/>
    <w:rsid w:val="75DE488F"/>
    <w:rsid w:val="75E41B5D"/>
    <w:rsid w:val="75F21E91"/>
    <w:rsid w:val="75F23E97"/>
    <w:rsid w:val="75F91CF2"/>
    <w:rsid w:val="75FF0185"/>
    <w:rsid w:val="76151DEB"/>
    <w:rsid w:val="76181E32"/>
    <w:rsid w:val="7620778A"/>
    <w:rsid w:val="762B1157"/>
    <w:rsid w:val="76303A1C"/>
    <w:rsid w:val="76412C73"/>
    <w:rsid w:val="76440A69"/>
    <w:rsid w:val="765F5148"/>
    <w:rsid w:val="766528BB"/>
    <w:rsid w:val="767D25AD"/>
    <w:rsid w:val="767E572A"/>
    <w:rsid w:val="769641E6"/>
    <w:rsid w:val="76966F18"/>
    <w:rsid w:val="76AB084C"/>
    <w:rsid w:val="76B83B28"/>
    <w:rsid w:val="76D4748A"/>
    <w:rsid w:val="76E00627"/>
    <w:rsid w:val="76F71179"/>
    <w:rsid w:val="771103DB"/>
    <w:rsid w:val="77171BB4"/>
    <w:rsid w:val="771816DB"/>
    <w:rsid w:val="773D3837"/>
    <w:rsid w:val="7747607B"/>
    <w:rsid w:val="774A578E"/>
    <w:rsid w:val="774C5A91"/>
    <w:rsid w:val="77517B34"/>
    <w:rsid w:val="77530965"/>
    <w:rsid w:val="77754C9B"/>
    <w:rsid w:val="77957B44"/>
    <w:rsid w:val="77A17957"/>
    <w:rsid w:val="77A972A0"/>
    <w:rsid w:val="77B238DE"/>
    <w:rsid w:val="77B92207"/>
    <w:rsid w:val="77BE6924"/>
    <w:rsid w:val="77D1278F"/>
    <w:rsid w:val="77D47E1D"/>
    <w:rsid w:val="77DC6BAC"/>
    <w:rsid w:val="77F77BA5"/>
    <w:rsid w:val="78042366"/>
    <w:rsid w:val="78096308"/>
    <w:rsid w:val="781400F4"/>
    <w:rsid w:val="781657CD"/>
    <w:rsid w:val="7840538D"/>
    <w:rsid w:val="78414C61"/>
    <w:rsid w:val="7846462C"/>
    <w:rsid w:val="785A1815"/>
    <w:rsid w:val="785B1746"/>
    <w:rsid w:val="78602398"/>
    <w:rsid w:val="7867549A"/>
    <w:rsid w:val="786E0F88"/>
    <w:rsid w:val="787E7C64"/>
    <w:rsid w:val="788B35A1"/>
    <w:rsid w:val="788C3583"/>
    <w:rsid w:val="789C00FD"/>
    <w:rsid w:val="78AD42A1"/>
    <w:rsid w:val="78B30E31"/>
    <w:rsid w:val="78CC04D0"/>
    <w:rsid w:val="78E330B9"/>
    <w:rsid w:val="78E35D19"/>
    <w:rsid w:val="78E8470B"/>
    <w:rsid w:val="78EB5DD4"/>
    <w:rsid w:val="78EC192C"/>
    <w:rsid w:val="78F10436"/>
    <w:rsid w:val="78FF7F6B"/>
    <w:rsid w:val="790924BF"/>
    <w:rsid w:val="790A14F7"/>
    <w:rsid w:val="79221C7D"/>
    <w:rsid w:val="79272682"/>
    <w:rsid w:val="793123BB"/>
    <w:rsid w:val="79315982"/>
    <w:rsid w:val="79375400"/>
    <w:rsid w:val="79425135"/>
    <w:rsid w:val="796912EC"/>
    <w:rsid w:val="79692637"/>
    <w:rsid w:val="797B4037"/>
    <w:rsid w:val="79852283"/>
    <w:rsid w:val="798F3CF5"/>
    <w:rsid w:val="79A547A8"/>
    <w:rsid w:val="79B817CF"/>
    <w:rsid w:val="79C55B85"/>
    <w:rsid w:val="79D21C68"/>
    <w:rsid w:val="79D34A8C"/>
    <w:rsid w:val="79D643E1"/>
    <w:rsid w:val="79DA2DAC"/>
    <w:rsid w:val="79F10830"/>
    <w:rsid w:val="79F427D5"/>
    <w:rsid w:val="79FB4922"/>
    <w:rsid w:val="7A434CC1"/>
    <w:rsid w:val="7A441BDC"/>
    <w:rsid w:val="7A4A24F3"/>
    <w:rsid w:val="7A74131E"/>
    <w:rsid w:val="7A7E0046"/>
    <w:rsid w:val="7A9B7A0F"/>
    <w:rsid w:val="7A9F42A7"/>
    <w:rsid w:val="7AB255DA"/>
    <w:rsid w:val="7ABB3E49"/>
    <w:rsid w:val="7ACC0CA5"/>
    <w:rsid w:val="7ACE4A8A"/>
    <w:rsid w:val="7AD45F3A"/>
    <w:rsid w:val="7AE71AF0"/>
    <w:rsid w:val="7AF551D5"/>
    <w:rsid w:val="7AFE31BF"/>
    <w:rsid w:val="7B0240F7"/>
    <w:rsid w:val="7B0E3521"/>
    <w:rsid w:val="7B0F39C5"/>
    <w:rsid w:val="7B1202AD"/>
    <w:rsid w:val="7B144F61"/>
    <w:rsid w:val="7B1A4065"/>
    <w:rsid w:val="7B223589"/>
    <w:rsid w:val="7B263271"/>
    <w:rsid w:val="7B325158"/>
    <w:rsid w:val="7B6026AF"/>
    <w:rsid w:val="7B6E4E1A"/>
    <w:rsid w:val="7BA5733A"/>
    <w:rsid w:val="7BAB70F5"/>
    <w:rsid w:val="7BC93314"/>
    <w:rsid w:val="7BE17A6C"/>
    <w:rsid w:val="7BEC1388"/>
    <w:rsid w:val="7C0045F5"/>
    <w:rsid w:val="7C056E04"/>
    <w:rsid w:val="7C057262"/>
    <w:rsid w:val="7C070D1D"/>
    <w:rsid w:val="7C0E4432"/>
    <w:rsid w:val="7C145249"/>
    <w:rsid w:val="7C4C2F17"/>
    <w:rsid w:val="7C7F70FF"/>
    <w:rsid w:val="7C8620BC"/>
    <w:rsid w:val="7C866556"/>
    <w:rsid w:val="7C952CBC"/>
    <w:rsid w:val="7C9611D3"/>
    <w:rsid w:val="7C9D7437"/>
    <w:rsid w:val="7CA55A57"/>
    <w:rsid w:val="7CA67D4D"/>
    <w:rsid w:val="7CAB5B76"/>
    <w:rsid w:val="7CC050F7"/>
    <w:rsid w:val="7CC32B00"/>
    <w:rsid w:val="7CCB647A"/>
    <w:rsid w:val="7CCE53D4"/>
    <w:rsid w:val="7CD05C51"/>
    <w:rsid w:val="7CD1352B"/>
    <w:rsid w:val="7CD65D10"/>
    <w:rsid w:val="7CDE2B25"/>
    <w:rsid w:val="7CF3015E"/>
    <w:rsid w:val="7CF5053A"/>
    <w:rsid w:val="7D031D4D"/>
    <w:rsid w:val="7D136946"/>
    <w:rsid w:val="7D1F71B1"/>
    <w:rsid w:val="7D2F3333"/>
    <w:rsid w:val="7D6E282C"/>
    <w:rsid w:val="7D7004C3"/>
    <w:rsid w:val="7D7C5797"/>
    <w:rsid w:val="7D8A0A2F"/>
    <w:rsid w:val="7DAF3490"/>
    <w:rsid w:val="7DC777AD"/>
    <w:rsid w:val="7DC90EEA"/>
    <w:rsid w:val="7DCD5C11"/>
    <w:rsid w:val="7DD43A04"/>
    <w:rsid w:val="7DDA60E0"/>
    <w:rsid w:val="7DDA6751"/>
    <w:rsid w:val="7DF60575"/>
    <w:rsid w:val="7DF84014"/>
    <w:rsid w:val="7DFA576E"/>
    <w:rsid w:val="7DFB0DF6"/>
    <w:rsid w:val="7E564D01"/>
    <w:rsid w:val="7E6913DD"/>
    <w:rsid w:val="7E6B23A3"/>
    <w:rsid w:val="7E7C6429"/>
    <w:rsid w:val="7E8007C3"/>
    <w:rsid w:val="7E821422"/>
    <w:rsid w:val="7E83530F"/>
    <w:rsid w:val="7E8624E0"/>
    <w:rsid w:val="7E887EFE"/>
    <w:rsid w:val="7E91057C"/>
    <w:rsid w:val="7E975A98"/>
    <w:rsid w:val="7E9C0E44"/>
    <w:rsid w:val="7E9C2818"/>
    <w:rsid w:val="7ECE303F"/>
    <w:rsid w:val="7EEA1BAF"/>
    <w:rsid w:val="7EF07601"/>
    <w:rsid w:val="7EF34A81"/>
    <w:rsid w:val="7EF667A6"/>
    <w:rsid w:val="7EF81B46"/>
    <w:rsid w:val="7EFBA7C9"/>
    <w:rsid w:val="7F2301A8"/>
    <w:rsid w:val="7F73293C"/>
    <w:rsid w:val="7F7814C8"/>
    <w:rsid w:val="7F7D7C2E"/>
    <w:rsid w:val="7F7E636A"/>
    <w:rsid w:val="7F7F3533"/>
    <w:rsid w:val="7F8813C8"/>
    <w:rsid w:val="7F8E7AC1"/>
    <w:rsid w:val="7F9D2987"/>
    <w:rsid w:val="7F9F23E4"/>
    <w:rsid w:val="7FA81C43"/>
    <w:rsid w:val="7FBB2779"/>
    <w:rsid w:val="7FD15EAB"/>
    <w:rsid w:val="7FD5469B"/>
    <w:rsid w:val="7FDC1D96"/>
    <w:rsid w:val="7FDD1714"/>
    <w:rsid w:val="7FE252F2"/>
    <w:rsid w:val="7FF058EB"/>
    <w:rsid w:val="7FF7366D"/>
    <w:rsid w:val="BFF7C53F"/>
    <w:rsid w:val="F6BB0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7"/>
    <w:qFormat/>
    <w:uiPriority w:val="0"/>
    <w:pPr>
      <w:keepNext/>
      <w:spacing w:line="440" w:lineRule="exact"/>
      <w:jc w:val="center"/>
      <w:outlineLvl w:val="0"/>
    </w:pPr>
    <w:rPr>
      <w:rFonts w:ascii="宋体"/>
      <w:sz w:val="28"/>
    </w:rPr>
  </w:style>
  <w:style w:type="paragraph" w:styleId="4">
    <w:name w:val="heading 2"/>
    <w:basedOn w:val="1"/>
    <w:next w:val="1"/>
    <w:link w:val="58"/>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59"/>
    <w:qFormat/>
    <w:uiPriority w:val="0"/>
    <w:pPr>
      <w:keepNext/>
      <w:tabs>
        <w:tab w:val="left" w:pos="480"/>
      </w:tabs>
      <w:spacing w:line="400" w:lineRule="exact"/>
      <w:ind w:left="480" w:hanging="480"/>
      <w:jc w:val="center"/>
      <w:outlineLvl w:val="2"/>
    </w:pPr>
    <w:rPr>
      <w:rFonts w:ascii="仿宋_GB2312" w:eastAsia="仿宋_GB2312"/>
      <w:sz w:val="32"/>
    </w:rPr>
  </w:style>
  <w:style w:type="paragraph" w:styleId="6">
    <w:name w:val="heading 4"/>
    <w:basedOn w:val="1"/>
    <w:next w:val="1"/>
    <w:link w:val="56"/>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60"/>
    <w:qFormat/>
    <w:uiPriority w:val="0"/>
    <w:pPr>
      <w:keepNext/>
      <w:keepLines/>
      <w:autoSpaceDE w:val="0"/>
      <w:autoSpaceDN w:val="0"/>
      <w:adjustRightInd w:val="0"/>
      <w:spacing w:before="280" w:after="290" w:line="376" w:lineRule="auto"/>
      <w:jc w:val="left"/>
      <w:outlineLvl w:val="4"/>
    </w:pPr>
    <w:rPr>
      <w:rFonts w:ascii="宋体"/>
      <w:b/>
      <w:bCs/>
      <w:kern w:val="0"/>
      <w:sz w:val="28"/>
      <w:szCs w:val="28"/>
    </w:rPr>
  </w:style>
  <w:style w:type="paragraph" w:styleId="8">
    <w:name w:val="heading 6"/>
    <w:basedOn w:val="1"/>
    <w:next w:val="1"/>
    <w:link w:val="61"/>
    <w:qFormat/>
    <w:uiPriority w:val="0"/>
    <w:pPr>
      <w:keepNext/>
      <w:keepLines/>
      <w:autoSpaceDE w:val="0"/>
      <w:autoSpaceDN w:val="0"/>
      <w:adjustRightInd w:val="0"/>
      <w:spacing w:before="240" w:after="64" w:line="320" w:lineRule="auto"/>
      <w:jc w:val="left"/>
      <w:outlineLvl w:val="5"/>
    </w:pPr>
    <w:rPr>
      <w:rFonts w:ascii="Arial" w:hAnsi="Arial" w:eastAsia="黑体"/>
      <w:b/>
      <w:bCs/>
      <w:kern w:val="0"/>
      <w:sz w:val="24"/>
      <w:szCs w:val="24"/>
    </w:rPr>
  </w:style>
  <w:style w:type="paragraph" w:styleId="9">
    <w:name w:val="heading 8"/>
    <w:basedOn w:val="1"/>
    <w:next w:val="1"/>
    <w:link w:val="62"/>
    <w:qFormat/>
    <w:uiPriority w:val="0"/>
    <w:pPr>
      <w:keepNext/>
      <w:keepLines/>
      <w:autoSpaceDE w:val="0"/>
      <w:autoSpaceDN w:val="0"/>
      <w:adjustRightInd w:val="0"/>
      <w:spacing w:before="240" w:after="64" w:line="320" w:lineRule="auto"/>
      <w:jc w:val="left"/>
      <w:outlineLvl w:val="7"/>
    </w:pPr>
    <w:rPr>
      <w:rFonts w:ascii="Arial" w:hAnsi="Arial" w:eastAsia="黑体"/>
      <w:kern w:val="0"/>
      <w:sz w:val="24"/>
      <w:szCs w:val="24"/>
    </w:rPr>
  </w:style>
  <w:style w:type="paragraph" w:styleId="10">
    <w:name w:val="heading 9"/>
    <w:basedOn w:val="1"/>
    <w:next w:val="1"/>
    <w:link w:val="63"/>
    <w:qFormat/>
    <w:uiPriority w:val="0"/>
    <w:pPr>
      <w:keepNext/>
      <w:keepLines/>
      <w:autoSpaceDE w:val="0"/>
      <w:autoSpaceDN w:val="0"/>
      <w:adjustRightInd w:val="0"/>
      <w:spacing w:before="240" w:after="64" w:line="320" w:lineRule="auto"/>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link w:val="7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rPr>
  </w:style>
  <w:style w:type="paragraph" w:styleId="11">
    <w:name w:val="List 3"/>
    <w:basedOn w:val="1"/>
    <w:qFormat/>
    <w:uiPriority w:val="0"/>
    <w:pPr>
      <w:ind w:left="100" w:leftChars="400" w:hanging="200" w:hangingChars="200"/>
      <w:contextualSpacing/>
    </w:pPr>
  </w:style>
  <w:style w:type="paragraph" w:styleId="12">
    <w:name w:val="toc 7"/>
    <w:basedOn w:val="1"/>
    <w:next w:val="1"/>
    <w:qFormat/>
    <w:uiPriority w:val="39"/>
    <w:pPr>
      <w:ind w:left="2520" w:leftChars="1200"/>
    </w:pPr>
  </w:style>
  <w:style w:type="paragraph" w:styleId="13">
    <w:name w:val="Normal Indent"/>
    <w:basedOn w:val="1"/>
    <w:link w:val="64"/>
    <w:qFormat/>
    <w:uiPriority w:val="0"/>
    <w:pPr>
      <w:ind w:firstLine="420"/>
    </w:pPr>
    <w:rPr>
      <w:b/>
      <w:sz w:val="24"/>
    </w:rPr>
  </w:style>
  <w:style w:type="paragraph" w:styleId="14">
    <w:name w:val="caption"/>
    <w:basedOn w:val="1"/>
    <w:next w:val="1"/>
    <w:qFormat/>
    <w:uiPriority w:val="0"/>
    <w:pPr>
      <w:spacing w:line="360" w:lineRule="auto"/>
      <w:ind w:firstLine="200" w:firstLineChars="200"/>
    </w:pPr>
    <w:rPr>
      <w:rFonts w:ascii="Cambria" w:hAnsi="Cambria" w:eastAsia="黑体"/>
      <w:sz w:val="20"/>
    </w:rPr>
  </w:style>
  <w:style w:type="paragraph" w:styleId="15">
    <w:name w:val="List Bullet"/>
    <w:basedOn w:val="1"/>
    <w:qFormat/>
    <w:uiPriority w:val="0"/>
    <w:pPr>
      <w:tabs>
        <w:tab w:val="left" w:pos="0"/>
        <w:tab w:val="left" w:pos="360"/>
      </w:tabs>
      <w:adjustRightInd w:val="0"/>
      <w:spacing w:line="360" w:lineRule="atLeast"/>
      <w:ind w:firstLine="288"/>
      <w:textAlignment w:val="baseline"/>
    </w:pPr>
    <w:rPr>
      <w:rFonts w:ascii="Arial" w:hAnsi="Arial"/>
      <w:szCs w:val="21"/>
    </w:rPr>
  </w:style>
  <w:style w:type="paragraph" w:styleId="16">
    <w:name w:val="Document Map"/>
    <w:basedOn w:val="1"/>
    <w:link w:val="65"/>
    <w:qFormat/>
    <w:uiPriority w:val="0"/>
    <w:pPr>
      <w:autoSpaceDE w:val="0"/>
      <w:autoSpaceDN w:val="0"/>
      <w:adjustRightInd w:val="0"/>
      <w:jc w:val="left"/>
    </w:pPr>
    <w:rPr>
      <w:rFonts w:ascii="宋体" w:eastAsia="仿宋_GB2312"/>
      <w:kern w:val="0"/>
      <w:sz w:val="18"/>
      <w:szCs w:val="18"/>
    </w:rPr>
  </w:style>
  <w:style w:type="paragraph" w:styleId="17">
    <w:name w:val="toa heading"/>
    <w:basedOn w:val="1"/>
    <w:next w:val="1"/>
    <w:qFormat/>
    <w:uiPriority w:val="0"/>
    <w:pPr>
      <w:spacing w:before="120"/>
    </w:pPr>
    <w:rPr>
      <w:rFonts w:ascii="Arial" w:hAnsi="Arial" w:cs="Arial"/>
      <w:sz w:val="24"/>
      <w:szCs w:val="24"/>
    </w:rPr>
  </w:style>
  <w:style w:type="paragraph" w:styleId="18">
    <w:name w:val="annotation text"/>
    <w:basedOn w:val="1"/>
    <w:link w:val="66"/>
    <w:qFormat/>
    <w:uiPriority w:val="0"/>
    <w:pPr>
      <w:jc w:val="left"/>
    </w:pPr>
  </w:style>
  <w:style w:type="paragraph" w:styleId="19">
    <w:name w:val="Body Text"/>
    <w:basedOn w:val="1"/>
    <w:link w:val="67"/>
    <w:qFormat/>
    <w:uiPriority w:val="0"/>
    <w:rPr>
      <w:rFonts w:ascii="宋体"/>
      <w:sz w:val="28"/>
    </w:rPr>
  </w:style>
  <w:style w:type="paragraph" w:styleId="20">
    <w:name w:val="Body Text Indent"/>
    <w:basedOn w:val="1"/>
    <w:link w:val="68"/>
    <w:qFormat/>
    <w:uiPriority w:val="0"/>
    <w:pPr>
      <w:spacing w:line="360" w:lineRule="auto"/>
      <w:ind w:firstLine="420"/>
    </w:pPr>
    <w:rPr>
      <w:rFonts w:ascii="宋体"/>
      <w:sz w:val="24"/>
    </w:rPr>
  </w:style>
  <w:style w:type="paragraph" w:styleId="21">
    <w:name w:val="List 2"/>
    <w:basedOn w:val="1"/>
    <w:qFormat/>
    <w:uiPriority w:val="0"/>
    <w:pPr>
      <w:ind w:left="100" w:leftChars="200" w:hanging="200" w:hangingChars="200"/>
    </w:pPr>
  </w:style>
  <w:style w:type="paragraph" w:styleId="22">
    <w:name w:val="Block Text"/>
    <w:basedOn w:val="1"/>
    <w:unhideWhenUsed/>
    <w:qFormat/>
    <w:uiPriority w:val="99"/>
    <w:pPr>
      <w:spacing w:after="120"/>
      <w:ind w:left="1440" w:leftChars="700" w:right="1440" w:rightChars="700"/>
    </w:pPr>
  </w:style>
  <w:style w:type="paragraph" w:styleId="23">
    <w:name w:val="index 4"/>
    <w:basedOn w:val="1"/>
    <w:next w:val="1"/>
    <w:qFormat/>
    <w:uiPriority w:val="99"/>
    <w:pPr>
      <w:widowControl w:val="0"/>
      <w:ind w:left="600" w:leftChars="600"/>
      <w:jc w:val="both"/>
    </w:pPr>
    <w:rPr>
      <w:rFonts w:ascii="Calibri" w:hAnsi="Calibri" w:eastAsia="宋体" w:cs="Times New Roman"/>
      <w:kern w:val="2"/>
      <w:sz w:val="21"/>
      <w:szCs w:val="24"/>
      <w:lang w:val="en-US" w:eastAsia="zh-CN" w:bidi="ar-SA"/>
    </w:rPr>
  </w:style>
  <w:style w:type="paragraph" w:styleId="24">
    <w:name w:val="toc 5"/>
    <w:basedOn w:val="1"/>
    <w:next w:val="1"/>
    <w:qFormat/>
    <w:uiPriority w:val="39"/>
    <w:pPr>
      <w:ind w:left="1680" w:leftChars="800"/>
    </w:pPr>
  </w:style>
  <w:style w:type="paragraph" w:styleId="25">
    <w:name w:val="toc 3"/>
    <w:basedOn w:val="1"/>
    <w:next w:val="1"/>
    <w:qFormat/>
    <w:uiPriority w:val="39"/>
    <w:pPr>
      <w:ind w:left="840" w:leftChars="400"/>
    </w:pPr>
  </w:style>
  <w:style w:type="paragraph" w:styleId="26">
    <w:name w:val="Plain Text"/>
    <w:basedOn w:val="1"/>
    <w:link w:val="69"/>
    <w:qFormat/>
    <w:uiPriority w:val="0"/>
    <w:rPr>
      <w:rFonts w:ascii="宋体" w:hAnsi="Courier New"/>
    </w:rPr>
  </w:style>
  <w:style w:type="paragraph" w:styleId="27">
    <w:name w:val="toc 8"/>
    <w:basedOn w:val="1"/>
    <w:next w:val="1"/>
    <w:qFormat/>
    <w:uiPriority w:val="39"/>
    <w:pPr>
      <w:ind w:left="2940" w:leftChars="1400"/>
    </w:pPr>
  </w:style>
  <w:style w:type="paragraph" w:styleId="28">
    <w:name w:val="Date"/>
    <w:basedOn w:val="1"/>
    <w:next w:val="1"/>
    <w:link w:val="70"/>
    <w:qFormat/>
    <w:uiPriority w:val="0"/>
    <w:rPr>
      <w:rFonts w:ascii="宋体"/>
    </w:rPr>
  </w:style>
  <w:style w:type="paragraph" w:styleId="29">
    <w:name w:val="Body Text Indent 2"/>
    <w:basedOn w:val="1"/>
    <w:link w:val="71"/>
    <w:qFormat/>
    <w:uiPriority w:val="0"/>
    <w:pPr>
      <w:spacing w:line="420" w:lineRule="exact"/>
      <w:ind w:firstLine="525"/>
    </w:pPr>
    <w:rPr>
      <w:rFonts w:ascii="宋体"/>
    </w:rPr>
  </w:style>
  <w:style w:type="paragraph" w:styleId="30">
    <w:name w:val="Balloon Text"/>
    <w:basedOn w:val="1"/>
    <w:link w:val="72"/>
    <w:qFormat/>
    <w:uiPriority w:val="99"/>
    <w:rPr>
      <w:sz w:val="18"/>
      <w:szCs w:val="18"/>
    </w:rPr>
  </w:style>
  <w:style w:type="paragraph" w:styleId="31">
    <w:name w:val="footer"/>
    <w:basedOn w:val="1"/>
    <w:link w:val="73"/>
    <w:qFormat/>
    <w:uiPriority w:val="99"/>
    <w:pPr>
      <w:tabs>
        <w:tab w:val="center" w:pos="4153"/>
        <w:tab w:val="right" w:pos="8306"/>
      </w:tabs>
      <w:snapToGrid w:val="0"/>
      <w:jc w:val="left"/>
    </w:pPr>
    <w:rPr>
      <w:sz w:val="18"/>
    </w:rPr>
  </w:style>
  <w:style w:type="paragraph" w:styleId="32">
    <w:name w:val="envelope return"/>
    <w:basedOn w:val="1"/>
    <w:qFormat/>
    <w:uiPriority w:val="0"/>
    <w:pPr>
      <w:snapToGrid w:val="0"/>
    </w:pPr>
    <w:rPr>
      <w:rFonts w:ascii="Arial" w:hAnsi="Arial" w:eastAsia="宋体" w:cs="Times New Roman"/>
    </w:rPr>
  </w:style>
  <w:style w:type="paragraph" w:styleId="33">
    <w:name w:val="header"/>
    <w:basedOn w:val="1"/>
    <w:link w:val="74"/>
    <w:qFormat/>
    <w:uiPriority w:val="99"/>
    <w:pPr>
      <w:pBdr>
        <w:bottom w:val="single" w:color="auto" w:sz="6" w:space="1"/>
      </w:pBdr>
      <w:tabs>
        <w:tab w:val="center" w:pos="4153"/>
        <w:tab w:val="right" w:pos="8306"/>
      </w:tabs>
      <w:snapToGrid w:val="0"/>
      <w:jc w:val="center"/>
    </w:pPr>
    <w:rPr>
      <w:sz w:val="18"/>
    </w:rPr>
  </w:style>
  <w:style w:type="paragraph" w:styleId="34">
    <w:name w:val="toc 1"/>
    <w:basedOn w:val="1"/>
    <w:next w:val="1"/>
    <w:qFormat/>
    <w:uiPriority w:val="39"/>
  </w:style>
  <w:style w:type="paragraph" w:styleId="35">
    <w:name w:val="toc 4"/>
    <w:basedOn w:val="1"/>
    <w:next w:val="1"/>
    <w:qFormat/>
    <w:uiPriority w:val="39"/>
    <w:pPr>
      <w:ind w:left="1260" w:leftChars="600"/>
    </w:pPr>
  </w:style>
  <w:style w:type="paragraph" w:styleId="36">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7">
    <w:name w:val="List"/>
    <w:basedOn w:val="1"/>
    <w:qFormat/>
    <w:uiPriority w:val="0"/>
    <w:pPr>
      <w:ind w:left="420" w:hanging="420"/>
    </w:pPr>
    <w:rPr>
      <w:rFonts w:ascii="Arial" w:hAnsi="Arial" w:eastAsia="楷体_GB2312" w:cs="Times New Roman"/>
      <w:sz w:val="28"/>
    </w:rPr>
  </w:style>
  <w:style w:type="paragraph" w:styleId="38">
    <w:name w:val="toc 6"/>
    <w:basedOn w:val="1"/>
    <w:next w:val="1"/>
    <w:qFormat/>
    <w:uiPriority w:val="39"/>
    <w:pPr>
      <w:ind w:left="2100" w:leftChars="1000"/>
    </w:pPr>
  </w:style>
  <w:style w:type="paragraph" w:styleId="39">
    <w:name w:val="Body Text Indent 3"/>
    <w:basedOn w:val="1"/>
    <w:link w:val="76"/>
    <w:qFormat/>
    <w:uiPriority w:val="0"/>
    <w:pPr>
      <w:ind w:firstLine="841" w:firstLineChars="100"/>
    </w:pPr>
    <w:rPr>
      <w:rFonts w:eastAsia="华文新魏"/>
      <w:b/>
      <w:bCs/>
      <w:sz w:val="84"/>
    </w:rPr>
  </w:style>
  <w:style w:type="paragraph" w:styleId="40">
    <w:name w:val="toc 2"/>
    <w:basedOn w:val="1"/>
    <w:next w:val="1"/>
    <w:qFormat/>
    <w:uiPriority w:val="39"/>
    <w:pPr>
      <w:ind w:left="420" w:leftChars="200"/>
    </w:pPr>
  </w:style>
  <w:style w:type="paragraph" w:styleId="41">
    <w:name w:val="toc 9"/>
    <w:basedOn w:val="1"/>
    <w:next w:val="1"/>
    <w:qFormat/>
    <w:uiPriority w:val="39"/>
    <w:pPr>
      <w:ind w:left="3360" w:leftChars="1600"/>
    </w:pPr>
  </w:style>
  <w:style w:type="paragraph" w:styleId="42">
    <w:name w:val="Normal (Web)"/>
    <w:basedOn w:val="1"/>
    <w:qFormat/>
    <w:uiPriority w:val="0"/>
    <w:pPr>
      <w:widowControl/>
      <w:spacing w:before="100" w:beforeAutospacing="1" w:after="100" w:afterAutospacing="1"/>
      <w:jc w:val="left"/>
    </w:pPr>
    <w:rPr>
      <w:rFonts w:ascii="Arial Unicode MS" w:hAnsi="Arial Unicode MS" w:eastAsia="Arial Unicode MS"/>
      <w:color w:val="000000"/>
      <w:kern w:val="0"/>
      <w:sz w:val="24"/>
      <w:szCs w:val="24"/>
    </w:rPr>
  </w:style>
  <w:style w:type="paragraph" w:styleId="43">
    <w:name w:val="Title"/>
    <w:basedOn w:val="1"/>
    <w:link w:val="78"/>
    <w:qFormat/>
    <w:uiPriority w:val="10"/>
    <w:pPr>
      <w:jc w:val="center"/>
    </w:pPr>
    <w:rPr>
      <w:sz w:val="30"/>
      <w:szCs w:val="24"/>
    </w:rPr>
  </w:style>
  <w:style w:type="paragraph" w:styleId="44">
    <w:name w:val="annotation subject"/>
    <w:basedOn w:val="18"/>
    <w:next w:val="18"/>
    <w:link w:val="79"/>
    <w:qFormat/>
    <w:uiPriority w:val="0"/>
    <w:rPr>
      <w:b/>
      <w:bCs/>
    </w:rPr>
  </w:style>
  <w:style w:type="paragraph" w:styleId="45">
    <w:name w:val="Body Text First Indent"/>
    <w:basedOn w:val="19"/>
    <w:qFormat/>
    <w:uiPriority w:val="0"/>
    <w:pPr>
      <w:spacing w:line="360" w:lineRule="auto"/>
      <w:ind w:firstLine="420" w:firstLineChars="100"/>
    </w:pPr>
    <w:rPr>
      <w:rFonts w:ascii="Times New Roman"/>
      <w:szCs w:val="21"/>
    </w:rPr>
  </w:style>
  <w:style w:type="paragraph" w:styleId="46">
    <w:name w:val="Body Text First Indent 2"/>
    <w:basedOn w:val="20"/>
    <w:next w:val="37"/>
    <w:qFormat/>
    <w:uiPriority w:val="0"/>
  </w:style>
  <w:style w:type="table" w:styleId="48">
    <w:name w:val="Table Grid"/>
    <w:basedOn w:val="47"/>
    <w:qFormat/>
    <w:uiPriority w:val="0"/>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b/>
      <w:bCs/>
    </w:rPr>
  </w:style>
  <w:style w:type="character" w:styleId="51">
    <w:name w:val="page number"/>
    <w:qFormat/>
    <w:uiPriority w:val="0"/>
  </w:style>
  <w:style w:type="character" w:styleId="52">
    <w:name w:val="Emphasis"/>
    <w:qFormat/>
    <w:uiPriority w:val="0"/>
    <w:rPr>
      <w:i/>
    </w:rPr>
  </w:style>
  <w:style w:type="character" w:styleId="53">
    <w:name w:val="Hyperlink"/>
    <w:qFormat/>
    <w:uiPriority w:val="99"/>
    <w:rPr>
      <w:color w:val="333333"/>
      <w:u w:val="none"/>
    </w:rPr>
  </w:style>
  <w:style w:type="character" w:styleId="54">
    <w:name w:val="annotation reference"/>
    <w:qFormat/>
    <w:uiPriority w:val="0"/>
    <w:rPr>
      <w:sz w:val="21"/>
      <w:szCs w:val="21"/>
    </w:rPr>
  </w:style>
  <w:style w:type="paragraph" w:customStyle="1" w:styleId="55">
    <w:name w:val="_Style 2"/>
    <w:basedOn w:val="1"/>
    <w:qFormat/>
    <w:uiPriority w:val="34"/>
    <w:pPr>
      <w:ind w:firstLine="420" w:firstLineChars="200"/>
    </w:pPr>
    <w:rPr>
      <w:szCs w:val="24"/>
    </w:rPr>
  </w:style>
  <w:style w:type="character" w:customStyle="1" w:styleId="56">
    <w:name w:val="标题 4 Char2"/>
    <w:link w:val="6"/>
    <w:qFormat/>
    <w:uiPriority w:val="0"/>
    <w:rPr>
      <w:rFonts w:ascii="Arial" w:hAnsi="Arial" w:eastAsia="黑体" w:cs="Arial"/>
      <w:b/>
      <w:bCs/>
      <w:kern w:val="2"/>
      <w:sz w:val="28"/>
      <w:szCs w:val="28"/>
    </w:rPr>
  </w:style>
  <w:style w:type="character" w:customStyle="1" w:styleId="57">
    <w:name w:val="标题 1 Char2"/>
    <w:link w:val="3"/>
    <w:qFormat/>
    <w:uiPriority w:val="0"/>
    <w:rPr>
      <w:rFonts w:ascii="宋体"/>
      <w:kern w:val="2"/>
      <w:sz w:val="28"/>
    </w:rPr>
  </w:style>
  <w:style w:type="character" w:customStyle="1" w:styleId="58">
    <w:name w:val="标题 2 Char2"/>
    <w:link w:val="4"/>
    <w:qFormat/>
    <w:uiPriority w:val="0"/>
    <w:rPr>
      <w:rFonts w:ascii="Arial" w:hAnsi="Arial" w:eastAsia="黑体"/>
      <w:b/>
      <w:bCs/>
      <w:kern w:val="2"/>
      <w:sz w:val="32"/>
      <w:szCs w:val="32"/>
    </w:rPr>
  </w:style>
  <w:style w:type="character" w:customStyle="1" w:styleId="59">
    <w:name w:val="标题 3 Char1"/>
    <w:link w:val="5"/>
    <w:qFormat/>
    <w:uiPriority w:val="0"/>
    <w:rPr>
      <w:rFonts w:ascii="仿宋_GB2312" w:eastAsia="仿宋_GB2312"/>
      <w:kern w:val="2"/>
      <w:sz w:val="32"/>
    </w:rPr>
  </w:style>
  <w:style w:type="character" w:customStyle="1" w:styleId="60">
    <w:name w:val="标题 5 Char1"/>
    <w:link w:val="7"/>
    <w:qFormat/>
    <w:uiPriority w:val="0"/>
    <w:rPr>
      <w:rFonts w:ascii="宋体"/>
      <w:b/>
      <w:bCs/>
      <w:sz w:val="28"/>
      <w:szCs w:val="28"/>
    </w:rPr>
  </w:style>
  <w:style w:type="character" w:customStyle="1" w:styleId="61">
    <w:name w:val="标题 6 Char1"/>
    <w:link w:val="8"/>
    <w:qFormat/>
    <w:uiPriority w:val="0"/>
    <w:rPr>
      <w:rFonts w:ascii="Arial" w:hAnsi="Arial" w:eastAsia="黑体"/>
      <w:b/>
      <w:bCs/>
      <w:sz w:val="24"/>
      <w:szCs w:val="24"/>
    </w:rPr>
  </w:style>
  <w:style w:type="character" w:customStyle="1" w:styleId="62">
    <w:name w:val="标题 8 Char1"/>
    <w:link w:val="9"/>
    <w:qFormat/>
    <w:uiPriority w:val="0"/>
    <w:rPr>
      <w:rFonts w:ascii="Arial" w:hAnsi="Arial" w:eastAsia="黑体"/>
      <w:sz w:val="24"/>
      <w:szCs w:val="24"/>
    </w:rPr>
  </w:style>
  <w:style w:type="character" w:customStyle="1" w:styleId="63">
    <w:name w:val="标题 9 Char1"/>
    <w:link w:val="10"/>
    <w:qFormat/>
    <w:uiPriority w:val="0"/>
    <w:rPr>
      <w:rFonts w:ascii="Arial" w:hAnsi="Arial" w:eastAsia="黑体"/>
      <w:sz w:val="21"/>
      <w:szCs w:val="21"/>
    </w:rPr>
  </w:style>
  <w:style w:type="character" w:customStyle="1" w:styleId="64">
    <w:name w:val="正文缩进 Char1"/>
    <w:link w:val="13"/>
    <w:qFormat/>
    <w:uiPriority w:val="0"/>
    <w:rPr>
      <w:b/>
      <w:kern w:val="2"/>
      <w:sz w:val="24"/>
    </w:rPr>
  </w:style>
  <w:style w:type="character" w:customStyle="1" w:styleId="65">
    <w:name w:val="文档结构图 Char2"/>
    <w:link w:val="16"/>
    <w:qFormat/>
    <w:uiPriority w:val="0"/>
    <w:rPr>
      <w:rFonts w:ascii="宋体" w:eastAsia="仿宋_GB2312"/>
      <w:sz w:val="18"/>
      <w:szCs w:val="18"/>
    </w:rPr>
  </w:style>
  <w:style w:type="character" w:customStyle="1" w:styleId="66">
    <w:name w:val="批注文字 Char1"/>
    <w:link w:val="18"/>
    <w:qFormat/>
    <w:uiPriority w:val="0"/>
    <w:rPr>
      <w:kern w:val="2"/>
      <w:sz w:val="21"/>
    </w:rPr>
  </w:style>
  <w:style w:type="character" w:customStyle="1" w:styleId="67">
    <w:name w:val="正文文本 Char1"/>
    <w:link w:val="19"/>
    <w:qFormat/>
    <w:uiPriority w:val="0"/>
    <w:rPr>
      <w:rFonts w:ascii="宋体" w:eastAsia="宋体"/>
      <w:kern w:val="2"/>
      <w:sz w:val="28"/>
      <w:lang w:val="en-US" w:eastAsia="zh-CN" w:bidi="ar-SA"/>
    </w:rPr>
  </w:style>
  <w:style w:type="character" w:customStyle="1" w:styleId="68">
    <w:name w:val="正文文本缩进 Char2"/>
    <w:link w:val="20"/>
    <w:qFormat/>
    <w:uiPriority w:val="0"/>
    <w:rPr>
      <w:rFonts w:ascii="宋体"/>
      <w:kern w:val="2"/>
      <w:sz w:val="24"/>
    </w:rPr>
  </w:style>
  <w:style w:type="character" w:customStyle="1" w:styleId="69">
    <w:name w:val="纯文本 Char3"/>
    <w:link w:val="26"/>
    <w:qFormat/>
    <w:uiPriority w:val="0"/>
    <w:rPr>
      <w:rFonts w:ascii="宋体" w:hAnsi="Courier New" w:eastAsia="宋体"/>
      <w:kern w:val="2"/>
      <w:sz w:val="21"/>
      <w:lang w:val="en-US" w:eastAsia="zh-CN" w:bidi="ar-SA"/>
    </w:rPr>
  </w:style>
  <w:style w:type="character" w:customStyle="1" w:styleId="70">
    <w:name w:val="日期 Char2"/>
    <w:link w:val="28"/>
    <w:qFormat/>
    <w:uiPriority w:val="0"/>
    <w:rPr>
      <w:rFonts w:ascii="宋体"/>
      <w:kern w:val="2"/>
      <w:sz w:val="21"/>
    </w:rPr>
  </w:style>
  <w:style w:type="character" w:customStyle="1" w:styleId="71">
    <w:name w:val="正文文本缩进 2 Char1"/>
    <w:link w:val="29"/>
    <w:qFormat/>
    <w:uiPriority w:val="0"/>
    <w:rPr>
      <w:rFonts w:ascii="宋体"/>
      <w:kern w:val="2"/>
      <w:sz w:val="21"/>
    </w:rPr>
  </w:style>
  <w:style w:type="character" w:customStyle="1" w:styleId="72">
    <w:name w:val="批注框文本 Char2"/>
    <w:link w:val="30"/>
    <w:semiHidden/>
    <w:qFormat/>
    <w:uiPriority w:val="99"/>
    <w:rPr>
      <w:kern w:val="2"/>
      <w:sz w:val="18"/>
      <w:szCs w:val="18"/>
    </w:rPr>
  </w:style>
  <w:style w:type="character" w:customStyle="1" w:styleId="73">
    <w:name w:val="页脚 Char2"/>
    <w:link w:val="31"/>
    <w:qFormat/>
    <w:uiPriority w:val="99"/>
    <w:rPr>
      <w:kern w:val="2"/>
      <w:sz w:val="18"/>
    </w:rPr>
  </w:style>
  <w:style w:type="character" w:customStyle="1" w:styleId="74">
    <w:name w:val="页眉 Char2"/>
    <w:link w:val="33"/>
    <w:qFormat/>
    <w:uiPriority w:val="99"/>
    <w:rPr>
      <w:kern w:val="2"/>
      <w:sz w:val="18"/>
    </w:rPr>
  </w:style>
  <w:style w:type="character" w:customStyle="1" w:styleId="75">
    <w:name w:val="副标题 Char1"/>
    <w:link w:val="36"/>
    <w:qFormat/>
    <w:uiPriority w:val="0"/>
    <w:rPr>
      <w:rFonts w:ascii="Cambria" w:hAnsi="Cambria"/>
      <w:b/>
      <w:bCs/>
      <w:kern w:val="28"/>
      <w:sz w:val="32"/>
      <w:szCs w:val="32"/>
    </w:rPr>
  </w:style>
  <w:style w:type="character" w:customStyle="1" w:styleId="76">
    <w:name w:val="正文文本缩进 3 Char1"/>
    <w:link w:val="39"/>
    <w:qFormat/>
    <w:uiPriority w:val="0"/>
    <w:rPr>
      <w:rFonts w:eastAsia="华文新魏"/>
      <w:b/>
      <w:bCs/>
      <w:kern w:val="2"/>
      <w:sz w:val="84"/>
    </w:rPr>
  </w:style>
  <w:style w:type="character" w:customStyle="1" w:styleId="77">
    <w:name w:val="HTML 预设格式 Char1"/>
    <w:link w:val="2"/>
    <w:qFormat/>
    <w:uiPriority w:val="0"/>
    <w:rPr>
      <w:rFonts w:ascii="黑体" w:hAnsi="Courier New" w:eastAsia="黑体" w:cs="Courier New"/>
    </w:rPr>
  </w:style>
  <w:style w:type="character" w:customStyle="1" w:styleId="78">
    <w:name w:val="标题 Char3"/>
    <w:link w:val="43"/>
    <w:qFormat/>
    <w:uiPriority w:val="10"/>
    <w:rPr>
      <w:kern w:val="2"/>
      <w:sz w:val="30"/>
      <w:szCs w:val="24"/>
    </w:rPr>
  </w:style>
  <w:style w:type="character" w:customStyle="1" w:styleId="79">
    <w:name w:val="批注主题 Char1"/>
    <w:link w:val="44"/>
    <w:qFormat/>
    <w:uiPriority w:val="0"/>
    <w:rPr>
      <w:b/>
      <w:bCs/>
      <w:kern w:val="2"/>
      <w:sz w:val="21"/>
    </w:rPr>
  </w:style>
  <w:style w:type="paragraph" w:customStyle="1" w:styleId="80">
    <w:name w:val="首行缩进"/>
    <w:basedOn w:val="1"/>
    <w:qFormat/>
    <w:uiPriority w:val="0"/>
    <w:pPr>
      <w:ind w:firstLine="480" w:firstLineChars="200"/>
    </w:pPr>
    <w:rPr>
      <w:lang w:val="zh-CN"/>
    </w:rPr>
  </w:style>
  <w:style w:type="character" w:customStyle="1" w:styleId="81">
    <w:name w:val="identication Char"/>
    <w:qFormat/>
    <w:uiPriority w:val="0"/>
    <w:rPr>
      <w:rFonts w:eastAsia="宋体"/>
      <w:kern w:val="2"/>
      <w:sz w:val="21"/>
      <w:szCs w:val="24"/>
      <w:lang w:val="en-US" w:eastAsia="zh-CN" w:bidi="ar-SA"/>
    </w:rPr>
  </w:style>
  <w:style w:type="character" w:customStyle="1" w:styleId="82">
    <w:name w:val="列出段落 Char"/>
    <w:qFormat/>
    <w:uiPriority w:val="0"/>
    <w:rPr>
      <w:rFonts w:ascii="Calibri" w:hAnsi="Calibri"/>
      <w:kern w:val="2"/>
      <w:sz w:val="21"/>
      <w:szCs w:val="22"/>
    </w:rPr>
  </w:style>
  <w:style w:type="character" w:customStyle="1" w:styleId="83">
    <w:name w:val="标题 2 Char Char Char"/>
    <w:qFormat/>
    <w:uiPriority w:val="0"/>
    <w:rPr>
      <w:rFonts w:ascii="Arial" w:hAnsi="Arial" w:eastAsia="黑体"/>
      <w:b/>
      <w:bCs/>
      <w:kern w:val="2"/>
      <w:sz w:val="32"/>
      <w:szCs w:val="32"/>
      <w:lang w:val="en-US" w:eastAsia="zh-CN" w:bidi="ar-SA"/>
    </w:rPr>
  </w:style>
  <w:style w:type="character" w:customStyle="1" w:styleId="84">
    <w:name w:val="font01"/>
    <w:qFormat/>
    <w:uiPriority w:val="0"/>
    <w:rPr>
      <w:rFonts w:hint="eastAsia" w:ascii="宋体" w:hAnsi="宋体" w:eastAsia="宋体" w:cs="宋体"/>
      <w:color w:val="000000"/>
      <w:sz w:val="20"/>
      <w:szCs w:val="20"/>
      <w:u w:val="none"/>
    </w:rPr>
  </w:style>
  <w:style w:type="character" w:customStyle="1" w:styleId="85">
    <w:name w:val="标题 5 Char"/>
    <w:qFormat/>
    <w:uiPriority w:val="0"/>
    <w:rPr>
      <w:rFonts w:ascii="宋体"/>
      <w:b/>
      <w:bCs/>
      <w:sz w:val="28"/>
      <w:szCs w:val="28"/>
    </w:rPr>
  </w:style>
  <w:style w:type="character" w:customStyle="1" w:styleId="86">
    <w:name w:val="HTML 预设格式 Char"/>
    <w:qFormat/>
    <w:uiPriority w:val="0"/>
    <w:rPr>
      <w:rFonts w:ascii="黑体" w:hAnsi="Courier New" w:eastAsia="黑体" w:cs="Courier New"/>
    </w:rPr>
  </w:style>
  <w:style w:type="character" w:customStyle="1" w:styleId="87">
    <w:name w:val="font211"/>
    <w:qFormat/>
    <w:uiPriority w:val="0"/>
    <w:rPr>
      <w:rFonts w:hint="eastAsia" w:ascii="新宋体" w:hAnsi="新宋体" w:eastAsia="新宋体" w:cs="新宋体"/>
      <w:color w:val="000000"/>
      <w:sz w:val="18"/>
      <w:szCs w:val="18"/>
      <w:u w:val="none"/>
    </w:rPr>
  </w:style>
  <w:style w:type="character" w:customStyle="1" w:styleId="88">
    <w:name w:val="正文文本缩进 2 Char"/>
    <w:qFormat/>
    <w:uiPriority w:val="0"/>
    <w:rPr>
      <w:rFonts w:ascii="宋体"/>
      <w:kern w:val="2"/>
      <w:sz w:val="21"/>
    </w:rPr>
  </w:style>
  <w:style w:type="character" w:customStyle="1" w:styleId="89">
    <w:name w:val="页脚 Char1"/>
    <w:qFormat/>
    <w:uiPriority w:val="99"/>
    <w:rPr>
      <w:kern w:val="2"/>
      <w:sz w:val="18"/>
    </w:rPr>
  </w:style>
  <w:style w:type="character" w:customStyle="1" w:styleId="90">
    <w:name w:val="正文文本 (8)_"/>
    <w:link w:val="91"/>
    <w:qFormat/>
    <w:uiPriority w:val="0"/>
    <w:rPr>
      <w:rFonts w:ascii="Gulim" w:hAnsi="Gulim" w:eastAsia="Gulim" w:cs="Gulim"/>
      <w:b/>
      <w:sz w:val="15"/>
      <w:szCs w:val="15"/>
      <w:shd w:val="clear" w:color="auto" w:fill="FFFFFF"/>
      <w:lang w:eastAsia="en-US" w:bidi="en-US"/>
    </w:rPr>
  </w:style>
  <w:style w:type="paragraph" w:customStyle="1" w:styleId="91">
    <w:name w:val="正文文本 (8)"/>
    <w:basedOn w:val="1"/>
    <w:link w:val="90"/>
    <w:qFormat/>
    <w:uiPriority w:val="0"/>
    <w:pPr>
      <w:shd w:val="clear" w:color="auto" w:fill="FFFFFF"/>
      <w:spacing w:line="0" w:lineRule="atLeast"/>
      <w:jc w:val="left"/>
    </w:pPr>
    <w:rPr>
      <w:rFonts w:ascii="Gulim" w:hAnsi="Gulim" w:eastAsia="Gulim" w:cs="Gulim"/>
      <w:b/>
      <w:kern w:val="0"/>
      <w:sz w:val="15"/>
      <w:szCs w:val="15"/>
      <w:lang w:eastAsia="en-US" w:bidi="en-US"/>
    </w:rPr>
  </w:style>
  <w:style w:type="character" w:customStyle="1" w:styleId="92">
    <w:name w:val="正文文本 Char"/>
    <w:qFormat/>
    <w:uiPriority w:val="0"/>
    <w:rPr>
      <w:rFonts w:ascii="宋体" w:eastAsia="宋体"/>
      <w:kern w:val="2"/>
      <w:sz w:val="28"/>
      <w:lang w:val="en-US" w:eastAsia="zh-CN" w:bidi="ar-SA"/>
    </w:rPr>
  </w:style>
  <w:style w:type="character" w:customStyle="1" w:styleId="93">
    <w:name w:val="标准文本 Char"/>
    <w:link w:val="94"/>
    <w:qFormat/>
    <w:uiPriority w:val="0"/>
    <w:rPr>
      <w:rFonts w:ascii="宋体" w:hAnsi="宋体" w:eastAsia="宋体" w:cs="宋体"/>
      <w:kern w:val="2"/>
      <w:sz w:val="21"/>
      <w:szCs w:val="21"/>
      <w:lang w:val="en-US" w:eastAsia="zh-CN" w:bidi="ar-SA"/>
    </w:rPr>
  </w:style>
  <w:style w:type="paragraph" w:customStyle="1" w:styleId="94">
    <w:name w:val="标准文本"/>
    <w:basedOn w:val="1"/>
    <w:link w:val="93"/>
    <w:qFormat/>
    <w:uiPriority w:val="0"/>
    <w:pPr>
      <w:spacing w:line="300" w:lineRule="auto"/>
      <w:ind w:firstLine="420" w:firstLineChars="200"/>
    </w:pPr>
    <w:rPr>
      <w:rFonts w:ascii="宋体" w:hAnsi="宋体" w:cs="宋体"/>
      <w:szCs w:val="21"/>
    </w:rPr>
  </w:style>
  <w:style w:type="character" w:customStyle="1" w:styleId="95">
    <w:name w:val="正文文本 (2) + MingLiU"/>
    <w:qFormat/>
    <w:uiPriority w:val="0"/>
    <w:rPr>
      <w:rFonts w:ascii="MingLiU" w:hAnsi="MingLiU" w:eastAsia="MingLiU" w:cs="MingLiU"/>
      <w:b/>
      <w:color w:val="000000"/>
      <w:spacing w:val="-20"/>
      <w:w w:val="150"/>
      <w:kern w:val="2"/>
      <w:position w:val="0"/>
      <w:sz w:val="14"/>
      <w:szCs w:val="14"/>
      <w:u w:val="none"/>
      <w:lang w:val="zh-CN" w:eastAsia="zh-CN" w:bidi="zh-CN"/>
    </w:rPr>
  </w:style>
  <w:style w:type="character" w:customStyle="1" w:styleId="96">
    <w:name w:val="日期 Char"/>
    <w:qFormat/>
    <w:uiPriority w:val="0"/>
    <w:rPr>
      <w:rFonts w:ascii="宋体" w:hAnsi="Times New Roman" w:eastAsia="宋体" w:cs="Times New Roman"/>
      <w:kern w:val="0"/>
      <w:sz w:val="20"/>
      <w:szCs w:val="20"/>
    </w:rPr>
  </w:style>
  <w:style w:type="character" w:customStyle="1" w:styleId="97">
    <w:name w:val="纯文本 Char2"/>
    <w:qFormat/>
    <w:uiPriority w:val="0"/>
    <w:rPr>
      <w:rFonts w:ascii="宋体" w:hAnsi="Courier New" w:eastAsia="宋体"/>
      <w:kern w:val="2"/>
      <w:sz w:val="21"/>
      <w:lang w:val="en-US" w:eastAsia="zh-CN" w:bidi="ar-SA"/>
    </w:rPr>
  </w:style>
  <w:style w:type="character" w:customStyle="1" w:styleId="98">
    <w:name w:val="font71"/>
    <w:qFormat/>
    <w:uiPriority w:val="0"/>
    <w:rPr>
      <w:rFonts w:hint="eastAsia" w:ascii="宋体" w:hAnsi="宋体" w:eastAsia="宋体" w:cs="宋体"/>
      <w:color w:val="000000"/>
      <w:sz w:val="18"/>
      <w:szCs w:val="18"/>
      <w:u w:val="none"/>
    </w:rPr>
  </w:style>
  <w:style w:type="character" w:customStyle="1" w:styleId="99">
    <w:name w:val="正文文本缩进 Char1"/>
    <w:qFormat/>
    <w:uiPriority w:val="0"/>
    <w:rPr>
      <w:rFonts w:ascii="宋体"/>
      <w:kern w:val="2"/>
      <w:sz w:val="24"/>
    </w:rPr>
  </w:style>
  <w:style w:type="character" w:customStyle="1" w:styleId="100">
    <w:name w:val="apple-converted-space"/>
    <w:qFormat/>
    <w:uiPriority w:val="0"/>
  </w:style>
  <w:style w:type="character" w:customStyle="1" w:styleId="101">
    <w:name w:val="标题 3 Char Char Char Char Char Char Char Char Char"/>
    <w:qFormat/>
    <w:uiPriority w:val="0"/>
    <w:rPr>
      <w:rFonts w:eastAsia="宋体"/>
      <w:b/>
      <w:kern w:val="2"/>
      <w:sz w:val="32"/>
      <w:lang w:val="en-US" w:eastAsia="zh-CN"/>
    </w:rPr>
  </w:style>
  <w:style w:type="character" w:customStyle="1" w:styleId="102">
    <w:name w:val="页脚 Char"/>
    <w:qFormat/>
    <w:uiPriority w:val="99"/>
    <w:rPr>
      <w:rFonts w:ascii="宋体" w:hAnsi="Times New Roman" w:eastAsia="宋体" w:cs="Times New Roman"/>
      <w:kern w:val="0"/>
      <w:sz w:val="18"/>
      <w:szCs w:val="18"/>
    </w:rPr>
  </w:style>
  <w:style w:type="character" w:customStyle="1" w:styleId="103">
    <w:name w:val="标题 1 Char1"/>
    <w:qFormat/>
    <w:uiPriority w:val="0"/>
    <w:rPr>
      <w:rFonts w:ascii="宋体"/>
      <w:kern w:val="2"/>
      <w:sz w:val="28"/>
    </w:rPr>
  </w:style>
  <w:style w:type="character" w:customStyle="1" w:styleId="104">
    <w:name w:val="news"/>
    <w:qFormat/>
    <w:uiPriority w:val="0"/>
    <w:rPr>
      <w:rFonts w:ascii="仿宋_GB2312" w:eastAsia="仿宋_GB2312"/>
      <w:kern w:val="2"/>
      <w:sz w:val="24"/>
      <w:szCs w:val="24"/>
      <w:lang w:val="en-US" w:eastAsia="zh-CN" w:bidi="ar-SA"/>
    </w:rPr>
  </w:style>
  <w:style w:type="character" w:customStyle="1" w:styleId="105">
    <w:name w:val="标题 8 Char"/>
    <w:qFormat/>
    <w:uiPriority w:val="0"/>
    <w:rPr>
      <w:rFonts w:ascii="Arial" w:hAnsi="Arial" w:eastAsia="黑体"/>
      <w:sz w:val="24"/>
      <w:szCs w:val="24"/>
    </w:rPr>
  </w:style>
  <w:style w:type="character" w:customStyle="1" w:styleId="106">
    <w:name w:val="正文文本 (2) + Gulim"/>
    <w:qFormat/>
    <w:uiPriority w:val="0"/>
    <w:rPr>
      <w:rFonts w:ascii="Gulim" w:hAnsi="Gulim" w:eastAsia="Gulim" w:cs="Gulim"/>
      <w:b/>
      <w:color w:val="000000"/>
      <w:spacing w:val="0"/>
      <w:w w:val="100"/>
      <w:kern w:val="2"/>
      <w:position w:val="0"/>
      <w:sz w:val="15"/>
      <w:szCs w:val="15"/>
      <w:u w:val="none"/>
      <w:lang w:val="en-US" w:eastAsia="en-US" w:bidi="en-US"/>
    </w:rPr>
  </w:style>
  <w:style w:type="character" w:customStyle="1" w:styleId="107">
    <w:name w:val="报告正文 Char"/>
    <w:link w:val="108"/>
    <w:qFormat/>
    <w:uiPriority w:val="0"/>
    <w:rPr>
      <w:rFonts w:eastAsia="仿宋_GB2312"/>
      <w:sz w:val="24"/>
      <w:szCs w:val="24"/>
    </w:rPr>
  </w:style>
  <w:style w:type="paragraph" w:customStyle="1" w:styleId="108">
    <w:name w:val="报告正文"/>
    <w:basedOn w:val="1"/>
    <w:link w:val="107"/>
    <w:qFormat/>
    <w:uiPriority w:val="0"/>
    <w:pPr>
      <w:spacing w:line="360" w:lineRule="auto"/>
      <w:ind w:firstLine="480" w:firstLineChars="200"/>
    </w:pPr>
    <w:rPr>
      <w:rFonts w:eastAsia="仿宋_GB2312"/>
      <w:kern w:val="0"/>
      <w:sz w:val="24"/>
      <w:szCs w:val="24"/>
    </w:rPr>
  </w:style>
  <w:style w:type="character" w:customStyle="1" w:styleId="109">
    <w:name w:val="Char Char3"/>
    <w:qFormat/>
    <w:uiPriority w:val="0"/>
    <w:rPr>
      <w:rFonts w:ascii="宋体" w:hAnsi="宋体" w:eastAsia="宋体"/>
      <w:kern w:val="2"/>
      <w:sz w:val="24"/>
      <w:szCs w:val="24"/>
      <w:lang w:val="en-US" w:eastAsia="zh-CN" w:bidi="ar-SA"/>
    </w:rPr>
  </w:style>
  <w:style w:type="character" w:customStyle="1" w:styleId="110">
    <w:name w:val="日期 Char1"/>
    <w:qFormat/>
    <w:uiPriority w:val="0"/>
    <w:rPr>
      <w:rFonts w:ascii="宋体"/>
      <w:kern w:val="2"/>
      <w:sz w:val="21"/>
    </w:rPr>
  </w:style>
  <w:style w:type="character" w:customStyle="1" w:styleId="111">
    <w:name w:val="正文缩进 Char"/>
    <w:qFormat/>
    <w:uiPriority w:val="0"/>
    <w:rPr>
      <w:b/>
      <w:kern w:val="2"/>
      <w:sz w:val="24"/>
    </w:rPr>
  </w:style>
  <w:style w:type="character" w:customStyle="1" w:styleId="112">
    <w:name w:val="页眉 Char"/>
    <w:qFormat/>
    <w:uiPriority w:val="0"/>
    <w:rPr>
      <w:rFonts w:ascii="宋体" w:hAnsi="Times New Roman" w:eastAsia="宋体" w:cs="Times New Roman"/>
      <w:kern w:val="0"/>
      <w:sz w:val="18"/>
      <w:szCs w:val="18"/>
    </w:rPr>
  </w:style>
  <w:style w:type="character" w:customStyle="1" w:styleId="113">
    <w:name w:val="文档结构图 字符1"/>
    <w:qFormat/>
    <w:uiPriority w:val="0"/>
    <w:rPr>
      <w:rFonts w:ascii="Microsoft YaHei UI" w:eastAsia="Microsoft YaHei UI"/>
      <w:kern w:val="2"/>
      <w:sz w:val="18"/>
      <w:szCs w:val="18"/>
    </w:rPr>
  </w:style>
  <w:style w:type="character" w:customStyle="1" w:styleId="114">
    <w:name w:val="正文文本 (2)_"/>
    <w:qFormat/>
    <w:uiPriority w:val="0"/>
    <w:rPr>
      <w:rFonts w:ascii="宋体" w:hAnsi="宋体" w:eastAsia="宋体" w:cs="宋体"/>
      <w:b/>
      <w:kern w:val="2"/>
      <w:sz w:val="17"/>
      <w:szCs w:val="17"/>
      <w:u w:val="none"/>
      <w:lang w:val="en-US" w:eastAsia="zh-CN" w:bidi="ar-SA"/>
    </w:rPr>
  </w:style>
  <w:style w:type="character" w:customStyle="1" w:styleId="115">
    <w:name w:val="表格标题 + SimSun"/>
    <w:qFormat/>
    <w:uiPriority w:val="0"/>
    <w:rPr>
      <w:rFonts w:ascii="宋体" w:hAnsi="宋体" w:eastAsia="宋体" w:cs="宋体"/>
      <w:b/>
      <w:color w:val="000000"/>
      <w:spacing w:val="0"/>
      <w:w w:val="100"/>
      <w:kern w:val="2"/>
      <w:position w:val="0"/>
      <w:sz w:val="17"/>
      <w:szCs w:val="17"/>
      <w:shd w:val="clear" w:color="auto" w:fill="FFFFFF"/>
      <w:lang w:val="zh-CN" w:eastAsia="zh-CN" w:bidi="zh-CN"/>
    </w:rPr>
  </w:style>
  <w:style w:type="character" w:customStyle="1" w:styleId="116">
    <w:name w:val="c lh15"/>
    <w:qFormat/>
    <w:uiPriority w:val="0"/>
  </w:style>
  <w:style w:type="character" w:customStyle="1" w:styleId="117">
    <w:name w:val="列出段落 Char1"/>
    <w:link w:val="118"/>
    <w:qFormat/>
    <w:uiPriority w:val="0"/>
    <w:rPr>
      <w:rFonts w:ascii="Calibri" w:hAnsi="Calibri"/>
      <w:kern w:val="2"/>
      <w:sz w:val="21"/>
      <w:szCs w:val="22"/>
    </w:rPr>
  </w:style>
  <w:style w:type="paragraph" w:customStyle="1" w:styleId="118">
    <w:name w:val="列出段落1"/>
    <w:basedOn w:val="1"/>
    <w:link w:val="117"/>
    <w:qFormat/>
    <w:uiPriority w:val="0"/>
    <w:pPr>
      <w:ind w:firstLine="420" w:firstLineChars="200"/>
    </w:pPr>
    <w:rPr>
      <w:rFonts w:ascii="Calibri" w:hAnsi="Calibri"/>
      <w:szCs w:val="22"/>
    </w:rPr>
  </w:style>
  <w:style w:type="character" w:customStyle="1" w:styleId="119">
    <w:name w:val="表格标题_"/>
    <w:link w:val="120"/>
    <w:qFormat/>
    <w:uiPriority w:val="0"/>
    <w:rPr>
      <w:rFonts w:ascii="Gulim" w:hAnsi="Gulim" w:eastAsia="Gulim" w:cs="Gulim"/>
      <w:b/>
      <w:sz w:val="15"/>
      <w:szCs w:val="15"/>
      <w:shd w:val="clear" w:color="auto" w:fill="FFFFFF"/>
      <w:lang w:eastAsia="en-US" w:bidi="en-US"/>
    </w:rPr>
  </w:style>
  <w:style w:type="paragraph" w:customStyle="1" w:styleId="120">
    <w:name w:val="表格标题"/>
    <w:basedOn w:val="1"/>
    <w:link w:val="119"/>
    <w:qFormat/>
    <w:uiPriority w:val="0"/>
    <w:pPr>
      <w:shd w:val="clear" w:color="auto" w:fill="FFFFFF"/>
      <w:spacing w:line="0" w:lineRule="atLeast"/>
      <w:jc w:val="left"/>
    </w:pPr>
    <w:rPr>
      <w:rFonts w:ascii="Gulim" w:hAnsi="Gulim" w:eastAsia="Gulim" w:cs="Gulim"/>
      <w:b/>
      <w:kern w:val="0"/>
      <w:sz w:val="15"/>
      <w:szCs w:val="15"/>
      <w:lang w:eastAsia="en-US" w:bidi="en-US"/>
    </w:rPr>
  </w:style>
  <w:style w:type="character" w:customStyle="1" w:styleId="121">
    <w:name w:val="font21"/>
    <w:qFormat/>
    <w:uiPriority w:val="0"/>
    <w:rPr>
      <w:rFonts w:hint="eastAsia" w:ascii="新宋体" w:hAnsi="新宋体" w:eastAsia="新宋体" w:cs="新宋体"/>
      <w:color w:val="000000"/>
      <w:sz w:val="18"/>
      <w:szCs w:val="18"/>
      <w:u w:val="none"/>
    </w:rPr>
  </w:style>
  <w:style w:type="character" w:customStyle="1" w:styleId="122">
    <w:name w:val="style21"/>
    <w:qFormat/>
    <w:uiPriority w:val="0"/>
    <w:rPr>
      <w:sz w:val="18"/>
      <w:szCs w:val="18"/>
    </w:rPr>
  </w:style>
  <w:style w:type="character" w:customStyle="1" w:styleId="123">
    <w:name w:val="样式 仿宋_GB2312 小四 加粗 黑色"/>
    <w:qFormat/>
    <w:uiPriority w:val="0"/>
    <w:rPr>
      <w:rFonts w:ascii="仿宋_GB2312" w:eastAsia="仿宋_GB2312"/>
      <w:b/>
      <w:bCs/>
      <w:color w:val="000000"/>
      <w:kern w:val="0"/>
      <w:sz w:val="24"/>
      <w:szCs w:val="24"/>
      <w:lang w:val="en-US" w:eastAsia="zh-CN" w:bidi="ar-SA"/>
    </w:rPr>
  </w:style>
  <w:style w:type="character" w:customStyle="1" w:styleId="124">
    <w:name w:val="访问过的超链接1"/>
    <w:qFormat/>
    <w:uiPriority w:val="99"/>
    <w:rPr>
      <w:color w:val="333333"/>
      <w:u w:val="none"/>
    </w:rPr>
  </w:style>
  <w:style w:type="character" w:customStyle="1" w:styleId="125">
    <w:name w:val="副标题 Char"/>
    <w:qFormat/>
    <w:uiPriority w:val="0"/>
    <w:rPr>
      <w:rFonts w:ascii="Cambria" w:hAnsi="Cambria"/>
      <w:b/>
      <w:bCs/>
      <w:kern w:val="28"/>
      <w:sz w:val="32"/>
      <w:szCs w:val="32"/>
    </w:rPr>
  </w:style>
  <w:style w:type="character" w:customStyle="1" w:styleId="126">
    <w:name w:val="标题 6 Char"/>
    <w:qFormat/>
    <w:uiPriority w:val="0"/>
    <w:rPr>
      <w:rFonts w:ascii="Arial" w:hAnsi="Arial" w:eastAsia="黑体"/>
      <w:b/>
      <w:bCs/>
      <w:sz w:val="24"/>
      <w:szCs w:val="24"/>
    </w:rPr>
  </w:style>
  <w:style w:type="character" w:customStyle="1" w:styleId="127">
    <w:name w:val="yy1"/>
    <w:qFormat/>
    <w:uiPriority w:val="0"/>
    <w:rPr>
      <w:rFonts w:ascii="宋体" w:hAnsi="宋体" w:eastAsia="宋体"/>
      <w:b/>
      <w:bCs/>
      <w:sz w:val="28"/>
    </w:rPr>
  </w:style>
  <w:style w:type="character" w:customStyle="1" w:styleId="128">
    <w:name w:val="批注框文本 Char1"/>
    <w:semiHidden/>
    <w:qFormat/>
    <w:uiPriority w:val="99"/>
    <w:rPr>
      <w:kern w:val="2"/>
      <w:sz w:val="18"/>
      <w:szCs w:val="18"/>
    </w:rPr>
  </w:style>
  <w:style w:type="character" w:customStyle="1" w:styleId="129">
    <w:name w:val="ask-title2"/>
    <w:qFormat/>
    <w:uiPriority w:val="0"/>
  </w:style>
  <w:style w:type="character" w:customStyle="1" w:styleId="130">
    <w:name w:val="标题 Char"/>
    <w:qFormat/>
    <w:uiPriority w:val="0"/>
    <w:rPr>
      <w:rFonts w:ascii="Cambria" w:hAnsi="Cambria" w:eastAsia="宋体" w:cs="Times New Roman"/>
      <w:b/>
      <w:bCs/>
      <w:kern w:val="0"/>
      <w:sz w:val="32"/>
      <w:szCs w:val="32"/>
    </w:rPr>
  </w:style>
  <w:style w:type="character" w:customStyle="1" w:styleId="131">
    <w:name w:val="纯文本 Char"/>
    <w:qFormat/>
    <w:uiPriority w:val="0"/>
    <w:rPr>
      <w:rFonts w:ascii="宋体" w:hAnsi="Courier New" w:eastAsia="宋体" w:cs="Courier New"/>
      <w:kern w:val="0"/>
      <w:szCs w:val="21"/>
    </w:rPr>
  </w:style>
  <w:style w:type="character" w:customStyle="1" w:styleId="132">
    <w:name w:val="批注文字 字符1"/>
    <w:semiHidden/>
    <w:qFormat/>
    <w:uiPriority w:val="99"/>
    <w:rPr>
      <w:rFonts w:ascii="宋体" w:hAnsi="Times New Roman" w:eastAsia="宋体" w:cs="Times New Roman"/>
      <w:kern w:val="0"/>
      <w:sz w:val="20"/>
      <w:szCs w:val="20"/>
    </w:rPr>
  </w:style>
  <w:style w:type="character" w:customStyle="1" w:styleId="133">
    <w:name w:val="纯文本 Char1"/>
    <w:qFormat/>
    <w:uiPriority w:val="0"/>
    <w:rPr>
      <w:rFonts w:ascii="宋体" w:hAnsi="Courier New" w:eastAsia="宋体" w:cs="Times New Roman"/>
      <w:kern w:val="2"/>
      <w:sz w:val="21"/>
      <w:szCs w:val="20"/>
    </w:rPr>
  </w:style>
  <w:style w:type="character" w:customStyle="1" w:styleId="134">
    <w:name w:val="页眉 Char1"/>
    <w:qFormat/>
    <w:uiPriority w:val="99"/>
    <w:rPr>
      <w:kern w:val="2"/>
      <w:sz w:val="18"/>
    </w:rPr>
  </w:style>
  <w:style w:type="character" w:customStyle="1" w:styleId="135">
    <w:name w:val="标题 Char2"/>
    <w:qFormat/>
    <w:uiPriority w:val="10"/>
    <w:rPr>
      <w:kern w:val="2"/>
      <w:sz w:val="30"/>
      <w:szCs w:val="24"/>
    </w:rPr>
  </w:style>
  <w:style w:type="character" w:customStyle="1" w:styleId="136">
    <w:name w:val="Andy_正文格式 Char"/>
    <w:link w:val="137"/>
    <w:qFormat/>
    <w:uiPriority w:val="0"/>
    <w:rPr>
      <w:rFonts w:ascii="仿宋_GB2312" w:eastAsia="仿宋_GB2312"/>
      <w:sz w:val="28"/>
      <w:szCs w:val="28"/>
    </w:rPr>
  </w:style>
  <w:style w:type="paragraph" w:customStyle="1" w:styleId="137">
    <w:name w:val="Andy_正文格式"/>
    <w:basedOn w:val="1"/>
    <w:link w:val="136"/>
    <w:qFormat/>
    <w:uiPriority w:val="0"/>
    <w:pPr>
      <w:ind w:firstLine="560" w:firstLineChars="200"/>
    </w:pPr>
    <w:rPr>
      <w:rFonts w:ascii="仿宋_GB2312" w:eastAsia="仿宋_GB2312"/>
      <w:kern w:val="0"/>
      <w:sz w:val="28"/>
      <w:szCs w:val="28"/>
    </w:rPr>
  </w:style>
  <w:style w:type="character" w:customStyle="1" w:styleId="138">
    <w:name w:val="Char Char4"/>
    <w:qFormat/>
    <w:uiPriority w:val="0"/>
    <w:rPr>
      <w:rFonts w:eastAsia="宋体"/>
      <w:kern w:val="2"/>
      <w:sz w:val="18"/>
      <w:szCs w:val="18"/>
      <w:lang w:val="en-US" w:eastAsia="zh-CN" w:bidi="ar-SA"/>
    </w:rPr>
  </w:style>
  <w:style w:type="character" w:customStyle="1" w:styleId="139">
    <w:name w:val="批注文字 Char"/>
    <w:qFormat/>
    <w:uiPriority w:val="0"/>
    <w:rPr>
      <w:kern w:val="2"/>
      <w:sz w:val="21"/>
    </w:rPr>
  </w:style>
  <w:style w:type="character" w:customStyle="1" w:styleId="140">
    <w:name w:val="标题 4 Char1"/>
    <w:qFormat/>
    <w:uiPriority w:val="0"/>
    <w:rPr>
      <w:rFonts w:ascii="Arial" w:hAnsi="Arial" w:eastAsia="黑体" w:cs="Arial"/>
      <w:b/>
      <w:bCs/>
      <w:kern w:val="2"/>
      <w:sz w:val="28"/>
      <w:szCs w:val="28"/>
    </w:rPr>
  </w:style>
  <w:style w:type="character" w:customStyle="1" w:styleId="141">
    <w:name w:val="标题 2 Char1"/>
    <w:qFormat/>
    <w:uiPriority w:val="0"/>
    <w:rPr>
      <w:rFonts w:ascii="Arial" w:hAnsi="Arial" w:eastAsia="黑体"/>
      <w:b/>
      <w:bCs/>
      <w:kern w:val="2"/>
      <w:sz w:val="32"/>
      <w:szCs w:val="32"/>
    </w:rPr>
  </w:style>
  <w:style w:type="character" w:customStyle="1" w:styleId="142">
    <w:name w:val="标题 2 Char"/>
    <w:semiHidden/>
    <w:qFormat/>
    <w:uiPriority w:val="9"/>
    <w:rPr>
      <w:rFonts w:ascii="Cambria" w:hAnsi="Cambria" w:eastAsia="宋体" w:cs="Times New Roman"/>
      <w:b/>
      <w:bCs/>
      <w:kern w:val="0"/>
      <w:sz w:val="32"/>
      <w:szCs w:val="32"/>
    </w:rPr>
  </w:style>
  <w:style w:type="character" w:customStyle="1" w:styleId="143">
    <w:name w:val="正文文本 (2)"/>
    <w:qFormat/>
    <w:uiPriority w:val="0"/>
    <w:rPr>
      <w:rFonts w:ascii="宋体" w:hAnsi="宋体" w:eastAsia="宋体" w:cs="宋体"/>
      <w:b/>
      <w:color w:val="000000"/>
      <w:spacing w:val="0"/>
      <w:w w:val="100"/>
      <w:kern w:val="2"/>
      <w:position w:val="0"/>
      <w:sz w:val="17"/>
      <w:szCs w:val="17"/>
      <w:u w:val="none"/>
      <w:lang w:val="zh-CN" w:eastAsia="zh-CN" w:bidi="zh-CN"/>
    </w:rPr>
  </w:style>
  <w:style w:type="character" w:customStyle="1" w:styleId="144">
    <w:name w:val="标题 Char1"/>
    <w:qFormat/>
    <w:uiPriority w:val="0"/>
    <w:rPr>
      <w:rFonts w:ascii="Cambria" w:hAnsi="Cambria" w:eastAsia="仿宋_GB2312" w:cs="Times New Roman"/>
      <w:b/>
      <w:bCs/>
      <w:kern w:val="2"/>
      <w:sz w:val="32"/>
      <w:szCs w:val="32"/>
      <w:lang w:val="en-US" w:eastAsia="zh-CN" w:bidi="ar-SA"/>
    </w:rPr>
  </w:style>
  <w:style w:type="character" w:customStyle="1" w:styleId="145">
    <w:name w:val="font241"/>
    <w:qFormat/>
    <w:uiPriority w:val="0"/>
    <w:rPr>
      <w:rFonts w:hint="eastAsia" w:ascii="宋体" w:hAnsi="宋体" w:eastAsia="宋体" w:cs="宋体"/>
      <w:color w:val="000000"/>
      <w:sz w:val="18"/>
      <w:szCs w:val="18"/>
      <w:u w:val="none"/>
    </w:rPr>
  </w:style>
  <w:style w:type="character" w:customStyle="1" w:styleId="146">
    <w:name w:val="批注框文本 Char"/>
    <w:semiHidden/>
    <w:qFormat/>
    <w:uiPriority w:val="99"/>
    <w:rPr>
      <w:rFonts w:ascii="宋体" w:hAnsi="Times New Roman" w:eastAsia="宋体" w:cs="Times New Roman"/>
      <w:kern w:val="0"/>
      <w:sz w:val="18"/>
      <w:szCs w:val="18"/>
    </w:rPr>
  </w:style>
  <w:style w:type="character" w:customStyle="1" w:styleId="147">
    <w:name w:val="文档结构图 Char"/>
    <w:qFormat/>
    <w:uiPriority w:val="0"/>
    <w:rPr>
      <w:rFonts w:ascii="宋体" w:hAnsi="Times New Roman" w:eastAsia="宋体" w:cs="Times New Roman"/>
      <w:kern w:val="0"/>
      <w:sz w:val="18"/>
      <w:szCs w:val="18"/>
    </w:rPr>
  </w:style>
  <w:style w:type="character" w:customStyle="1" w:styleId="148">
    <w:name w:val="fontstyle11"/>
    <w:qFormat/>
    <w:uiPriority w:val="0"/>
    <w:rPr>
      <w:rFonts w:hint="default" w:ascii="Times New Roman" w:hAnsi="Times New Roman" w:cs="Times New Roman"/>
      <w:color w:val="000000"/>
      <w:sz w:val="24"/>
      <w:szCs w:val="24"/>
    </w:rPr>
  </w:style>
  <w:style w:type="character" w:customStyle="1" w:styleId="149">
    <w:name w:val="B正文 Char"/>
    <w:link w:val="150"/>
    <w:qFormat/>
    <w:uiPriority w:val="0"/>
    <w:rPr>
      <w:sz w:val="28"/>
      <w:szCs w:val="24"/>
    </w:rPr>
  </w:style>
  <w:style w:type="paragraph" w:customStyle="1" w:styleId="150">
    <w:name w:val="B正文"/>
    <w:basedOn w:val="1"/>
    <w:link w:val="149"/>
    <w:qFormat/>
    <w:uiPriority w:val="0"/>
    <w:pPr>
      <w:spacing w:line="500" w:lineRule="exact"/>
      <w:ind w:firstLine="560" w:firstLineChars="200"/>
    </w:pPr>
    <w:rPr>
      <w:kern w:val="0"/>
      <w:sz w:val="28"/>
      <w:szCs w:val="24"/>
    </w:rPr>
  </w:style>
  <w:style w:type="character" w:customStyle="1" w:styleId="151">
    <w:name w:val="标题 3 Char"/>
    <w:qFormat/>
    <w:uiPriority w:val="0"/>
    <w:rPr>
      <w:rFonts w:ascii="仿宋_GB2312" w:eastAsia="仿宋_GB2312"/>
      <w:kern w:val="2"/>
      <w:sz w:val="32"/>
    </w:rPr>
  </w:style>
  <w:style w:type="character" w:customStyle="1" w:styleId="152">
    <w:name w:val="新正文 Char Char"/>
    <w:link w:val="153"/>
    <w:qFormat/>
    <w:locked/>
    <w:uiPriority w:val="0"/>
    <w:rPr>
      <w:rFonts w:ascii="宋体" w:hAnsi="宋体" w:cs="宋体"/>
      <w:b/>
      <w:bCs/>
      <w:color w:val="000000"/>
      <w:sz w:val="24"/>
      <w:szCs w:val="21"/>
    </w:rPr>
  </w:style>
  <w:style w:type="paragraph" w:customStyle="1" w:styleId="153">
    <w:name w:val="新正文"/>
    <w:basedOn w:val="1"/>
    <w:link w:val="152"/>
    <w:qFormat/>
    <w:uiPriority w:val="0"/>
    <w:pPr>
      <w:adjustRightInd w:val="0"/>
      <w:snapToGrid w:val="0"/>
      <w:spacing w:line="480" w:lineRule="exact"/>
      <w:ind w:firstLine="200" w:firstLineChars="200"/>
    </w:pPr>
    <w:rPr>
      <w:rFonts w:ascii="宋体" w:hAnsi="宋体"/>
      <w:b/>
      <w:bCs/>
      <w:color w:val="000000"/>
      <w:kern w:val="0"/>
      <w:sz w:val="24"/>
      <w:szCs w:val="21"/>
    </w:rPr>
  </w:style>
  <w:style w:type="character" w:customStyle="1" w:styleId="154">
    <w:name w:val="NormalCharacter"/>
    <w:semiHidden/>
    <w:qFormat/>
    <w:uiPriority w:val="0"/>
    <w:rPr>
      <w:kern w:val="2"/>
      <w:sz w:val="21"/>
      <w:lang w:val="en-US" w:eastAsia="zh-CN" w:bidi="ar-SA"/>
    </w:rPr>
  </w:style>
  <w:style w:type="character" w:customStyle="1" w:styleId="155">
    <w:name w:val="批注主题 Char"/>
    <w:qFormat/>
    <w:uiPriority w:val="0"/>
    <w:rPr>
      <w:b/>
      <w:bCs/>
      <w:kern w:val="2"/>
      <w:sz w:val="21"/>
    </w:rPr>
  </w:style>
  <w:style w:type="character" w:customStyle="1" w:styleId="156">
    <w:name w:val="正文文本缩进 Char"/>
    <w:semiHidden/>
    <w:qFormat/>
    <w:uiPriority w:val="99"/>
    <w:rPr>
      <w:rFonts w:ascii="宋体" w:hAnsi="Times New Roman" w:eastAsia="宋体" w:cs="Times New Roman"/>
      <w:kern w:val="0"/>
      <w:sz w:val="20"/>
      <w:szCs w:val="20"/>
    </w:rPr>
  </w:style>
  <w:style w:type="character" w:customStyle="1" w:styleId="157">
    <w:name w:val="fontstyle01"/>
    <w:qFormat/>
    <w:uiPriority w:val="0"/>
    <w:rPr>
      <w:rFonts w:hint="eastAsia" w:ascii="宋体" w:hAnsi="宋体" w:eastAsia="宋体"/>
      <w:color w:val="000000"/>
      <w:sz w:val="24"/>
      <w:szCs w:val="24"/>
    </w:rPr>
  </w:style>
  <w:style w:type="character" w:customStyle="1" w:styleId="158">
    <w:name w:val="标题 9 Char"/>
    <w:qFormat/>
    <w:uiPriority w:val="0"/>
    <w:rPr>
      <w:rFonts w:ascii="Arial" w:hAnsi="Arial" w:eastAsia="黑体"/>
      <w:sz w:val="21"/>
      <w:szCs w:val="21"/>
    </w:rPr>
  </w:style>
  <w:style w:type="character" w:customStyle="1" w:styleId="159">
    <w:name w:val="标题 4 Char"/>
    <w:qFormat/>
    <w:uiPriority w:val="0"/>
    <w:rPr>
      <w:rFonts w:ascii="Cambria" w:hAnsi="Cambria" w:eastAsia="宋体" w:cs="Times New Roman"/>
      <w:b/>
      <w:bCs/>
      <w:kern w:val="0"/>
      <w:sz w:val="28"/>
      <w:szCs w:val="28"/>
    </w:rPr>
  </w:style>
  <w:style w:type="character" w:customStyle="1" w:styleId="160">
    <w:name w:val="文档结构图 Char1"/>
    <w:qFormat/>
    <w:uiPriority w:val="0"/>
    <w:rPr>
      <w:rFonts w:ascii="宋体" w:eastAsia="仿宋_GB2312"/>
      <w:sz w:val="18"/>
      <w:szCs w:val="18"/>
    </w:rPr>
  </w:style>
  <w:style w:type="character" w:customStyle="1" w:styleId="161">
    <w:name w:val="apple-style-span"/>
    <w:qFormat/>
    <w:uiPriority w:val="0"/>
  </w:style>
  <w:style w:type="character" w:customStyle="1" w:styleId="162">
    <w:name w:val="样式 样式 标题 3 + (中文) 黑体 Char + (中文) 宋体 小四 Char Char Char Char Char Char"/>
    <w:qFormat/>
    <w:uiPriority w:val="0"/>
    <w:rPr>
      <w:rFonts w:ascii="宋体" w:hAnsi="Courier New" w:eastAsia="宋体" w:cs="Courier New"/>
      <w:kern w:val="2"/>
      <w:sz w:val="24"/>
      <w:szCs w:val="21"/>
      <w:lang w:val="en-US" w:eastAsia="zh-CN" w:bidi="ar-SA"/>
    </w:rPr>
  </w:style>
  <w:style w:type="character" w:customStyle="1" w:styleId="163">
    <w:name w:val="标题 1 Char"/>
    <w:qFormat/>
    <w:uiPriority w:val="0"/>
    <w:rPr>
      <w:rFonts w:ascii="宋体" w:hAnsi="Times New Roman" w:eastAsia="宋体" w:cs="Times New Roman"/>
      <w:b/>
      <w:bCs/>
      <w:kern w:val="44"/>
      <w:sz w:val="44"/>
      <w:szCs w:val="44"/>
    </w:rPr>
  </w:style>
  <w:style w:type="character" w:customStyle="1" w:styleId="164">
    <w:name w:val="正文文本缩进 3 Char"/>
    <w:qFormat/>
    <w:uiPriority w:val="0"/>
    <w:rPr>
      <w:rFonts w:eastAsia="华文新魏"/>
      <w:b/>
      <w:bCs/>
      <w:kern w:val="2"/>
      <w:sz w:val="84"/>
    </w:rPr>
  </w:style>
  <w:style w:type="paragraph" w:customStyle="1" w:styleId="165">
    <w:name w:val="xl110"/>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kern w:val="0"/>
      <w:sz w:val="20"/>
    </w:rPr>
  </w:style>
  <w:style w:type="paragraph" w:customStyle="1" w:styleId="166">
    <w:name w:val="此正文"/>
    <w:basedOn w:val="1"/>
    <w:qFormat/>
    <w:uiPriority w:val="0"/>
    <w:pPr>
      <w:spacing w:line="360" w:lineRule="auto"/>
      <w:ind w:firstLine="200" w:firstLineChars="200"/>
    </w:pPr>
    <w:rPr>
      <w:sz w:val="24"/>
    </w:rPr>
  </w:style>
  <w:style w:type="paragraph" w:customStyle="1" w:styleId="167">
    <w:name w:val="font11"/>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68">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69">
    <w:name w:val="xl85"/>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Cs w:val="21"/>
    </w:rPr>
  </w:style>
  <w:style w:type="paragraph" w:customStyle="1" w:styleId="170">
    <w:name w:val="Char Char Char Char Char Char Char1"/>
    <w:basedOn w:val="1"/>
    <w:qFormat/>
    <w:uiPriority w:val="0"/>
    <w:pPr>
      <w:tabs>
        <w:tab w:val="left" w:pos="432"/>
      </w:tabs>
      <w:ind w:left="432" w:hanging="432"/>
      <w:jc w:val="center"/>
    </w:pPr>
    <w:rPr>
      <w:rFonts w:ascii="仿宋_GB2312" w:hAnsi="Tahoma" w:eastAsia="仿宋_GB2312"/>
      <w:sz w:val="24"/>
      <w:szCs w:val="24"/>
    </w:rPr>
  </w:style>
  <w:style w:type="paragraph" w:customStyle="1" w:styleId="171">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b/>
      <w:bCs/>
      <w:kern w:val="0"/>
      <w:szCs w:val="21"/>
    </w:rPr>
  </w:style>
  <w:style w:type="paragraph" w:customStyle="1" w:styleId="172">
    <w:name w:val="xl9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73">
    <w:name w:val="a"/>
    <w:basedOn w:val="1"/>
    <w:qFormat/>
    <w:uiPriority w:val="0"/>
    <w:pPr>
      <w:spacing w:before="100" w:beforeAutospacing="1" w:after="100" w:afterAutospacing="1"/>
      <w:jc w:val="left"/>
    </w:pPr>
    <w:rPr>
      <w:rFonts w:ascii="宋体" w:hAnsi="宋体" w:cs="宋体"/>
      <w:sz w:val="24"/>
      <w:szCs w:val="24"/>
    </w:rPr>
  </w:style>
  <w:style w:type="paragraph" w:customStyle="1" w:styleId="174">
    <w:name w:val="xl8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Cs w:val="21"/>
    </w:rPr>
  </w:style>
  <w:style w:type="paragraph" w:customStyle="1" w:styleId="175">
    <w:name w:val="Char Char Char1"/>
    <w:basedOn w:val="1"/>
    <w:qFormat/>
    <w:uiPriority w:val="0"/>
    <w:rPr>
      <w:szCs w:val="24"/>
    </w:rPr>
  </w:style>
  <w:style w:type="paragraph" w:customStyle="1" w:styleId="176">
    <w:name w:val="xl88"/>
    <w:basedOn w:val="1"/>
    <w:qFormat/>
    <w:uiPriority w:val="0"/>
    <w:pPr>
      <w:widowControl/>
      <w:pBdr>
        <w:top w:val="single" w:color="auto" w:sz="4" w:space="0"/>
        <w:bottom w:val="single" w:color="auto" w:sz="4" w:space="0"/>
      </w:pBdr>
      <w:spacing w:before="100" w:beforeAutospacing="1" w:after="100" w:afterAutospacing="1"/>
      <w:jc w:val="left"/>
    </w:pPr>
    <w:rPr>
      <w:b/>
      <w:bCs/>
      <w:kern w:val="0"/>
      <w:szCs w:val="21"/>
    </w:rPr>
  </w:style>
  <w:style w:type="paragraph" w:customStyle="1" w:styleId="177">
    <w:name w:val="xl10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78">
    <w:name w:val="TOC 标题1"/>
    <w:basedOn w:val="3"/>
    <w:next w:val="1"/>
    <w:qFormat/>
    <w:uiPriority w:val="39"/>
    <w:pPr>
      <w:keepLines/>
      <w:widowControl/>
      <w:spacing w:before="480" w:line="276" w:lineRule="auto"/>
      <w:jc w:val="left"/>
      <w:outlineLvl w:val="9"/>
    </w:pPr>
    <w:rPr>
      <w:rFonts w:ascii="Cambria" w:hAnsi="Cambria"/>
      <w:b/>
      <w:bCs/>
      <w:color w:val="365F91"/>
      <w:kern w:val="0"/>
      <w:szCs w:val="28"/>
    </w:rPr>
  </w:style>
  <w:style w:type="paragraph" w:customStyle="1" w:styleId="179">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Cs w:val="21"/>
    </w:rPr>
  </w:style>
  <w:style w:type="paragraph" w:customStyle="1" w:styleId="180">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kern w:val="0"/>
      <w:szCs w:val="21"/>
    </w:rPr>
  </w:style>
  <w:style w:type="paragraph" w:customStyle="1" w:styleId="181">
    <w:name w:val="Char Char"/>
    <w:basedOn w:val="1"/>
    <w:qFormat/>
    <w:uiPriority w:val="0"/>
    <w:pPr>
      <w:tabs>
        <w:tab w:val="left" w:pos="360"/>
      </w:tabs>
    </w:pPr>
    <w:rPr>
      <w:sz w:val="24"/>
      <w:szCs w:val="24"/>
    </w:rPr>
  </w:style>
  <w:style w:type="paragraph" w:customStyle="1" w:styleId="182">
    <w:name w:val="正文缩进1"/>
    <w:basedOn w:val="1"/>
    <w:qFormat/>
    <w:uiPriority w:val="0"/>
    <w:pPr>
      <w:adjustRightInd w:val="0"/>
      <w:spacing w:line="360" w:lineRule="atLeast"/>
      <w:ind w:firstLine="482"/>
      <w:textAlignment w:val="baseline"/>
    </w:pPr>
    <w:rPr>
      <w:kern w:val="0"/>
      <w:sz w:val="24"/>
      <w:szCs w:val="24"/>
    </w:rPr>
  </w:style>
  <w:style w:type="paragraph" w:customStyle="1" w:styleId="183">
    <w:name w:val="yy一级标题"/>
    <w:basedOn w:val="1"/>
    <w:qFormat/>
    <w:uiPriority w:val="0"/>
    <w:rPr>
      <w:rFonts w:ascii="宋体" w:hAnsi="宋体"/>
      <w:sz w:val="24"/>
      <w:szCs w:val="24"/>
    </w:rPr>
  </w:style>
  <w:style w:type="paragraph" w:customStyle="1" w:styleId="184">
    <w:name w:val="xl109"/>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pPr>
    <w:rPr>
      <w:rFonts w:ascii="宋体" w:hAnsi="宋体" w:cs="宋体"/>
      <w:kern w:val="0"/>
      <w:sz w:val="20"/>
    </w:rPr>
  </w:style>
  <w:style w:type="paragraph" w:customStyle="1" w:styleId="185">
    <w:name w:val="2"/>
    <w:basedOn w:val="1"/>
    <w:qFormat/>
    <w:uiPriority w:val="0"/>
    <w:pPr>
      <w:adjustRightInd w:val="0"/>
      <w:snapToGrid w:val="0"/>
      <w:spacing w:line="360" w:lineRule="auto"/>
    </w:pPr>
    <w:rPr>
      <w:rFonts w:ascii="宋体" w:hAnsi="宋体"/>
      <w:b/>
      <w:sz w:val="24"/>
    </w:rPr>
  </w:style>
  <w:style w:type="paragraph" w:customStyle="1" w:styleId="186">
    <w:name w:val="Char Char Char Char"/>
    <w:basedOn w:val="16"/>
    <w:qFormat/>
    <w:uiPriority w:val="0"/>
    <w:pPr>
      <w:shd w:val="clear" w:color="auto" w:fill="000080"/>
      <w:autoSpaceDE/>
      <w:autoSpaceDN/>
      <w:snapToGrid w:val="0"/>
      <w:spacing w:line="360" w:lineRule="auto"/>
      <w:jc w:val="both"/>
    </w:pPr>
    <w:rPr>
      <w:rFonts w:ascii="Tahoma" w:hAnsi="Tahoma"/>
      <w:sz w:val="24"/>
      <w:szCs w:val="24"/>
    </w:rPr>
  </w:style>
  <w:style w:type="paragraph" w:customStyle="1" w:styleId="187">
    <w:name w:val="yy标题2"/>
    <w:basedOn w:val="188"/>
    <w:qFormat/>
    <w:uiPriority w:val="0"/>
    <w:rPr>
      <w:bCs w:val="0"/>
      <w:color w:val="000000"/>
      <w:sz w:val="24"/>
    </w:rPr>
  </w:style>
  <w:style w:type="paragraph" w:customStyle="1" w:styleId="188">
    <w:name w:val="yy目录"/>
    <w:basedOn w:val="1"/>
    <w:qFormat/>
    <w:uiPriority w:val="0"/>
    <w:pPr>
      <w:spacing w:line="360" w:lineRule="auto"/>
    </w:pPr>
    <w:rPr>
      <w:rFonts w:ascii="楷体_GB2312"/>
      <w:bCs/>
      <w:sz w:val="28"/>
      <w:szCs w:val="72"/>
    </w:rPr>
  </w:style>
  <w:style w:type="paragraph" w:customStyle="1" w:styleId="189">
    <w:name w:val="缺省文本"/>
    <w:basedOn w:val="1"/>
    <w:qFormat/>
    <w:uiPriority w:val="0"/>
    <w:pPr>
      <w:autoSpaceDE w:val="0"/>
      <w:autoSpaceDN w:val="0"/>
      <w:adjustRightInd w:val="0"/>
      <w:spacing w:before="20" w:after="20" w:line="400" w:lineRule="exact"/>
      <w:ind w:firstLine="504"/>
      <w:jc w:val="left"/>
    </w:pPr>
    <w:rPr>
      <w:kern w:val="0"/>
      <w:sz w:val="24"/>
    </w:rPr>
  </w:style>
  <w:style w:type="paragraph" w:customStyle="1" w:styleId="190">
    <w:name w:val="简单回函地址"/>
    <w:basedOn w:val="1"/>
    <w:qFormat/>
    <w:uiPriority w:val="0"/>
    <w:rPr>
      <w:szCs w:val="24"/>
    </w:rPr>
  </w:style>
  <w:style w:type="paragraph" w:customStyle="1" w:styleId="191">
    <w:name w:val="font5"/>
    <w:basedOn w:val="1"/>
    <w:qFormat/>
    <w:uiPriority w:val="0"/>
    <w:pPr>
      <w:widowControl/>
      <w:spacing w:before="100" w:beforeAutospacing="1" w:after="100" w:afterAutospacing="1"/>
      <w:jc w:val="left"/>
    </w:pPr>
    <w:rPr>
      <w:color w:val="000000"/>
      <w:kern w:val="0"/>
      <w:sz w:val="20"/>
    </w:rPr>
  </w:style>
  <w:style w:type="paragraph" w:customStyle="1" w:styleId="192">
    <w:name w:val="xl10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93">
    <w:name w:val="默认段落字体 Para Char Char Char Char"/>
    <w:basedOn w:val="1"/>
    <w:qFormat/>
    <w:uiPriority w:val="0"/>
  </w:style>
  <w:style w:type="paragraph" w:customStyle="1" w:styleId="194">
    <w:name w:val="xl94"/>
    <w:basedOn w:val="1"/>
    <w:qFormat/>
    <w:uiPriority w:val="0"/>
    <w:pPr>
      <w:widowControl/>
      <w:pBdr>
        <w:left w:val="single" w:color="auto" w:sz="4" w:space="0"/>
        <w:right w:val="single" w:color="auto" w:sz="4" w:space="0"/>
      </w:pBdr>
      <w:spacing w:before="100" w:beforeAutospacing="1" w:after="100" w:afterAutospacing="1"/>
      <w:jc w:val="center"/>
    </w:pPr>
    <w:rPr>
      <w:kern w:val="0"/>
      <w:szCs w:val="21"/>
    </w:rPr>
  </w:style>
  <w:style w:type="paragraph" w:customStyle="1" w:styleId="195">
    <w:name w:val="Char Char Char Char Char Char Char"/>
    <w:basedOn w:val="1"/>
    <w:semiHidden/>
    <w:qFormat/>
    <w:uiPriority w:val="0"/>
    <w:rPr>
      <w:rFonts w:ascii="Tahoma" w:hAnsi="Tahoma" w:cs="仿宋_GB2312"/>
      <w:sz w:val="24"/>
      <w:szCs w:val="28"/>
    </w:rPr>
  </w:style>
  <w:style w:type="paragraph" w:customStyle="1" w:styleId="196">
    <w:name w:val="xl8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kern w:val="0"/>
      <w:sz w:val="20"/>
    </w:rPr>
  </w:style>
  <w:style w:type="paragraph" w:customStyle="1" w:styleId="197">
    <w:name w:val="标题8"/>
    <w:basedOn w:val="9"/>
    <w:qFormat/>
    <w:uiPriority w:val="0"/>
    <w:pPr>
      <w:keepNext w:val="0"/>
      <w:keepLines w:val="0"/>
      <w:tabs>
        <w:tab w:val="left" w:pos="0"/>
      </w:tabs>
      <w:autoSpaceDE/>
      <w:autoSpaceDN/>
      <w:adjustRightInd/>
      <w:spacing w:before="0" w:after="0" w:line="360" w:lineRule="auto"/>
      <w:jc w:val="both"/>
    </w:pPr>
    <w:rPr>
      <w:rFonts w:eastAsia="仿宋_GB2312"/>
      <w:kern w:val="2"/>
      <w:sz w:val="30"/>
    </w:rPr>
  </w:style>
  <w:style w:type="paragraph" w:customStyle="1" w:styleId="198">
    <w:name w:val="正文1"/>
    <w:qFormat/>
    <w:uiPriority w:val="0"/>
    <w:pPr>
      <w:jc w:val="both"/>
    </w:pPr>
    <w:rPr>
      <w:rFonts w:ascii="Times New Roman" w:hAnsi="Times New Roman" w:eastAsia="宋体" w:cs="宋体"/>
      <w:kern w:val="2"/>
      <w:sz w:val="21"/>
      <w:szCs w:val="21"/>
      <w:lang w:val="en-US" w:eastAsia="zh-CN" w:bidi="ar-SA"/>
    </w:rPr>
  </w:style>
  <w:style w:type="paragraph" w:customStyle="1" w:styleId="19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00">
    <w:name w:val="xl9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01">
    <w:name w:val="xl105"/>
    <w:basedOn w:val="1"/>
    <w:qFormat/>
    <w:uiPriority w:val="0"/>
    <w:pPr>
      <w:widowControl/>
      <w:spacing w:before="100" w:beforeAutospacing="1" w:after="100" w:afterAutospacing="1"/>
      <w:jc w:val="left"/>
    </w:pPr>
    <w:rPr>
      <w:rFonts w:ascii="宋体" w:hAnsi="宋体" w:cs="宋体"/>
      <w:kern w:val="0"/>
      <w:sz w:val="20"/>
    </w:rPr>
  </w:style>
  <w:style w:type="paragraph" w:customStyle="1" w:styleId="202">
    <w:name w:val="Char Char2 Char"/>
    <w:basedOn w:val="1"/>
    <w:qFormat/>
    <w:uiPriority w:val="0"/>
    <w:pPr>
      <w:keepNext/>
      <w:keepLines/>
      <w:pageBreakBefore/>
      <w:tabs>
        <w:tab w:val="left" w:pos="390"/>
      </w:tabs>
      <w:ind w:left="390" w:hanging="390"/>
    </w:pPr>
    <w:rPr>
      <w:szCs w:val="24"/>
    </w:rPr>
  </w:style>
  <w:style w:type="paragraph" w:customStyle="1" w:styleId="203">
    <w:name w:val="font12"/>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204">
    <w:name w:val="font7"/>
    <w:basedOn w:val="1"/>
    <w:qFormat/>
    <w:uiPriority w:val="0"/>
    <w:pPr>
      <w:widowControl/>
      <w:spacing w:before="100" w:beforeAutospacing="1" w:after="100" w:afterAutospacing="1"/>
      <w:jc w:val="left"/>
    </w:pPr>
    <w:rPr>
      <w:b/>
      <w:bCs/>
      <w:color w:val="000000"/>
      <w:kern w:val="0"/>
      <w:szCs w:val="21"/>
    </w:rPr>
  </w:style>
  <w:style w:type="paragraph" w:customStyle="1" w:styleId="205">
    <w:name w:val="标题2"/>
    <w:basedOn w:val="4"/>
    <w:qFormat/>
    <w:uiPriority w:val="0"/>
    <w:pPr>
      <w:keepNext w:val="0"/>
      <w:keepLines w:val="0"/>
      <w:tabs>
        <w:tab w:val="left" w:pos="0"/>
      </w:tabs>
      <w:spacing w:before="0" w:after="0" w:line="360" w:lineRule="auto"/>
    </w:pPr>
    <w:rPr>
      <w:rFonts w:eastAsia="仿宋_GB2312"/>
      <w:b w:val="0"/>
      <w:sz w:val="30"/>
    </w:rPr>
  </w:style>
  <w:style w:type="paragraph" w:customStyle="1" w:styleId="206">
    <w:name w:val="正文宋体4"/>
    <w:basedOn w:val="1"/>
    <w:qFormat/>
    <w:uiPriority w:val="0"/>
    <w:pPr>
      <w:tabs>
        <w:tab w:val="left" w:pos="0"/>
      </w:tabs>
      <w:ind w:firstLine="359" w:firstLineChars="149"/>
    </w:pPr>
    <w:rPr>
      <w:rFonts w:ascii="仿宋_GB2312" w:eastAsia="仿宋_GB2312"/>
      <w:b/>
      <w:color w:val="000000"/>
      <w:sz w:val="24"/>
      <w:szCs w:val="24"/>
    </w:rPr>
  </w:style>
  <w:style w:type="paragraph" w:customStyle="1" w:styleId="207">
    <w:name w:val="Char Char Char"/>
    <w:basedOn w:val="1"/>
    <w:qFormat/>
    <w:uiPriority w:val="0"/>
    <w:pPr>
      <w:widowControl/>
      <w:spacing w:line="400" w:lineRule="exact"/>
      <w:jc w:val="center"/>
    </w:pPr>
    <w:rPr>
      <w:szCs w:val="24"/>
    </w:rPr>
  </w:style>
  <w:style w:type="paragraph" w:customStyle="1" w:styleId="208">
    <w:name w:val="flName"/>
    <w:basedOn w:val="1"/>
    <w:qFormat/>
    <w:uiPriority w:val="0"/>
    <w:pPr>
      <w:adjustRightInd w:val="0"/>
      <w:spacing w:before="320" w:after="160" w:line="360" w:lineRule="atLeast"/>
      <w:jc w:val="center"/>
    </w:pPr>
    <w:rPr>
      <w:rFonts w:ascii="Arial" w:eastAsia="黑体"/>
      <w:sz w:val="32"/>
      <w:szCs w:val="24"/>
    </w:rPr>
  </w:style>
  <w:style w:type="paragraph" w:customStyle="1" w:styleId="20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10">
    <w:name w:val="Char"/>
    <w:basedOn w:val="1"/>
    <w:qFormat/>
    <w:uiPriority w:val="0"/>
    <w:pPr>
      <w:tabs>
        <w:tab w:val="left" w:pos="360"/>
      </w:tabs>
    </w:pPr>
    <w:rPr>
      <w:rFonts w:ascii="仿宋_GB2312" w:eastAsia="仿宋_GB2312"/>
      <w:b/>
      <w:sz w:val="24"/>
      <w:szCs w:val="24"/>
    </w:rPr>
  </w:style>
  <w:style w:type="paragraph" w:customStyle="1" w:styleId="2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12">
    <w:name w:val="三级条带序号我的标题"/>
    <w:basedOn w:val="1"/>
    <w:qFormat/>
    <w:uiPriority w:val="99"/>
    <w:pPr>
      <w:ind w:left="420" w:hanging="420"/>
      <w:outlineLvl w:val="2"/>
    </w:pPr>
    <w:rPr>
      <w:rFonts w:ascii="黑体" w:hAnsi="黑体" w:eastAsia="黑体"/>
      <w:b/>
      <w:sz w:val="28"/>
      <w:szCs w:val="28"/>
    </w:rPr>
  </w:style>
  <w:style w:type="paragraph" w:customStyle="1" w:styleId="213">
    <w:name w:val="xl10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14">
    <w:name w:val="xl9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rPr>
  </w:style>
  <w:style w:type="paragraph" w:customStyle="1" w:styleId="215">
    <w:name w:val="彩色列表 - 强调文字颜色 11"/>
    <w:basedOn w:val="1"/>
    <w:qFormat/>
    <w:uiPriority w:val="34"/>
    <w:pPr>
      <w:widowControl/>
      <w:spacing w:before="100" w:after="100" w:line="276" w:lineRule="auto"/>
      <w:ind w:left="720"/>
      <w:contextualSpacing/>
      <w:jc w:val="left"/>
    </w:pPr>
    <w:rPr>
      <w:rFonts w:ascii="Arial" w:hAnsi="Arial" w:cs="Arial"/>
      <w:color w:val="0F0F0F"/>
      <w:kern w:val="0"/>
      <w:sz w:val="20"/>
      <w:lang w:eastAsia="en-US"/>
    </w:rPr>
  </w:style>
  <w:style w:type="paragraph" w:customStyle="1" w:styleId="216">
    <w:name w:val="xl10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kern w:val="0"/>
      <w:szCs w:val="21"/>
    </w:rPr>
  </w:style>
  <w:style w:type="paragraph" w:customStyle="1" w:styleId="217">
    <w:name w:val="样式 样式 标题1 + 行距: 单倍行距 + 段前: 7.8 磅 段后: 7.8 磅"/>
    <w:basedOn w:val="1"/>
    <w:qFormat/>
    <w:uiPriority w:val="0"/>
    <w:pPr>
      <w:keepNext/>
      <w:keepLines/>
      <w:tabs>
        <w:tab w:val="left" w:pos="0"/>
      </w:tabs>
      <w:spacing w:before="156" w:after="156" w:line="360" w:lineRule="auto"/>
      <w:ind w:firstLine="288"/>
      <w:jc w:val="center"/>
      <w:outlineLvl w:val="0"/>
    </w:pPr>
    <w:rPr>
      <w:rFonts w:ascii="Arial" w:hAnsi="Arial" w:eastAsia="仿宋_GB2312"/>
      <w:kern w:val="44"/>
      <w:sz w:val="30"/>
    </w:rPr>
  </w:style>
  <w:style w:type="paragraph" w:customStyle="1" w:styleId="21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219">
    <w:name w:val="xl106"/>
    <w:basedOn w:val="1"/>
    <w:qFormat/>
    <w:uiPriority w:val="0"/>
    <w:pPr>
      <w:widowControl/>
      <w:pBdr>
        <w:top w:val="single" w:color="auto" w:sz="4" w:space="0"/>
      </w:pBdr>
      <w:spacing w:before="100" w:beforeAutospacing="1" w:after="100" w:afterAutospacing="1"/>
      <w:jc w:val="left"/>
    </w:pPr>
    <w:rPr>
      <w:rFonts w:ascii="宋体" w:hAnsi="宋体" w:cs="宋体"/>
      <w:b/>
      <w:bCs/>
      <w:kern w:val="0"/>
      <w:szCs w:val="21"/>
    </w:rPr>
  </w:style>
  <w:style w:type="paragraph" w:customStyle="1" w:styleId="220">
    <w:name w:val="三级条我的分类标题"/>
    <w:basedOn w:val="1"/>
    <w:qFormat/>
    <w:uiPriority w:val="99"/>
    <w:pPr>
      <w:ind w:left="992" w:hanging="567"/>
    </w:pPr>
    <w:rPr>
      <w:rFonts w:ascii="黑体" w:hAnsi="黑体" w:eastAsia="黑体"/>
      <w:b/>
      <w:sz w:val="28"/>
      <w:szCs w:val="28"/>
    </w:rPr>
  </w:style>
  <w:style w:type="paragraph" w:customStyle="1" w:styleId="221">
    <w:name w:val="xl9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rPr>
  </w:style>
  <w:style w:type="paragraph" w:customStyle="1" w:styleId="222">
    <w:name w:val="_Style 53"/>
    <w:next w:val="1"/>
    <w:unhideWhenUsed/>
    <w:qFormat/>
    <w:uiPriority w:val="99"/>
    <w:pPr>
      <w:widowControl w:val="0"/>
      <w:autoSpaceDE w:val="0"/>
      <w:autoSpaceDN w:val="0"/>
      <w:adjustRightInd w:val="0"/>
    </w:pPr>
    <w:rPr>
      <w:rFonts w:ascii="宋体" w:hAnsi="Times New Roman" w:eastAsia="宋体" w:cs="Times New Roman"/>
      <w:lang w:val="en-US" w:eastAsia="zh-CN" w:bidi="ar-SA"/>
    </w:rPr>
  </w:style>
  <w:style w:type="paragraph" w:customStyle="1" w:styleId="22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rPr>
  </w:style>
  <w:style w:type="paragraph" w:customStyle="1" w:styleId="224">
    <w:name w:val="正文2"/>
    <w:basedOn w:val="1"/>
    <w:qFormat/>
    <w:uiPriority w:val="0"/>
    <w:pPr>
      <w:widowControl/>
      <w:spacing w:after="160" w:line="360" w:lineRule="auto"/>
      <w:ind w:firstLine="200" w:firstLineChars="200"/>
      <w:jc w:val="left"/>
    </w:pPr>
    <w:rPr>
      <w:rFonts w:ascii="Verdana" w:hAnsi="Verdana" w:eastAsia="黑体"/>
      <w:kern w:val="0"/>
      <w:lang w:eastAsia="en-US"/>
    </w:rPr>
  </w:style>
  <w:style w:type="paragraph" w:customStyle="1" w:styleId="225">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6">
    <w:name w:val="列出段落5"/>
    <w:basedOn w:val="1"/>
    <w:unhideWhenUsed/>
    <w:qFormat/>
    <w:uiPriority w:val="99"/>
    <w:pPr>
      <w:ind w:firstLine="420" w:firstLineChars="200"/>
    </w:pPr>
  </w:style>
  <w:style w:type="paragraph" w:customStyle="1" w:styleId="22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Cs w:val="21"/>
    </w:rPr>
  </w:style>
  <w:style w:type="paragraph" w:customStyle="1" w:styleId="228">
    <w:name w:val="Body Text First Indent1"/>
    <w:basedOn w:val="19"/>
    <w:qFormat/>
    <w:uiPriority w:val="0"/>
    <w:pPr>
      <w:ind w:firstLine="420"/>
    </w:pPr>
  </w:style>
  <w:style w:type="paragraph" w:customStyle="1" w:styleId="229">
    <w:name w:val="yy正文"/>
    <w:basedOn w:val="188"/>
    <w:qFormat/>
    <w:uiPriority w:val="0"/>
    <w:pPr>
      <w:spacing w:line="300" w:lineRule="auto"/>
    </w:pPr>
    <w:rPr>
      <w:sz w:val="21"/>
    </w:rPr>
  </w:style>
  <w:style w:type="paragraph" w:customStyle="1" w:styleId="230">
    <w:name w:val="font8"/>
    <w:basedOn w:val="1"/>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231">
    <w:name w:val="样式 首行缩进:  2 字符"/>
    <w:basedOn w:val="1"/>
    <w:qFormat/>
    <w:uiPriority w:val="0"/>
    <w:pPr>
      <w:spacing w:line="400" w:lineRule="exact"/>
      <w:ind w:firstLine="200" w:firstLineChars="200"/>
    </w:pPr>
    <w:rPr>
      <w:rFonts w:cs="宋体"/>
      <w:sz w:val="24"/>
      <w:szCs w:val="24"/>
    </w:rPr>
  </w:style>
  <w:style w:type="paragraph" w:customStyle="1" w:styleId="232">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paragraph" w:customStyle="1" w:styleId="233">
    <w:name w:val="BodyText1I"/>
    <w:basedOn w:val="234"/>
    <w:qFormat/>
    <w:uiPriority w:val="0"/>
    <w:pPr>
      <w:ind w:firstLine="420"/>
    </w:pPr>
  </w:style>
  <w:style w:type="paragraph" w:customStyle="1" w:styleId="234">
    <w:name w:val="BodyText"/>
    <w:basedOn w:val="1"/>
    <w:next w:val="1"/>
    <w:qFormat/>
    <w:uiPriority w:val="0"/>
    <w:pPr>
      <w:spacing w:before="36"/>
      <w:ind w:left="120"/>
      <w:textAlignment w:val="baseline"/>
    </w:pPr>
    <w:rPr>
      <w:rFonts w:ascii="宋体" w:hAnsi="宋体"/>
      <w:sz w:val="24"/>
      <w:szCs w:val="24"/>
    </w:rPr>
  </w:style>
  <w:style w:type="paragraph" w:customStyle="1" w:styleId="235">
    <w:name w:val="font9"/>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23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18"/>
      <w:szCs w:val="18"/>
    </w:rPr>
  </w:style>
  <w:style w:type="paragraph" w:customStyle="1" w:styleId="237">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3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239">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Cs w:val="21"/>
    </w:rPr>
  </w:style>
  <w:style w:type="paragraph" w:styleId="240">
    <w:name w:val="List Paragraph"/>
    <w:basedOn w:val="1"/>
    <w:qFormat/>
    <w:uiPriority w:val="99"/>
    <w:pPr>
      <w:ind w:firstLine="420" w:firstLineChars="200"/>
    </w:pPr>
  </w:style>
  <w:style w:type="paragraph" w:customStyle="1" w:styleId="241">
    <w:name w:val="_Style 4"/>
    <w:basedOn w:val="1"/>
    <w:qFormat/>
    <w:uiPriority w:val="99"/>
    <w:pPr>
      <w:ind w:firstLine="420" w:firstLineChars="200"/>
    </w:pPr>
  </w:style>
  <w:style w:type="paragraph" w:customStyle="1" w:styleId="242">
    <w:name w:val="font1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4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Cs w:val="21"/>
    </w:rPr>
  </w:style>
  <w:style w:type="paragraph" w:customStyle="1" w:styleId="244">
    <w:name w:val="修订1"/>
    <w:unhideWhenUsed/>
    <w:qFormat/>
    <w:uiPriority w:val="99"/>
    <w:rPr>
      <w:rFonts w:ascii="Times New Roman" w:hAnsi="Times New Roman" w:eastAsia="宋体" w:cs="Times New Roman"/>
      <w:kern w:val="2"/>
      <w:sz w:val="21"/>
      <w:lang w:val="en-US" w:eastAsia="zh-CN" w:bidi="ar-SA"/>
    </w:rPr>
  </w:style>
  <w:style w:type="paragraph" w:customStyle="1" w:styleId="245">
    <w:name w:val="列出段落11"/>
    <w:basedOn w:val="1"/>
    <w:qFormat/>
    <w:uiPriority w:val="34"/>
    <w:pPr>
      <w:ind w:firstLine="420" w:firstLineChars="200"/>
    </w:pPr>
    <w:rPr>
      <w:rFonts w:ascii="Calibri" w:hAnsi="Calibri"/>
      <w:szCs w:val="22"/>
    </w:rPr>
  </w:style>
  <w:style w:type="paragraph" w:customStyle="1" w:styleId="24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47">
    <w:name w:val="font14"/>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248">
    <w:name w:val="格式1"/>
    <w:basedOn w:val="1"/>
    <w:qFormat/>
    <w:uiPriority w:val="0"/>
    <w:pPr>
      <w:spacing w:beforeLines="50"/>
      <w:jc w:val="center"/>
    </w:pPr>
    <w:rPr>
      <w:rFonts w:ascii="黑体" w:hAnsi="宋体" w:eastAsia="黑体"/>
      <w:b/>
      <w:bCs/>
      <w:color w:val="000000"/>
      <w:sz w:val="32"/>
    </w:rPr>
  </w:style>
  <w:style w:type="paragraph" w:customStyle="1" w:styleId="24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250">
    <w:name w:val="xl11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b/>
      <w:bCs/>
      <w:kern w:val="0"/>
      <w:szCs w:val="21"/>
    </w:rPr>
  </w:style>
  <w:style w:type="paragraph" w:customStyle="1" w:styleId="251">
    <w:name w:val="xl112"/>
    <w:basedOn w:val="1"/>
    <w:qFormat/>
    <w:uiPriority w:val="0"/>
    <w:pPr>
      <w:widowControl/>
      <w:pBdr>
        <w:bottom w:val="single" w:color="auto" w:sz="4" w:space="0"/>
        <w:right w:val="single" w:color="auto" w:sz="4" w:space="0"/>
      </w:pBdr>
      <w:spacing w:before="100" w:beforeAutospacing="1" w:after="100" w:afterAutospacing="1"/>
      <w:jc w:val="left"/>
    </w:pPr>
    <w:rPr>
      <w:rFonts w:ascii="宋体" w:hAnsi="宋体" w:cs="宋体"/>
      <w:b/>
      <w:bCs/>
      <w:kern w:val="0"/>
      <w:szCs w:val="21"/>
    </w:rPr>
  </w:style>
  <w:style w:type="paragraph" w:customStyle="1" w:styleId="252">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5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254">
    <w:name w:val="默认段落字体 Para Char Char Char Char Char Char Char"/>
    <w:basedOn w:val="1"/>
    <w:qFormat/>
    <w:uiPriority w:val="0"/>
    <w:pPr>
      <w:spacing w:line="360" w:lineRule="auto"/>
    </w:pPr>
    <w:rPr>
      <w:rFonts w:ascii="Arial" w:hAnsi="Arial" w:eastAsia="黑体" w:cs="Verdana"/>
      <w:b/>
      <w:kern w:val="0"/>
      <w:sz w:val="30"/>
      <w:szCs w:val="24"/>
      <w:lang w:eastAsia="en-US"/>
    </w:rPr>
  </w:style>
  <w:style w:type="paragraph" w:customStyle="1" w:styleId="255">
    <w:name w:val="标题6"/>
    <w:basedOn w:val="8"/>
    <w:qFormat/>
    <w:uiPriority w:val="0"/>
    <w:pPr>
      <w:keepNext w:val="0"/>
      <w:keepLines w:val="0"/>
      <w:tabs>
        <w:tab w:val="left" w:pos="0"/>
      </w:tabs>
      <w:autoSpaceDE/>
      <w:autoSpaceDN/>
      <w:adjustRightInd/>
      <w:spacing w:before="0" w:after="0" w:line="360" w:lineRule="auto"/>
      <w:jc w:val="both"/>
    </w:pPr>
    <w:rPr>
      <w:rFonts w:eastAsia="仿宋_GB2312"/>
      <w:b w:val="0"/>
      <w:kern w:val="2"/>
      <w:sz w:val="30"/>
    </w:rPr>
  </w:style>
  <w:style w:type="paragraph" w:customStyle="1" w:styleId="256">
    <w:name w:val="xl9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57">
    <w:name w:val="标题9"/>
    <w:basedOn w:val="10"/>
    <w:qFormat/>
    <w:uiPriority w:val="0"/>
    <w:pPr>
      <w:keepNext w:val="0"/>
      <w:keepLines w:val="0"/>
      <w:tabs>
        <w:tab w:val="left" w:pos="0"/>
      </w:tabs>
      <w:autoSpaceDE/>
      <w:autoSpaceDN/>
      <w:adjustRightInd/>
      <w:spacing w:before="0" w:after="0" w:line="360" w:lineRule="auto"/>
      <w:jc w:val="both"/>
    </w:pPr>
    <w:rPr>
      <w:rFonts w:eastAsia="仿宋_GB2312"/>
      <w:kern w:val="2"/>
      <w:sz w:val="30"/>
    </w:rPr>
  </w:style>
  <w:style w:type="paragraph" w:customStyle="1" w:styleId="258">
    <w:name w:val="节标题"/>
    <w:basedOn w:val="1"/>
    <w:next w:val="1"/>
    <w:qFormat/>
    <w:uiPriority w:val="0"/>
    <w:pPr>
      <w:spacing w:line="289" w:lineRule="atLeast"/>
      <w:jc w:val="center"/>
    </w:pPr>
    <w:rPr>
      <w:sz w:val="28"/>
      <w:szCs w:val="24"/>
    </w:rPr>
  </w:style>
  <w:style w:type="paragraph" w:customStyle="1" w:styleId="259">
    <w:name w:val="_Style 1"/>
    <w:basedOn w:val="1"/>
    <w:qFormat/>
    <w:uiPriority w:val="99"/>
    <w:pPr>
      <w:ind w:firstLine="420" w:firstLineChars="200"/>
    </w:pPr>
    <w:rPr>
      <w:rFonts w:ascii="Calibri" w:hAnsi="Calibri"/>
      <w:szCs w:val="22"/>
    </w:rPr>
  </w:style>
  <w:style w:type="paragraph" w:customStyle="1" w:styleId="260">
    <w:name w:val="xl8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b/>
      <w:bCs/>
      <w:kern w:val="0"/>
      <w:szCs w:val="21"/>
    </w:rPr>
  </w:style>
  <w:style w:type="paragraph" w:customStyle="1" w:styleId="261">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262">
    <w:name w:val="font13"/>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3">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kern w:val="0"/>
      <w:sz w:val="20"/>
    </w:rPr>
  </w:style>
  <w:style w:type="paragraph" w:customStyle="1" w:styleId="264">
    <w:name w:val="列出段落3"/>
    <w:basedOn w:val="1"/>
    <w:qFormat/>
    <w:uiPriority w:val="0"/>
    <w:pPr>
      <w:ind w:firstLine="420" w:firstLineChars="200"/>
    </w:pPr>
    <w:rPr>
      <w:rFonts w:ascii="Calibri" w:hAnsi="Calibri"/>
      <w:szCs w:val="22"/>
    </w:rPr>
  </w:style>
  <w:style w:type="paragraph" w:customStyle="1" w:styleId="265">
    <w:name w:val="yy标题"/>
    <w:basedOn w:val="188"/>
    <w:qFormat/>
    <w:uiPriority w:val="0"/>
    <w:rPr>
      <w:sz w:val="24"/>
    </w:rPr>
  </w:style>
  <w:style w:type="paragraph" w:customStyle="1" w:styleId="266">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36"/>
      <w:szCs w:val="36"/>
    </w:rPr>
  </w:style>
  <w:style w:type="paragraph" w:customStyle="1" w:styleId="267">
    <w:name w:val="列出段落2"/>
    <w:basedOn w:val="1"/>
    <w:qFormat/>
    <w:uiPriority w:val="34"/>
    <w:pPr>
      <w:ind w:firstLine="420" w:firstLineChars="200"/>
    </w:pPr>
    <w:rPr>
      <w:rFonts w:ascii="Calibri" w:hAnsi="Calibri"/>
      <w:szCs w:val="21"/>
    </w:rPr>
  </w:style>
  <w:style w:type="paragraph" w:customStyle="1" w:styleId="268">
    <w:name w:val="Char1"/>
    <w:basedOn w:val="1"/>
    <w:qFormat/>
    <w:uiPriority w:val="0"/>
    <w:pPr>
      <w:tabs>
        <w:tab w:val="left" w:pos="840"/>
      </w:tabs>
      <w:ind w:left="840" w:hanging="420"/>
    </w:pPr>
    <w:rPr>
      <w:sz w:val="24"/>
      <w:szCs w:val="24"/>
    </w:rPr>
  </w:style>
  <w:style w:type="paragraph" w:customStyle="1" w:styleId="269">
    <w:name w:val="font6"/>
    <w:basedOn w:val="1"/>
    <w:qFormat/>
    <w:uiPriority w:val="0"/>
    <w:pPr>
      <w:widowControl/>
      <w:spacing w:before="100" w:beforeAutospacing="1" w:after="100" w:afterAutospacing="1"/>
      <w:jc w:val="left"/>
    </w:pPr>
    <w:rPr>
      <w:color w:val="000000"/>
      <w:kern w:val="0"/>
      <w:szCs w:val="21"/>
    </w:rPr>
  </w:style>
  <w:style w:type="paragraph" w:customStyle="1" w:styleId="270">
    <w:name w:val="xl9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kern w:val="0"/>
      <w:szCs w:val="21"/>
    </w:rPr>
  </w:style>
  <w:style w:type="paragraph" w:customStyle="1" w:styleId="271">
    <w:name w:val="yy标题3"/>
    <w:basedOn w:val="187"/>
    <w:qFormat/>
    <w:uiPriority w:val="0"/>
  </w:style>
  <w:style w:type="paragraph" w:customStyle="1" w:styleId="272">
    <w:name w:val="标题5"/>
    <w:basedOn w:val="7"/>
    <w:qFormat/>
    <w:uiPriority w:val="0"/>
    <w:pPr>
      <w:keepNext w:val="0"/>
      <w:keepLines w:val="0"/>
      <w:tabs>
        <w:tab w:val="left" w:pos="0"/>
      </w:tabs>
      <w:autoSpaceDE/>
      <w:autoSpaceDN/>
      <w:adjustRightInd/>
      <w:spacing w:before="0" w:after="0" w:line="360" w:lineRule="auto"/>
      <w:jc w:val="both"/>
    </w:pPr>
    <w:rPr>
      <w:rFonts w:ascii="Times New Roman" w:eastAsia="仿宋_GB2312"/>
      <w:b w:val="0"/>
      <w:kern w:val="2"/>
      <w:sz w:val="30"/>
      <w:szCs w:val="30"/>
    </w:rPr>
  </w:style>
  <w:style w:type="paragraph" w:customStyle="1" w:styleId="273">
    <w:name w:val="xl81"/>
    <w:basedOn w:val="1"/>
    <w:qFormat/>
    <w:uiPriority w:val="0"/>
    <w:pPr>
      <w:widowControl/>
      <w:pBdr>
        <w:left w:val="single" w:color="auto" w:sz="4" w:space="0"/>
        <w:right w:val="single" w:color="auto" w:sz="4" w:space="0"/>
      </w:pBdr>
      <w:spacing w:before="100" w:beforeAutospacing="1" w:after="100" w:afterAutospacing="1"/>
      <w:jc w:val="left"/>
    </w:pPr>
    <w:rPr>
      <w:kern w:val="0"/>
      <w:sz w:val="20"/>
    </w:rPr>
  </w:style>
  <w:style w:type="paragraph" w:customStyle="1" w:styleId="274">
    <w:name w:val="_Style 231"/>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75">
    <w:name w:val="标题3"/>
    <w:basedOn w:val="5"/>
    <w:qFormat/>
    <w:uiPriority w:val="0"/>
    <w:pPr>
      <w:keepNext w:val="0"/>
      <w:tabs>
        <w:tab w:val="left" w:pos="0"/>
      </w:tabs>
      <w:spacing w:line="360" w:lineRule="auto"/>
      <w:ind w:left="0" w:firstLine="0"/>
      <w:jc w:val="both"/>
    </w:pPr>
    <w:rPr>
      <w:rFonts w:ascii="Times New Roman"/>
      <w:bCs/>
      <w:sz w:val="30"/>
      <w:szCs w:val="32"/>
    </w:rPr>
  </w:style>
  <w:style w:type="paragraph" w:customStyle="1" w:styleId="276">
    <w:name w:val="标题4"/>
    <w:basedOn w:val="6"/>
    <w:qFormat/>
    <w:uiPriority w:val="0"/>
    <w:pPr>
      <w:keepNext w:val="0"/>
      <w:keepLines w:val="0"/>
      <w:tabs>
        <w:tab w:val="left" w:pos="0"/>
      </w:tabs>
      <w:spacing w:before="0" w:after="0" w:line="360" w:lineRule="auto"/>
    </w:pPr>
    <w:rPr>
      <w:rFonts w:eastAsia="仿宋_GB2312"/>
      <w:b w:val="0"/>
      <w:sz w:val="30"/>
      <w:szCs w:val="30"/>
    </w:rPr>
  </w:style>
  <w:style w:type="paragraph" w:customStyle="1" w:styleId="277">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36"/>
      <w:szCs w:val="36"/>
    </w:rPr>
  </w:style>
  <w:style w:type="paragraph" w:customStyle="1" w:styleId="278">
    <w:name w:val="xl107"/>
    <w:basedOn w:val="1"/>
    <w:qFormat/>
    <w:uiPriority w:val="0"/>
    <w:pPr>
      <w:widowControl/>
      <w:pBdr>
        <w:bottom w:val="single" w:color="auto" w:sz="4" w:space="0"/>
      </w:pBdr>
      <w:spacing w:before="100" w:beforeAutospacing="1" w:after="100" w:afterAutospacing="1"/>
      <w:jc w:val="left"/>
    </w:pPr>
    <w:rPr>
      <w:rFonts w:ascii="宋体" w:hAnsi="宋体" w:cs="宋体"/>
      <w:b/>
      <w:bCs/>
      <w:kern w:val="0"/>
      <w:szCs w:val="21"/>
    </w:rPr>
  </w:style>
  <w:style w:type="paragraph" w:customStyle="1" w:styleId="27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rPr>
  </w:style>
  <w:style w:type="paragraph" w:customStyle="1" w:styleId="280">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81">
    <w:name w:val="列出段落4"/>
    <w:basedOn w:val="1"/>
    <w:qFormat/>
    <w:uiPriority w:val="34"/>
    <w:pPr>
      <w:ind w:firstLine="420" w:firstLineChars="200"/>
    </w:pPr>
  </w:style>
  <w:style w:type="paragraph" w:customStyle="1" w:styleId="282">
    <w:name w:val="Table Paragraph"/>
    <w:basedOn w:val="1"/>
    <w:qFormat/>
    <w:uiPriority w:val="1"/>
    <w:pPr>
      <w:spacing w:before="2"/>
    </w:pPr>
    <w:rPr>
      <w:rFonts w:ascii="宋体" w:hAnsi="宋体" w:cs="宋体"/>
      <w:lang w:val="zh-CN" w:bidi="zh-CN"/>
    </w:rPr>
  </w:style>
  <w:style w:type="paragraph" w:customStyle="1" w:styleId="283">
    <w:name w:val="_Style 278"/>
    <w:unhideWhenUsed/>
    <w:qFormat/>
    <w:uiPriority w:val="99"/>
    <w:rPr>
      <w:rFonts w:ascii="Times New Roman" w:hAnsi="Times New Roman" w:eastAsia="宋体" w:cs="Times New Roman"/>
      <w:kern w:val="2"/>
      <w:sz w:val="21"/>
      <w:lang w:val="en-US" w:eastAsia="zh-CN" w:bidi="ar-SA"/>
    </w:rPr>
  </w:style>
  <w:style w:type="paragraph" w:customStyle="1" w:styleId="284">
    <w:name w:val="List Paragraph1"/>
    <w:basedOn w:val="1"/>
    <w:qFormat/>
    <w:uiPriority w:val="34"/>
    <w:pPr>
      <w:ind w:firstLine="420" w:firstLineChars="200"/>
    </w:pPr>
    <w:rPr>
      <w:sz w:val="24"/>
      <w:szCs w:val="24"/>
    </w:rPr>
  </w:style>
  <w:style w:type="character" w:customStyle="1" w:styleId="285">
    <w:name w:val="font31"/>
    <w:basedOn w:val="49"/>
    <w:qFormat/>
    <w:uiPriority w:val="0"/>
    <w:rPr>
      <w:rFonts w:hint="eastAsia" w:ascii="宋体" w:hAnsi="宋体" w:eastAsia="宋体" w:cs="宋体"/>
      <w:color w:val="000000"/>
      <w:sz w:val="21"/>
      <w:szCs w:val="21"/>
      <w:u w:val="none"/>
    </w:rPr>
  </w:style>
  <w:style w:type="character" w:customStyle="1" w:styleId="286">
    <w:name w:val="font41"/>
    <w:basedOn w:val="49"/>
    <w:qFormat/>
    <w:uiPriority w:val="0"/>
    <w:rPr>
      <w:rFonts w:hint="default" w:ascii="Times New Roman" w:hAnsi="Times New Roman" w:cs="Times New Roman"/>
      <w:color w:val="000000"/>
      <w:sz w:val="21"/>
      <w:szCs w:val="21"/>
      <w:u w:val="none"/>
    </w:rPr>
  </w:style>
  <w:style w:type="character" w:customStyle="1" w:styleId="287">
    <w:name w:val="font51"/>
    <w:basedOn w:val="49"/>
    <w:qFormat/>
    <w:uiPriority w:val="0"/>
    <w:rPr>
      <w:rFonts w:ascii="Calibri" w:hAnsi="Calibri" w:cs="Calibri"/>
      <w:color w:val="000000"/>
      <w:sz w:val="21"/>
      <w:szCs w:val="21"/>
      <w:u w:val="none"/>
    </w:rPr>
  </w:style>
  <w:style w:type="paragraph" w:customStyle="1" w:styleId="288">
    <w:name w:val="正文（缩进）"/>
    <w:basedOn w:val="1"/>
    <w:qFormat/>
    <w:uiPriority w:val="0"/>
    <w:pPr>
      <w:spacing w:before="50" w:after="50"/>
      <w:ind w:firstLine="200" w:firstLineChars="200"/>
    </w:pPr>
    <w:rPr>
      <w:rFonts w:ascii="Calibri" w:hAnsi="Calibri" w:eastAsia="宋体" w:cs="Times New Roman"/>
      <w:szCs w:val="22"/>
    </w:rPr>
  </w:style>
  <w:style w:type="paragraph" w:customStyle="1" w:styleId="289">
    <w:name w:val="一级条标题"/>
    <w:basedOn w:val="1"/>
    <w:next w:val="1"/>
    <w:qFormat/>
    <w:uiPriority w:val="0"/>
    <w:pPr>
      <w:widowControl/>
      <w:spacing w:after="160"/>
      <w:ind w:left="420"/>
      <w:outlineLvl w:val="2"/>
    </w:pPr>
    <w:rPr>
      <w:rFonts w:ascii="黑体" w:eastAsia="黑体"/>
      <w:kern w:val="0"/>
      <w:szCs w:val="22"/>
    </w:rPr>
  </w:style>
  <w:style w:type="paragraph" w:styleId="29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91">
    <w:name w:val="正文 New"/>
    <w:qFormat/>
    <w:uiPriority w:val="0"/>
    <w:pPr>
      <w:widowControl w:val="0"/>
      <w:jc w:val="both"/>
    </w:pPr>
    <w:rPr>
      <w:rFonts w:ascii="Times New Roman" w:hAnsi="Times New Roman" w:eastAsia="宋体" w:cs="Times New Roman"/>
      <w:kern w:val="0"/>
      <w:sz w:val="21"/>
      <w:szCs w:val="24"/>
      <w:lang w:val="en-US" w:eastAsia="zh-CN" w:bidi="ar-SA"/>
    </w:rPr>
  </w:style>
  <w:style w:type="paragraph" w:customStyle="1" w:styleId="292">
    <w:name w:val="Table Text"/>
    <w:basedOn w:val="1"/>
    <w:semiHidden/>
    <w:qFormat/>
    <w:uiPriority w:val="0"/>
    <w:rPr>
      <w:rFonts w:ascii="宋体" w:hAnsi="宋体" w:cs="宋体"/>
      <w:sz w:val="20"/>
      <w:lang w:eastAsia="en-US"/>
    </w:rPr>
  </w:style>
  <w:style w:type="paragraph" w:customStyle="1" w:styleId="29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6152</Words>
  <Characters>6732</Characters>
  <Lines>358</Lines>
  <Paragraphs>100</Paragraphs>
  <TotalTime>2</TotalTime>
  <ScaleCrop>false</ScaleCrop>
  <LinksUpToDate>false</LinksUpToDate>
  <CharactersWithSpaces>6856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2023-05-29T14:07:00Z</dcterms:created>
  <cp:lastPrinted>2022-10-11T10:14:00Z</cp:lastPrinted>
  <dcterms:modified xsi:type="dcterms:W3CDTF">2026-08-20T08:53:06Z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E4B3460676424D2CB4EED692E71CBB1B_13</vt:lpwstr>
  </property>
  <property fmtid="{D5CDD505-2E9C-101B-9397-08002B2CF9AE}" pid="4" name="commondata">
    <vt:lpwstr>eyJoZGlkIjoiMDVjZmZiOGMxYmVlNjY4MjAyZjhmMTgzOTljY2E2NjMifQ==</vt:lpwstr>
  </property>
  <property fmtid="{D5CDD505-2E9C-101B-9397-08002B2CF9AE}" pid="5" name="KSOTemplateDocerSaveRecord">
    <vt:lpwstr>eyJoZGlkIjoiZGMwZmRjMzUxOTY5MGU2ZjAwNTU0M2MwZGZhOGUxMDUiLCJ1c2VySWQiOiI5MjYwNDAyMTIifQ==</vt:lpwstr>
  </property>
</Properties>
</file>