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F7EB3">
      <w:pPr>
        <w:widowControl/>
        <w:shd w:val="clear" w:color="auto" w:fill="FFFFFF"/>
        <w:spacing w:line="360" w:lineRule="auto"/>
        <w:jc w:val="both"/>
        <w:rPr>
          <w:rFonts w:hint="default" w:ascii="宋体" w:hAnsi="宋体" w:eastAsia="宋体" w:cs="宋体"/>
          <w:b/>
          <w:color w:val="auto"/>
          <w:kern w:val="0"/>
          <w:sz w:val="48"/>
          <w:szCs w:val="48"/>
          <w:highlight w:val="none"/>
          <w:lang w:val="en-US" w:eastAsia="zh-CN"/>
        </w:rPr>
      </w:pPr>
      <w:bookmarkStart w:id="35" w:name="_GoBack"/>
      <w:bookmarkEnd w:id="35"/>
    </w:p>
    <w:p w14:paraId="5A9FE0DF">
      <w:pPr>
        <w:widowControl/>
        <w:shd w:val="clear" w:color="auto" w:fill="FFFFFF"/>
        <w:spacing w:line="360" w:lineRule="auto"/>
        <w:jc w:val="center"/>
        <w:rPr>
          <w:rFonts w:hint="eastAsia" w:ascii="宋体" w:hAnsi="宋体" w:eastAsia="宋体" w:cs="宋体"/>
          <w:b/>
          <w:color w:val="auto"/>
          <w:kern w:val="0"/>
          <w:sz w:val="48"/>
          <w:szCs w:val="48"/>
          <w:highlight w:val="none"/>
        </w:rPr>
      </w:pPr>
    </w:p>
    <w:p w14:paraId="3BFC1409">
      <w:pPr>
        <w:widowControl/>
        <w:shd w:val="clear" w:color="auto" w:fill="FFFFFF"/>
        <w:spacing w:line="360" w:lineRule="auto"/>
        <w:rPr>
          <w:rFonts w:hint="eastAsia" w:ascii="宋体" w:hAnsi="宋体" w:eastAsia="宋体" w:cs="宋体"/>
          <w:b/>
          <w:color w:val="auto"/>
          <w:kern w:val="0"/>
          <w:sz w:val="48"/>
          <w:szCs w:val="48"/>
          <w:highlight w:val="none"/>
        </w:rPr>
      </w:pPr>
    </w:p>
    <w:p w14:paraId="1829A92F">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中国医学科学院皮肤病医院苯甲酸苄酯采购项目</w:t>
      </w:r>
    </w:p>
    <w:p w14:paraId="644AAF6E">
      <w:pPr>
        <w:widowControl/>
        <w:spacing w:line="360" w:lineRule="auto"/>
        <w:jc w:val="center"/>
        <w:rPr>
          <w:rFonts w:hint="eastAsia" w:ascii="宋体" w:hAnsi="宋体" w:eastAsia="宋体" w:cs="宋体"/>
          <w:b/>
          <w:color w:val="auto"/>
          <w:kern w:val="0"/>
          <w:sz w:val="72"/>
          <w:szCs w:val="72"/>
          <w:highlight w:val="none"/>
        </w:rPr>
      </w:pPr>
    </w:p>
    <w:p w14:paraId="6A9481FB">
      <w:pPr>
        <w:pStyle w:val="6"/>
        <w:rPr>
          <w:rFonts w:hint="eastAsia" w:ascii="宋体" w:hAnsi="宋体" w:eastAsia="宋体" w:cs="宋体"/>
          <w:color w:val="auto"/>
          <w:highlight w:val="none"/>
        </w:rPr>
      </w:pPr>
    </w:p>
    <w:p w14:paraId="7750134E">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14:paraId="19660FD2">
      <w:pPr>
        <w:widowControl/>
        <w:spacing w:line="360" w:lineRule="auto"/>
        <w:jc w:val="center"/>
        <w:rPr>
          <w:rFonts w:hint="eastAsia" w:ascii="宋体" w:hAnsi="宋体" w:eastAsia="宋体" w:cs="宋体"/>
          <w:b/>
          <w:color w:val="auto"/>
          <w:kern w:val="0"/>
          <w:sz w:val="36"/>
          <w:szCs w:val="36"/>
          <w:highlight w:val="none"/>
        </w:rPr>
      </w:pPr>
    </w:p>
    <w:p w14:paraId="262BBFD8">
      <w:pPr>
        <w:widowControl/>
        <w:spacing w:line="360" w:lineRule="auto"/>
        <w:jc w:val="center"/>
        <w:rPr>
          <w:rFonts w:hint="eastAsia" w:ascii="宋体" w:hAnsi="宋体" w:eastAsia="宋体" w:cs="宋体"/>
          <w:b/>
          <w:color w:val="auto"/>
          <w:kern w:val="0"/>
          <w:sz w:val="36"/>
          <w:szCs w:val="36"/>
          <w:highlight w:val="none"/>
        </w:rPr>
      </w:pPr>
    </w:p>
    <w:p w14:paraId="0E33EF38">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DL066026H3ZC01408</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14:paraId="6593E72F">
      <w:pPr>
        <w:widowControl/>
        <w:spacing w:line="360" w:lineRule="auto"/>
        <w:jc w:val="center"/>
        <w:rPr>
          <w:rFonts w:hint="eastAsia" w:ascii="宋体" w:hAnsi="宋体" w:eastAsia="宋体" w:cs="宋体"/>
          <w:b/>
          <w:color w:val="auto"/>
          <w:kern w:val="0"/>
          <w:sz w:val="72"/>
          <w:szCs w:val="72"/>
          <w:highlight w:val="none"/>
        </w:rPr>
      </w:pPr>
    </w:p>
    <w:p w14:paraId="2E9CCF18">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14:paraId="6A86D28C">
      <w:pPr>
        <w:widowControl/>
        <w:spacing w:line="360" w:lineRule="auto"/>
        <w:jc w:val="center"/>
        <w:rPr>
          <w:rFonts w:hint="eastAsia" w:ascii="宋体" w:hAnsi="宋体" w:eastAsia="宋体" w:cs="宋体"/>
          <w:b/>
          <w:color w:val="auto"/>
          <w:kern w:val="0"/>
          <w:sz w:val="36"/>
          <w:szCs w:val="36"/>
          <w:highlight w:val="none"/>
        </w:rPr>
      </w:pPr>
    </w:p>
    <w:p w14:paraId="7177771A">
      <w:pPr>
        <w:widowControl/>
        <w:spacing w:line="360" w:lineRule="auto"/>
        <w:jc w:val="center"/>
        <w:rPr>
          <w:rFonts w:hint="eastAsia" w:ascii="宋体" w:hAnsi="宋体" w:eastAsia="宋体" w:cs="宋体"/>
          <w:b/>
          <w:color w:val="auto"/>
          <w:kern w:val="0"/>
          <w:sz w:val="36"/>
          <w:szCs w:val="36"/>
          <w:highlight w:val="none"/>
        </w:rPr>
      </w:pPr>
    </w:p>
    <w:p w14:paraId="0492F41C">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14:paraId="3EC29A03">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2026年06月</w:t>
      </w:r>
    </w:p>
    <w:p w14:paraId="2E0D203E">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14:paraId="6365AB5A">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14:paraId="10CD911D">
      <w:pPr>
        <w:pStyle w:val="32"/>
        <w:tabs>
          <w:tab w:val="right" w:leader="dot" w:pos="8296"/>
        </w:tabs>
        <w:rPr>
          <w:rFonts w:hint="eastAsia" w:ascii="宋体" w:hAnsi="宋体" w:eastAsia="宋体" w:cs="宋体"/>
          <w:color w:val="auto"/>
          <w:sz w:val="28"/>
          <w:szCs w:val="28"/>
          <w:highlight w:val="none"/>
        </w:rPr>
      </w:pPr>
    </w:p>
    <w:p w14:paraId="53FC8A6C">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431CCA2">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9456F74">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8DD0B0">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79D06F6">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0F1A043D">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14:paraId="53880000">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14:paraId="5F04B1C5">
      <w:pPr>
        <w:widowControl/>
        <w:shd w:val="clear" w:color="auto" w:fill="FFFFFF"/>
        <w:spacing w:line="360" w:lineRule="auto"/>
        <w:jc w:val="center"/>
        <w:rPr>
          <w:rFonts w:hint="eastAsia" w:ascii="宋体" w:hAnsi="宋体" w:eastAsia="宋体" w:cs="宋体"/>
          <w:b/>
          <w:color w:val="auto"/>
          <w:kern w:val="0"/>
          <w:sz w:val="36"/>
          <w:szCs w:val="36"/>
          <w:highlight w:val="none"/>
        </w:rPr>
      </w:pPr>
    </w:p>
    <w:p w14:paraId="4BDEA202">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604033DE">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14:paraId="122392B0">
      <w:pPr>
        <w:pStyle w:val="4"/>
        <w:pageBreakBefore w:val="0"/>
        <w:numPr>
          <w:ilvl w:val="0"/>
          <w:numId w:val="0"/>
        </w:numPr>
        <w:kinsoku/>
        <w:wordWrap/>
        <w:overflowPunct/>
        <w:topLinePunct w:val="0"/>
        <w:autoSpaceDE/>
        <w:autoSpaceDN/>
        <w:bidi w:val="0"/>
        <w:adjustRightInd/>
        <w:snapToGrid/>
        <w:spacing w:before="0" w:after="0" w:line="360" w:lineRule="auto"/>
        <w:ind w:leftChars="0"/>
        <w:textAlignment w:val="auto"/>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14:paraId="012D2FA3">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14:paraId="2B48359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360" w:lineRule="auto"/>
        <w:ind w:firstLine="369" w:firstLineChars="0"/>
        <w:jc w:val="both"/>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中国医学科学院皮肤病医院苯甲酸苄酯采购项目</w:t>
      </w:r>
      <w:r>
        <w:rPr>
          <w:rFonts w:hint="eastAsia" w:ascii="宋体" w:hAnsi="宋体" w:eastAsia="宋体" w:cs="宋体"/>
          <w:color w:val="auto"/>
          <w:spacing w:val="8"/>
          <w:kern w:val="0"/>
          <w:szCs w:val="21"/>
          <w:highlight w:val="none"/>
        </w:rPr>
        <w:t>的潜在供应商应在</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（网址为：https://www.jsygjy.cn）获取采购文件，并于</w:t>
      </w:r>
      <w:r>
        <w:rPr>
          <w:rFonts w:hint="eastAsia" w:ascii="宋体" w:hAnsi="宋体" w:cs="宋体"/>
          <w:color w:val="auto"/>
          <w:spacing w:val="8"/>
          <w:kern w:val="0"/>
          <w:szCs w:val="21"/>
          <w:highlight w:val="none"/>
          <w:lang w:eastAsia="zh-CN"/>
        </w:rPr>
        <w:t>2026年07月17日09点30分</w:t>
      </w:r>
      <w:r>
        <w:rPr>
          <w:rFonts w:hint="eastAsia" w:ascii="宋体" w:hAnsi="宋体" w:eastAsia="宋体" w:cs="宋体"/>
          <w:color w:val="auto"/>
          <w:spacing w:val="8"/>
          <w:kern w:val="0"/>
          <w:szCs w:val="21"/>
          <w:highlight w:val="none"/>
        </w:rPr>
        <w:t>（北京时间）前提交响应文件。</w:t>
      </w:r>
    </w:p>
    <w:p w14:paraId="4C80F7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14:paraId="120A141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DL066026H3ZC01408</w:t>
      </w:r>
      <w:r>
        <w:rPr>
          <w:rFonts w:hint="eastAsia" w:ascii="宋体" w:hAnsi="宋体" w:eastAsia="宋体" w:cs="宋体"/>
          <w:color w:val="auto"/>
          <w:spacing w:val="8"/>
          <w:kern w:val="0"/>
          <w:szCs w:val="21"/>
          <w:highlight w:val="none"/>
          <w:lang w:eastAsia="zh-CN"/>
        </w:rPr>
        <w:t xml:space="preserve"> </w:t>
      </w:r>
    </w:p>
    <w:p w14:paraId="7A47B8C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中国医学科学院皮肤病医院苯甲酸苄酯采购项目</w:t>
      </w:r>
    </w:p>
    <w:p w14:paraId="4C747FD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eastAsia="zh-CN"/>
        </w:rPr>
        <w:t>40万元</w:t>
      </w:r>
    </w:p>
    <w:p w14:paraId="0EA196B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eastAsia="zh-CN"/>
        </w:rPr>
        <w:t>40万元</w:t>
      </w:r>
    </w:p>
    <w:p w14:paraId="1612F496">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1.5采购需求：详见服务要求</w:t>
      </w:r>
      <w:r>
        <w:rPr>
          <w:rFonts w:hint="eastAsia" w:ascii="宋体" w:hAnsi="宋体" w:eastAsia="宋体" w:cs="宋体"/>
          <w:color w:val="auto"/>
          <w:spacing w:val="8"/>
          <w:kern w:val="0"/>
          <w:szCs w:val="21"/>
          <w:highlight w:val="none"/>
          <w:lang w:eastAsia="zh-CN"/>
        </w:rPr>
        <w:t>。</w:t>
      </w:r>
    </w:p>
    <w:p w14:paraId="607EB30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合同签订后按需供货。</w:t>
      </w:r>
    </w:p>
    <w:p w14:paraId="4779925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 xml:space="preserve">7 </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14:paraId="64641DF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14:paraId="0E83EF53">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default" w:ascii="宋体" w:hAnsi="宋体" w:eastAsia="宋体" w:cs="宋体"/>
          <w:b/>
          <w:color w:val="auto"/>
          <w:spacing w:val="8"/>
          <w:kern w:val="0"/>
          <w:szCs w:val="21"/>
          <w:highlight w:val="none"/>
          <w:lang w:val="en-US" w:eastAsia="zh-CN"/>
        </w:rPr>
      </w:pPr>
      <w:r>
        <w:rPr>
          <w:rFonts w:hint="eastAsia" w:ascii="宋体" w:hAnsi="宋体" w:cs="宋体"/>
          <w:b/>
          <w:color w:val="auto"/>
          <w:spacing w:val="8"/>
          <w:kern w:val="0"/>
          <w:szCs w:val="21"/>
          <w:highlight w:val="none"/>
          <w:lang w:val="en-US" w:eastAsia="zh-CN"/>
        </w:rPr>
        <w:t>2.1满足以下条款规定：</w:t>
      </w:r>
    </w:p>
    <w:p w14:paraId="33DE332D">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（1）具有独立承担民事责任的能力（提供法人或者其他组织的营业执照；供应商为自然人的，提供其身份证）；</w:t>
      </w:r>
    </w:p>
    <w:p w14:paraId="4F47A943">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（2）具有良好的商业信誉和健全的财务会计制度（</w:t>
      </w:r>
      <w:r>
        <w:rPr>
          <w:rFonts w:hint="eastAsia" w:ascii="宋体" w:hAnsi="宋体" w:cs="宋体"/>
          <w:bCs/>
          <w:color w:val="auto"/>
          <w:szCs w:val="21"/>
          <w:highlight w:val="none"/>
          <w:lang w:eastAsia="zh-CN"/>
        </w:rPr>
        <w:t>提供2024年度或2025年度经审计的</w:t>
      </w:r>
      <w:r>
        <w:rPr>
          <w:rFonts w:hint="eastAsia" w:ascii="宋体" w:hAnsi="宋体" w:eastAsia="宋体" w:cs="宋体"/>
          <w:color w:val="auto"/>
          <w:highlight w:val="none"/>
        </w:rPr>
        <w:t>财</w:t>
      </w:r>
      <w:r>
        <w:rPr>
          <w:rFonts w:hint="eastAsia" w:ascii="宋体" w:hAnsi="宋体" w:eastAsia="宋体" w:cs="宋体"/>
          <w:bCs/>
          <w:color w:val="auto"/>
          <w:szCs w:val="21"/>
          <w:highlight w:val="none"/>
        </w:rPr>
        <w:t>务报告，或截止时间前六个月内银行出具的资信证明）；</w:t>
      </w:r>
    </w:p>
    <w:p w14:paraId="574014A6">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（3）具有履行合同所必需的设备和专业技术能力（供应商根据履行采购项目合同需要，提供履行合同所必需的设备和专业技术能力的证明材料）；</w:t>
      </w:r>
    </w:p>
    <w:p w14:paraId="364D8C44">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（4）有依法缴纳税收和社会保障资金的良好记录（提供参加本次采购活动前半年内至少一个月缴纳增值税，或企业所得税的凭据；并提供缴纳社会保险的凭据）；</w:t>
      </w:r>
    </w:p>
    <w:p w14:paraId="5C91BF8F">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（5）参加采购活动前三年内，在经营活动中没有重大违法记录（提供承诺书）；</w:t>
      </w:r>
    </w:p>
    <w:p w14:paraId="6E4DA742">
      <w:pPr>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（6）法律、行政法规规定的其他条件：无</w:t>
      </w:r>
    </w:p>
    <w:p w14:paraId="2FDF08B9">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2.2</w:t>
      </w:r>
      <w:r>
        <w:rPr>
          <w:rFonts w:hint="eastAsia" w:ascii="宋体" w:hAnsi="宋体" w:cs="宋体"/>
          <w:b/>
          <w:color w:val="auto"/>
          <w:spacing w:val="8"/>
          <w:kern w:val="0"/>
          <w:szCs w:val="21"/>
          <w:highlight w:val="none"/>
          <w:lang w:val="en-US" w:eastAsia="zh-CN"/>
        </w:rPr>
        <w:t xml:space="preserve"> </w:t>
      </w:r>
      <w:r>
        <w:rPr>
          <w:rFonts w:hint="eastAsia" w:ascii="宋体" w:hAnsi="宋体" w:eastAsia="宋体" w:cs="宋体"/>
          <w:b/>
          <w:color w:val="auto"/>
          <w:spacing w:val="8"/>
          <w:kern w:val="0"/>
          <w:szCs w:val="21"/>
          <w:highlight w:val="none"/>
        </w:rPr>
        <w:t>采购人根据采购项目的特殊要求规定的特定条件，并提供符合特殊要求的证明材料或者情况说明：</w:t>
      </w:r>
    </w:p>
    <w:p w14:paraId="4040A5AB">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lang w:eastAsia="zh-CN"/>
        </w:rPr>
      </w:pPr>
      <w:r>
        <w:rPr>
          <w:rFonts w:hint="eastAsia" w:ascii="宋体" w:hAnsi="宋体" w:eastAsia="宋体" w:cs="宋体"/>
          <w:b/>
          <w:color w:val="auto"/>
          <w:spacing w:val="8"/>
          <w:kern w:val="0"/>
          <w:szCs w:val="21"/>
          <w:highlight w:val="none"/>
        </w:rPr>
        <w:t>(1)供应商所投产品需在国家药品监督管理局药品审评中心与制剂共同审评审批结果为A</w:t>
      </w:r>
      <w:r>
        <w:rPr>
          <w:rFonts w:hint="eastAsia" w:ascii="宋体" w:hAnsi="宋体" w:cs="宋体"/>
          <w:b/>
          <w:color w:val="auto"/>
          <w:spacing w:val="8"/>
          <w:kern w:val="0"/>
          <w:szCs w:val="21"/>
          <w:highlight w:val="none"/>
          <w:lang w:eastAsia="zh-CN"/>
        </w:rPr>
        <w:t>。</w:t>
      </w:r>
      <w:r>
        <w:rPr>
          <w:rFonts w:hint="eastAsia" w:ascii="宋体" w:hAnsi="宋体" w:eastAsia="宋体" w:cs="宋体"/>
          <w:b/>
          <w:color w:val="auto"/>
          <w:spacing w:val="8"/>
          <w:kern w:val="0"/>
          <w:szCs w:val="21"/>
          <w:highlight w:val="none"/>
        </w:rPr>
        <w:t>（须提供相关证明材料并加盖公章）</w:t>
      </w:r>
    </w:p>
    <w:p w14:paraId="15788556">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(2)供应商为药品经营企业的，须具备有效的《药品经营许可证》(提供证书复印件并加盖公章)</w:t>
      </w:r>
    </w:p>
    <w:p w14:paraId="3CA93862">
      <w:pPr>
        <w:keepNext w:val="0"/>
        <w:keepLines w:val="0"/>
        <w:pageBreakBefore w:val="0"/>
        <w:kinsoku/>
        <w:wordWrap/>
        <w:overflowPunct/>
        <w:topLinePunct w:val="0"/>
        <w:autoSpaceDE/>
        <w:autoSpaceDN/>
        <w:bidi w:val="0"/>
        <w:adjustRightInd/>
        <w:snapToGrid/>
        <w:spacing w:line="360" w:lineRule="auto"/>
        <w:ind w:firstLine="458" w:firstLineChars="202"/>
        <w:textAlignment w:val="auto"/>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(3)供应商为药品生产企业的，须具备有效的《药品生产许可证》(提供证书复印件并加盖公章)</w:t>
      </w:r>
    </w:p>
    <w:p w14:paraId="3F648337">
      <w:pPr>
        <w:keepNext w:val="0"/>
        <w:keepLines w:val="0"/>
        <w:pageBreakBefore w:val="0"/>
        <w:kinsoku/>
        <w:wordWrap/>
        <w:overflowPunct/>
        <w:topLinePunct w:val="0"/>
        <w:autoSpaceDE/>
        <w:autoSpaceDN/>
        <w:bidi w:val="0"/>
        <w:adjustRightInd/>
        <w:snapToGrid/>
        <w:spacing w:line="360" w:lineRule="auto"/>
        <w:ind w:firstLine="456" w:firstLineChars="202"/>
        <w:textAlignment w:val="auto"/>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w:t>
      </w:r>
      <w:r>
        <w:rPr>
          <w:rFonts w:hint="eastAsia" w:ascii="宋体" w:hAnsi="宋体" w:cs="宋体"/>
          <w:color w:val="auto"/>
          <w:spacing w:val="8"/>
          <w:kern w:val="0"/>
          <w:szCs w:val="21"/>
          <w:highlight w:val="none"/>
          <w:lang w:val="en-US" w:eastAsia="zh-CN"/>
        </w:rPr>
        <w:t>3</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14:paraId="080554CF">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 xml:space="preserve"> 单位负责人为同一人或者存在直接控股、管理关系的不同供应商，不得参加同一合同项下的采购活动。</w:t>
      </w:r>
    </w:p>
    <w:p w14:paraId="516CCA32">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为采购项目提供整体设计、规范编制或者项目管理、监理、检测等服务的供应商，不得再参加该采购项目的其他采购活动。</w:t>
      </w:r>
    </w:p>
    <w:p w14:paraId="2D9F0EF7">
      <w:pPr>
        <w:keepNext w:val="0"/>
        <w:keepLines w:val="0"/>
        <w:pageBreakBefore w:val="0"/>
        <w:kinsoku/>
        <w:wordWrap/>
        <w:overflowPunct/>
        <w:topLinePunct w:val="0"/>
        <w:autoSpaceDE/>
        <w:autoSpaceDN/>
        <w:bidi w:val="0"/>
        <w:adjustRightInd/>
        <w:snapToGrid/>
        <w:spacing w:line="360" w:lineRule="auto"/>
        <w:ind w:firstLine="424" w:firstLineChars="202"/>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拒绝列入失信被执行人、</w:t>
      </w:r>
      <w:r>
        <w:rPr>
          <w:rFonts w:hint="eastAsia" w:ascii="宋体" w:hAnsi="宋体" w:cs="宋体"/>
          <w:bCs/>
          <w:color w:val="auto"/>
          <w:szCs w:val="21"/>
          <w:highlight w:val="none"/>
          <w:lang w:eastAsia="zh-CN"/>
        </w:rPr>
        <w:t>重大税收违法失信主体</w:t>
      </w:r>
      <w:r>
        <w:rPr>
          <w:rFonts w:hint="eastAsia" w:ascii="宋体" w:hAnsi="宋体" w:eastAsia="宋体" w:cs="宋体"/>
          <w:bCs/>
          <w:color w:val="auto"/>
          <w:szCs w:val="21"/>
          <w:highlight w:val="none"/>
        </w:rPr>
        <w:t>、政府采购严重违法失信行为记录名单</w:t>
      </w:r>
      <w:r>
        <w:rPr>
          <w:rFonts w:hint="eastAsia" w:ascii="宋体" w:hAnsi="宋体" w:eastAsia="宋体" w:cs="宋体"/>
          <w:i w:val="0"/>
          <w:caps w:val="0"/>
          <w:color w:val="auto"/>
          <w:spacing w:val="0"/>
          <w:sz w:val="21"/>
          <w:szCs w:val="21"/>
          <w:highlight w:val="none"/>
          <w:shd w:val="clear" w:fill="FFFFFF"/>
        </w:rPr>
        <w:t>的供应商</w:t>
      </w:r>
      <w:r>
        <w:rPr>
          <w:rFonts w:hint="eastAsia" w:ascii="宋体" w:hAnsi="宋体" w:eastAsia="宋体" w:cs="宋体"/>
          <w:bCs/>
          <w:color w:val="auto"/>
          <w:szCs w:val="21"/>
          <w:highlight w:val="none"/>
        </w:rPr>
        <w:t>参与采购活动。采购人或者采购代理机构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14:paraId="6E11308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14:paraId="7BCC5C3A">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1时间：</w:t>
      </w:r>
      <w:r>
        <w:rPr>
          <w:rFonts w:hint="eastAsia" w:ascii="宋体" w:hAnsi="宋体" w:cs="宋体"/>
          <w:color w:val="auto"/>
          <w:spacing w:val="8"/>
          <w:kern w:val="0"/>
          <w:szCs w:val="21"/>
          <w:highlight w:val="none"/>
          <w:lang w:eastAsia="zh-CN"/>
        </w:rPr>
        <w:t>2026年06月25日17时30分至2026年07月09日17时30分。</w:t>
      </w:r>
      <w:r>
        <w:rPr>
          <w:rFonts w:hint="eastAsia" w:ascii="宋体" w:hAnsi="宋体" w:eastAsia="宋体" w:cs="宋体"/>
          <w:color w:val="auto"/>
          <w:spacing w:val="8"/>
          <w:kern w:val="0"/>
          <w:szCs w:val="21"/>
          <w:highlight w:val="none"/>
        </w:rPr>
        <w:t>（北京时间，下同）</w:t>
      </w:r>
    </w:p>
    <w:p w14:paraId="4C7AC1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2地点：登录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w:t>
      </w:r>
    </w:p>
    <w:p w14:paraId="179379BB">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3方式：</w:t>
      </w:r>
    </w:p>
    <w:p w14:paraId="1EFDBCA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（一）凡有意参加投标人，请于获取时间内（北京时间，下同），登录</w:t>
      </w:r>
      <w:r>
        <w:rPr>
          <w:rFonts w:hint="eastAsia" w:ascii="宋体" w:hAnsi="宋体" w:cs="宋体"/>
          <w:color w:val="auto"/>
          <w:spacing w:val="8"/>
          <w:kern w:val="0"/>
          <w:szCs w:val="21"/>
          <w:highlight w:val="none"/>
          <w:lang w:eastAsia="zh-CN"/>
        </w:rPr>
        <w:t>江苏省阳光交易平台</w:t>
      </w:r>
      <w:r>
        <w:rPr>
          <w:rFonts w:hint="eastAsia" w:ascii="宋体" w:hAnsi="宋体" w:eastAsia="宋体" w:cs="宋体"/>
          <w:color w:val="auto"/>
          <w:spacing w:val="8"/>
          <w:kern w:val="0"/>
          <w:szCs w:val="21"/>
          <w:highlight w:val="none"/>
        </w:rPr>
        <w:t>（网址为：https://www.jsygjy.cn）按照要求进行实名会员注册、完善相关信息及选择项目、下载文件。</w:t>
      </w:r>
    </w:p>
    <w:p w14:paraId="4A750C31">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（二）参与者首次登录平台前，须前往平台免费注册，注册成功且完善相关信息后，可以及时参与平台上所有发布的项目。</w:t>
      </w:r>
    </w:p>
    <w:p w14:paraId="057557B4">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（三）参与者应充分考虑平台注册、信息检查、资料上传等所需时间。未按照本公告要求获得本项目文件的，采购代理机构不予接收其投标文件。</w:t>
      </w:r>
    </w:p>
    <w:p w14:paraId="67C46AB0">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14044CD3">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（五）平台网站首页“帮助中心”提供操作手册，参与者可以下载并根据操作手册提示进行注册、登录等操作。供应商平台咨询电话：025-83306809（工作日8：30-11：30，13：30-17：30）。</w:t>
      </w:r>
    </w:p>
    <w:p w14:paraId="6F97D316">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0E1F090D">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4本项目文件售价：免费</w:t>
      </w:r>
    </w:p>
    <w:p w14:paraId="49113452">
      <w:pPr>
        <w:pageBreakBefore w:val="0"/>
        <w:widowControl/>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3.</w:t>
      </w:r>
      <w:r>
        <w:rPr>
          <w:rFonts w:hint="eastAsia" w:ascii="宋体" w:hAnsi="宋体" w:eastAsia="宋体" w:cs="宋体"/>
          <w:color w:val="auto"/>
          <w:spacing w:val="8"/>
          <w:kern w:val="0"/>
          <w:szCs w:val="21"/>
          <w:highlight w:val="none"/>
        </w:rPr>
        <w:t>5本项目收取平台服务费：免费</w:t>
      </w:r>
    </w:p>
    <w:p w14:paraId="0329C93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14:paraId="46ACE3AA">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2026年07月17日09点30分</w:t>
      </w:r>
      <w:r>
        <w:rPr>
          <w:rFonts w:hint="eastAsia" w:ascii="宋体" w:hAnsi="宋体" w:eastAsia="宋体" w:cs="宋体"/>
          <w:color w:val="auto"/>
          <w:szCs w:val="21"/>
          <w:highlight w:val="none"/>
        </w:rPr>
        <w:t>（北京时间）</w:t>
      </w:r>
    </w:p>
    <w:p w14:paraId="64F12B29">
      <w:pPr>
        <w:pageBreakBefore w:val="0"/>
        <w:widowControl/>
        <w:shd w:val="clear" w:color="auto" w:fill="FFFFFF" w:themeFill="background1"/>
        <w:kinsoku/>
        <w:wordWrap/>
        <w:overflowPunct/>
        <w:topLinePunct w:val="0"/>
        <w:autoSpaceDE/>
        <w:autoSpaceDN/>
        <w:bidi w:val="0"/>
        <w:adjustRightInd/>
        <w:snapToGrid/>
        <w:spacing w:line="360" w:lineRule="auto"/>
        <w:ind w:firstLine="36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14:paraId="6E59D8C8">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14:paraId="5738585D">
      <w:pPr>
        <w:keepNext w:val="0"/>
        <w:keepLines w:val="0"/>
        <w:pageBreakBefore w:val="0"/>
        <w:widowControl/>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14:paraId="0BB02E8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p>
    <w:p w14:paraId="2499C58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14:paraId="3948C4B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70"/>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14:paraId="554E1BF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14:paraId="090CB4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zh-CN"/>
        </w:rPr>
      </w:pPr>
      <w:bookmarkStart w:id="8" w:name="_Toc13548"/>
      <w:bookmarkStart w:id="9" w:name="_Toc15491"/>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中国医学科学院皮肤病医院官网（http://www.pumcskin.cn/）、中国招标投标公共服务平台（http://www.cebpubservice.com/）</w:t>
      </w:r>
      <w:r>
        <w:rPr>
          <w:rFonts w:hint="eastAsia" w:ascii="宋体" w:hAnsi="宋体" w:cs="宋体"/>
          <w:b w:val="0"/>
          <w:bCs w:val="0"/>
          <w:color w:val="auto"/>
          <w:szCs w:val="21"/>
          <w:highlight w:val="none"/>
          <w:lang w:val="en-US" w:eastAsia="zh-CN"/>
        </w:rPr>
        <w:t>发布公告</w:t>
      </w:r>
      <w:r>
        <w:rPr>
          <w:rFonts w:hint="eastAsia" w:ascii="宋体" w:hAnsi="宋体" w:eastAsia="宋体" w:cs="宋体"/>
          <w:color w:val="auto"/>
          <w:szCs w:val="21"/>
          <w:highlight w:val="none"/>
          <w:lang w:val="zh-CN"/>
        </w:rPr>
        <w:t>。</w:t>
      </w:r>
      <w:bookmarkEnd w:id="8"/>
    </w:p>
    <w:p w14:paraId="65A2479B">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14:paraId="7D539942">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ind w:firstLine="363" w:firstLineChars="173"/>
        <w:textAlignment w:val="auto"/>
        <w:outlineLvl w:val="1"/>
        <w:rPr>
          <w:rFonts w:hint="eastAsia" w:ascii="宋体" w:hAnsi="宋体" w:eastAsia="宋体" w:cs="宋体"/>
          <w:b/>
          <w:color w:val="auto"/>
          <w:spacing w:val="8"/>
          <w:kern w:val="0"/>
          <w:sz w:val="24"/>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14:paraId="1471CA1A">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textAlignment w:val="auto"/>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14:paraId="1C0BC33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14:paraId="241918D7">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14:paraId="180C4DDF">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14:paraId="0E83D711">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w:t>
      </w:r>
      <w:r>
        <w:rPr>
          <w:rFonts w:hint="eastAsia" w:ascii="宋体" w:hAnsi="宋体" w:cs="宋体"/>
          <w:color w:val="auto"/>
          <w:spacing w:val="8"/>
          <w:kern w:val="0"/>
          <w:szCs w:val="21"/>
          <w:highlight w:val="none"/>
          <w:lang w:val="en-US" w:eastAsia="zh-CN"/>
        </w:rPr>
        <w:t>85478284</w:t>
      </w:r>
    </w:p>
    <w:p w14:paraId="732B24C5">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14:paraId="33FCD97E">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14:paraId="4F1CC57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14:paraId="6DAF0653">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14:paraId="6C1A1C69">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14:paraId="621CDF94">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14:paraId="0682C37C">
      <w:pPr>
        <w:keepNext w:val="0"/>
        <w:keepLines w:val="0"/>
        <w:pageBreakBefore w:val="0"/>
        <w:widowControl/>
        <w:shd w:val="clear" w:color="auto" w:fill="FFFFFF" w:themeFill="background1"/>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14:paraId="3B01CA7C">
      <w:pPr>
        <w:pStyle w:val="5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Cs w:val="21"/>
          <w:highlight w:val="none"/>
        </w:rPr>
      </w:pPr>
    </w:p>
    <w:p w14:paraId="15A50815">
      <w:pPr>
        <w:pStyle w:val="55"/>
        <w:rPr>
          <w:rFonts w:hint="eastAsia" w:ascii="宋体" w:hAnsi="宋体" w:eastAsia="宋体" w:cs="宋体"/>
          <w:color w:val="auto"/>
          <w:spacing w:val="8"/>
          <w:kern w:val="0"/>
          <w:szCs w:val="21"/>
          <w:highlight w:val="none"/>
        </w:rPr>
      </w:pPr>
    </w:p>
    <w:p w14:paraId="424E4274">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14:paraId="70AED79D">
      <w:pPr>
        <w:pStyle w:val="4"/>
        <w:pageBreakBefore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color w:val="auto"/>
          <w:kern w:val="0"/>
          <w:szCs w:val="21"/>
          <w:highlight w:val="none"/>
        </w:rPr>
      </w:pPr>
      <w:bookmarkStart w:id="21" w:name="_Toc11112"/>
      <w:r>
        <w:rPr>
          <w:rFonts w:hint="eastAsia" w:ascii="宋体" w:hAnsi="宋体" w:cs="宋体"/>
          <w:b/>
          <w:bCs/>
          <w:color w:val="auto"/>
          <w:kern w:val="0"/>
          <w:szCs w:val="21"/>
          <w:highlight w:val="none"/>
        </w:rPr>
        <w:t>一、总 则</w:t>
      </w:r>
    </w:p>
    <w:p w14:paraId="030B860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1、适用范围</w:t>
      </w:r>
    </w:p>
    <w:p w14:paraId="6C22A50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w:t>
      </w:r>
      <w:r>
        <w:rPr>
          <w:rFonts w:hint="eastAsia" w:ascii="宋体" w:hAnsi="宋体" w:cs="宋体"/>
          <w:strike w:val="0"/>
          <w:color w:val="auto"/>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2、定义</w:t>
      </w:r>
    </w:p>
    <w:p w14:paraId="30C7B6F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2.4“货物和服务”指本招标文件中所述</w:t>
      </w:r>
      <w:r>
        <w:rPr>
          <w:rFonts w:hint="eastAsia" w:ascii="宋体" w:hAnsi="宋体" w:cs="宋体"/>
          <w:bCs/>
          <w:color w:val="auto"/>
          <w:kern w:val="0"/>
          <w:szCs w:val="21"/>
          <w:highlight w:val="none"/>
        </w:rPr>
        <w:t>产品</w:t>
      </w:r>
      <w:r>
        <w:rPr>
          <w:rFonts w:hint="eastAsia" w:ascii="宋体" w:hAnsi="宋体" w:cs="宋体"/>
          <w:color w:val="auto"/>
          <w:kern w:val="0"/>
          <w:szCs w:val="21"/>
          <w:highlight w:val="none"/>
        </w:rPr>
        <w:t>及相关服务。</w:t>
      </w:r>
    </w:p>
    <w:p w14:paraId="3970BE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二、招标文件构成</w:t>
      </w:r>
    </w:p>
    <w:p w14:paraId="0EB2CF0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4、招标文件组成</w:t>
      </w:r>
    </w:p>
    <w:p w14:paraId="7CBCF8D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三、投标文件的编制</w:t>
      </w:r>
    </w:p>
    <w:p w14:paraId="20F5BA1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6.3投标人应用人民币报价。投标产品如果是进口产品的，应提供人民币与</w:t>
      </w:r>
      <w:r>
        <w:rPr>
          <w:rFonts w:hint="eastAsia" w:ascii="宋体" w:hAnsi="宋体" w:cs="宋体"/>
          <w:b/>
          <w:bCs/>
          <w:color w:val="auto"/>
          <w:kern w:val="0"/>
          <w:szCs w:val="21"/>
          <w:highlight w:val="none"/>
        </w:rPr>
        <w:t>外币之间的汇率。</w:t>
      </w:r>
    </w:p>
    <w:p w14:paraId="33B4A00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color w:val="auto"/>
          <w:kern w:val="0"/>
          <w:szCs w:val="21"/>
          <w:highlight w:val="none"/>
        </w:rPr>
      </w:pPr>
      <w:r>
        <w:rPr>
          <w:rFonts w:hint="eastAsia" w:ascii="宋体" w:hAnsi="宋体" w:cs="宋体"/>
          <w:bCs/>
          <w:color w:val="auto"/>
          <w:kern w:val="0"/>
          <w:szCs w:val="21"/>
          <w:highlight w:val="none"/>
        </w:rPr>
        <w:t>6.6</w:t>
      </w:r>
      <w:r>
        <w:rPr>
          <w:rFonts w:hint="eastAsia" w:ascii="宋体" w:hAnsi="宋体" w:cs="宋体"/>
          <w:color w:val="auto"/>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7、联合体投标</w:t>
      </w:r>
    </w:p>
    <w:p w14:paraId="1F6E180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Cs/>
          <w:color w:val="auto"/>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color w:val="auto"/>
          <w:kern w:val="0"/>
          <w:szCs w:val="21"/>
          <w:highlight w:val="none"/>
        </w:rPr>
        <w:t>对带</w:t>
      </w:r>
      <w:r>
        <w:rPr>
          <w:rFonts w:hint="eastAsia" w:ascii="宋体" w:hAnsi="宋体" w:cs="宋体"/>
          <w:b/>
          <w:bCs/>
          <w:color w:val="auto"/>
          <w:kern w:val="0"/>
          <w:szCs w:val="21"/>
          <w:highlight w:val="none"/>
        </w:rPr>
        <w:t>星号（“</w:t>
      </w:r>
      <w:r>
        <w:rPr>
          <w:rFonts w:hint="eastAsia" w:ascii="宋体" w:hAnsi="宋体" w:cs="宋体"/>
          <w:b/>
          <w:bCs/>
          <w:color w:val="auto"/>
          <w:highlight w:val="none"/>
        </w:rPr>
        <w:t>*</w:t>
      </w:r>
      <w:r>
        <w:rPr>
          <w:rFonts w:hint="eastAsia" w:ascii="宋体" w:hAnsi="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（1）投标函（投标申请及声明）</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（2）法定代表人授权书及委托代理人的身份证明文件的复印件</w:t>
      </w:r>
      <w:r>
        <w:rPr>
          <w:rFonts w:hint="eastAsia" w:ascii="宋体" w:hAnsi="宋体" w:cs="宋体"/>
          <w:bCs/>
          <w:color w:val="auto"/>
          <w:szCs w:val="21"/>
          <w:highlight w:val="none"/>
        </w:rPr>
        <w:t>（</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r>
        <w:rPr>
          <w:rFonts w:hint="eastAsia" w:ascii="宋体" w:hAnsi="宋体" w:cs="宋体"/>
          <w:color w:val="auto"/>
          <w:kern w:val="0"/>
          <w:szCs w:val="21"/>
          <w:highlight w:val="none"/>
        </w:rPr>
        <w:t>；</w:t>
      </w:r>
    </w:p>
    <w:p w14:paraId="33BFA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color w:val="auto"/>
          <w:szCs w:val="21"/>
          <w:highlight w:val="none"/>
        </w:rPr>
      </w:pPr>
      <w:r>
        <w:rPr>
          <w:rFonts w:hint="eastAsia" w:ascii="宋体" w:hAnsi="宋体" w:cs="宋体"/>
          <w:bCs/>
          <w:color w:val="auto"/>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（4）开标一览表及附表（</w:t>
      </w:r>
      <w:r>
        <w:rPr>
          <w:rFonts w:hint="eastAsia" w:ascii="宋体" w:hAnsi="宋体" w:cs="宋体"/>
          <w:b/>
          <w:bCs/>
          <w:color w:val="auto"/>
          <w:szCs w:val="21"/>
          <w:highlight w:val="none"/>
        </w:rPr>
        <w:t>格式见第六章</w:t>
      </w:r>
      <w:r>
        <w:rPr>
          <w:rFonts w:hint="eastAsia" w:ascii="宋体" w:hAnsi="宋体" w:cs="宋体"/>
          <w:bCs/>
          <w:color w:val="auto"/>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color w:val="auto"/>
          <w:szCs w:val="21"/>
          <w:highlight w:val="none"/>
          <w:lang w:val="zh-CN"/>
        </w:rPr>
      </w:pPr>
      <w:r>
        <w:rPr>
          <w:rFonts w:hint="eastAsia" w:ascii="宋体" w:hAnsi="宋体" w:cs="宋体"/>
          <w:color w:val="auto"/>
          <w:szCs w:val="21"/>
          <w:highlight w:val="none"/>
          <w:lang w:val="zh-CN"/>
        </w:rPr>
        <w:t>技术部分</w:t>
      </w:r>
      <w:r>
        <w:rPr>
          <w:rFonts w:hint="eastAsia" w:ascii="宋体" w:hAnsi="宋体" w:cs="宋体"/>
          <w:color w:val="auto"/>
          <w:kern w:val="0"/>
          <w:szCs w:val="21"/>
          <w:highlight w:val="none"/>
        </w:rPr>
        <w:t>内容</w:t>
      </w:r>
      <w:r>
        <w:rPr>
          <w:rFonts w:hint="eastAsia" w:ascii="宋体" w:hAnsi="宋体" w:cs="宋体"/>
          <w:color w:val="auto"/>
          <w:szCs w:val="21"/>
          <w:highlight w:val="none"/>
          <w:lang w:val="zh-CN"/>
        </w:rPr>
        <w:t>是证明</w:t>
      </w:r>
      <w:r>
        <w:rPr>
          <w:rFonts w:hint="eastAsia" w:ascii="宋体" w:hAnsi="宋体" w:cs="宋体"/>
          <w:color w:val="auto"/>
          <w:szCs w:val="21"/>
          <w:highlight w:val="none"/>
        </w:rPr>
        <w:t>投标人提供的货物和服务是合格的、并符合招标文件要求的证明文件，以及</w:t>
      </w:r>
      <w:r>
        <w:rPr>
          <w:rFonts w:hint="eastAsia" w:ascii="宋体" w:hAnsi="宋体" w:cs="宋体"/>
          <w:color w:val="auto"/>
          <w:szCs w:val="21"/>
          <w:highlight w:val="none"/>
          <w:lang w:val="zh-CN"/>
        </w:rPr>
        <w:t>对货物和服务的详细说明</w:t>
      </w:r>
      <w:r>
        <w:rPr>
          <w:rFonts w:hint="eastAsia" w:ascii="宋体" w:hAnsi="宋体" w:cs="宋体"/>
          <w:color w:val="auto"/>
          <w:kern w:val="0"/>
          <w:szCs w:val="21"/>
          <w:highlight w:val="none"/>
          <w:lang w:val="zh-CN"/>
        </w:rPr>
        <w:t>，这些文件可以是文字资料、图纸、数据</w:t>
      </w:r>
      <w:r>
        <w:rPr>
          <w:rFonts w:hint="eastAsia" w:ascii="宋体" w:hAnsi="宋体" w:cs="宋体"/>
          <w:color w:val="auto"/>
          <w:kern w:val="0"/>
          <w:szCs w:val="21"/>
          <w:highlight w:val="none"/>
        </w:rPr>
        <w:t>或其他证明文件</w:t>
      </w:r>
      <w:r>
        <w:rPr>
          <w:rFonts w:hint="eastAsia" w:ascii="宋体" w:hAnsi="宋体" w:cs="宋体"/>
          <w:color w:val="auto"/>
          <w:kern w:val="0"/>
          <w:szCs w:val="21"/>
          <w:highlight w:val="none"/>
          <w:lang w:val="zh-CN"/>
        </w:rPr>
        <w:t>等。</w:t>
      </w:r>
      <w:r>
        <w:rPr>
          <w:rFonts w:hint="eastAsia" w:ascii="宋体" w:hAnsi="宋体" w:cs="宋体"/>
          <w:color w:val="auto"/>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11.2报价应包含为履行本项目合同项下所有义务的全部含税费用（包括但不限于</w:t>
      </w:r>
      <w:r>
        <w:rPr>
          <w:rFonts w:hint="eastAsia" w:ascii="宋体" w:hAnsi="宋体" w:cs="宋体"/>
          <w:color w:val="auto"/>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w:t>
      </w:r>
      <w:r>
        <w:rPr>
          <w:rFonts w:hint="eastAsia" w:ascii="宋体" w:hAnsi="宋体" w:cs="宋体"/>
          <w:bCs/>
          <w:color w:val="auto"/>
          <w:szCs w:val="21"/>
          <w:highlight w:val="none"/>
        </w:rPr>
        <w:t>以</w:t>
      </w:r>
      <w:r>
        <w:rPr>
          <w:rFonts w:hint="eastAsia" w:ascii="宋体" w:hAnsi="宋体" w:cs="宋体"/>
          <w:color w:val="auto"/>
          <w:szCs w:val="21"/>
          <w:highlight w:val="none"/>
        </w:rPr>
        <w:t>及投标人认为需要的其他费用等</w:t>
      </w:r>
      <w:r>
        <w:rPr>
          <w:rFonts w:hint="eastAsia" w:ascii="宋体" w:hAnsi="宋体" w:cs="宋体"/>
          <w:b/>
          <w:color w:val="auto"/>
          <w:szCs w:val="21"/>
          <w:highlight w:val="none"/>
        </w:rPr>
        <w:t>。</w:t>
      </w:r>
    </w:p>
    <w:p w14:paraId="4205AA0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color w:val="auto"/>
          <w:kern w:val="0"/>
          <w:szCs w:val="21"/>
          <w:highlight w:val="none"/>
        </w:rPr>
        <w:t>无效投标处理</w:t>
      </w:r>
      <w:r>
        <w:rPr>
          <w:rFonts w:hint="eastAsia" w:ascii="宋体" w:hAnsi="宋体" w:cs="宋体"/>
          <w:color w:val="auto"/>
          <w:kern w:val="0"/>
          <w:szCs w:val="21"/>
          <w:highlight w:val="none"/>
        </w:rPr>
        <w:t>。</w:t>
      </w:r>
    </w:p>
    <w:p w14:paraId="3BEF667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color w:val="auto"/>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color w:val="auto"/>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11.7本项目预算为：详见第一章</w:t>
      </w:r>
      <w:r>
        <w:rPr>
          <w:rFonts w:hint="eastAsia" w:ascii="宋体" w:hAnsi="宋体" w:cs="宋体"/>
          <w:bCs/>
          <w:color w:val="auto"/>
          <w:kern w:val="0"/>
          <w:szCs w:val="21"/>
          <w:highlight w:val="none"/>
        </w:rPr>
        <w:t>。</w:t>
      </w:r>
    </w:p>
    <w:p w14:paraId="43E2903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14、投标有效期</w:t>
      </w:r>
    </w:p>
    <w:p w14:paraId="0C533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14.1 自开标之日起</w:t>
      </w:r>
      <w:r>
        <w:rPr>
          <w:rFonts w:hint="eastAsia" w:ascii="宋体" w:hAnsi="宋体" w:cs="宋体"/>
          <w:b/>
          <w:color w:val="auto"/>
          <w:kern w:val="0"/>
          <w:szCs w:val="21"/>
          <w:highlight w:val="none"/>
        </w:rPr>
        <w:t>90</w:t>
      </w:r>
      <w:r>
        <w:rPr>
          <w:rFonts w:hint="eastAsia" w:ascii="宋体" w:hAnsi="宋体" w:cs="宋体"/>
          <w:color w:val="auto"/>
          <w:kern w:val="0"/>
          <w:szCs w:val="21"/>
          <w:highlight w:val="none"/>
        </w:rPr>
        <w:t>天内投标有效</w:t>
      </w:r>
      <w:r>
        <w:rPr>
          <w:rFonts w:hint="eastAsia" w:ascii="宋体" w:hAnsi="宋体" w:cs="宋体"/>
          <w:b/>
          <w:color w:val="auto"/>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15、投标文件签署</w:t>
      </w:r>
    </w:p>
    <w:p w14:paraId="79DFE4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16、投标费用</w:t>
      </w:r>
    </w:p>
    <w:p w14:paraId="48377A6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16.2 招标代理服务费：本次招标，中标人参照《招标代理服务费管理暂行办法》（国家发展计划委员会计价格【2002】1980号）</w:t>
      </w:r>
      <w:r>
        <w:rPr>
          <w:rFonts w:hint="eastAsia" w:ascii="宋体" w:hAnsi="宋体" w:cs="宋体"/>
          <w:b/>
          <w:color w:val="auto"/>
          <w:kern w:val="0"/>
          <w:szCs w:val="21"/>
          <w:highlight w:val="none"/>
          <w:lang w:eastAsia="zh-CN"/>
        </w:rPr>
        <w:t>代理服务招标收费基准费率50%计算，在领取中标通知书前向采购代理机构支付招标服务费。</w:t>
      </w:r>
      <w:r>
        <w:rPr>
          <w:rFonts w:hint="eastAsia" w:ascii="宋体" w:hAnsi="宋体" w:cs="宋体"/>
          <w:b/>
          <w:color w:val="auto"/>
          <w:kern w:val="0"/>
          <w:szCs w:val="21"/>
          <w:highlight w:val="none"/>
        </w:rPr>
        <w:t>本项费用无需在投标报价表中单列。</w:t>
      </w:r>
    </w:p>
    <w:p w14:paraId="5DF247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四、投标文件的递交</w:t>
      </w:r>
    </w:p>
    <w:p w14:paraId="32A03CA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17.1</w:t>
      </w:r>
      <w:r>
        <w:rPr>
          <w:rFonts w:hint="eastAsia" w:ascii="宋体" w:hAnsi="宋体" w:cs="宋体"/>
          <w:b/>
          <w:bCs/>
          <w:color w:val="auto"/>
          <w:kern w:val="0"/>
          <w:szCs w:val="21"/>
          <w:highlight w:val="none"/>
        </w:rPr>
        <w:t>投标人的</w:t>
      </w:r>
      <w:r>
        <w:rPr>
          <w:rFonts w:hint="eastAsia" w:ascii="宋体" w:hAnsi="宋体" w:cs="宋体"/>
          <w:b/>
          <w:color w:val="auto"/>
          <w:highlight w:val="none"/>
        </w:rPr>
        <w:t>所有投标文件均应密封后递交，同时应提供电子版投标文件</w:t>
      </w:r>
      <w:r>
        <w:rPr>
          <w:rFonts w:hint="eastAsia" w:ascii="宋体" w:hAnsi="宋体" w:cs="宋体"/>
          <w:b/>
          <w:color w:val="auto"/>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color w:val="auto"/>
          <w:highlight w:val="none"/>
        </w:rPr>
        <w:t>。</w:t>
      </w:r>
      <w:r>
        <w:rPr>
          <w:rFonts w:hint="eastAsia" w:ascii="宋体" w:hAnsi="宋体" w:cs="宋体"/>
          <w:color w:val="auto"/>
          <w:highlight w:val="none"/>
        </w:rPr>
        <w:t>当电子版文件和纸质正本文件不一致时，以纸质正本文件为准。</w:t>
      </w:r>
      <w:r>
        <w:rPr>
          <w:rFonts w:hint="eastAsia" w:ascii="宋体" w:hAnsi="宋体" w:cs="宋体"/>
          <w:color w:val="auto"/>
          <w:kern w:val="0"/>
          <w:szCs w:val="21"/>
          <w:highlight w:val="none"/>
        </w:rPr>
        <w:t>每套投标文件须清楚标明“正本”、“副本”。</w:t>
      </w:r>
      <w:r>
        <w:rPr>
          <w:rFonts w:hint="eastAsia" w:ascii="宋体" w:hAnsi="宋体" w:cs="宋体"/>
          <w:color w:val="auto"/>
          <w:highlight w:val="none"/>
        </w:rPr>
        <w:t>如果它们之间内容有差异，以正本为准。</w:t>
      </w:r>
    </w:p>
    <w:p w14:paraId="5A59DD5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17.2 </w:t>
      </w:r>
      <w:r>
        <w:rPr>
          <w:rFonts w:hint="eastAsia" w:ascii="宋体" w:hAnsi="宋体" w:cs="宋体"/>
          <w:b/>
          <w:color w:val="auto"/>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 </w:t>
      </w:r>
      <w:r>
        <w:rPr>
          <w:rFonts w:hint="eastAsia" w:ascii="宋体" w:hAnsi="宋体" w:cs="宋体"/>
          <w:b/>
          <w:bCs/>
          <w:color w:val="auto"/>
          <w:kern w:val="0"/>
          <w:szCs w:val="21"/>
          <w:highlight w:val="none"/>
        </w:rPr>
        <w:t>投标人应当在招标文件要求提交投标文件的截止时间前，将投标文件密封送达投标地点。</w:t>
      </w:r>
      <w:r>
        <w:rPr>
          <w:rFonts w:hint="eastAsia" w:ascii="宋体" w:hAnsi="宋体" w:cs="宋体"/>
          <w:color w:val="auto"/>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18.1逾期送达的；</w:t>
      </w:r>
    </w:p>
    <w:p w14:paraId="226DFE5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20、诚实信用</w:t>
      </w:r>
    </w:p>
    <w:p w14:paraId="53D491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20.2在评标过程中发现投标人有上述情形的，评标委员会应当认定其投标无效，并书面报告</w:t>
      </w:r>
      <w:r>
        <w:rPr>
          <w:rFonts w:hint="eastAsia" w:ascii="宋体" w:hAnsi="宋体" w:cs="宋体"/>
          <w:color w:val="auto"/>
          <w:kern w:val="0"/>
          <w:szCs w:val="21"/>
          <w:highlight w:val="none"/>
          <w:lang w:val="en-US" w:eastAsia="zh-CN"/>
        </w:rPr>
        <w:t>采购人</w:t>
      </w:r>
      <w:r>
        <w:rPr>
          <w:rFonts w:hint="eastAsia" w:ascii="宋体" w:hAnsi="宋体" w:cs="宋体"/>
          <w:color w:val="auto"/>
          <w:kern w:val="0"/>
          <w:szCs w:val="21"/>
          <w:highlight w:val="none"/>
        </w:rPr>
        <w:t>。</w:t>
      </w:r>
    </w:p>
    <w:p w14:paraId="00D3F94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五、开标、评标与定标</w:t>
      </w:r>
    </w:p>
    <w:p w14:paraId="33FB02F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14:paraId="2069C771">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14:paraId="5D15EBDE">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14:paraId="5D50AA34">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14:paraId="78D05B05">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14:paraId="60415C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14:paraId="244659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14:paraId="5CC437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14:paraId="0C047AC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22、评标</w:t>
      </w:r>
    </w:p>
    <w:p w14:paraId="22E6415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22.1 评标委员会</w:t>
      </w:r>
    </w:p>
    <w:p w14:paraId="766475EC">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
          <w:bCs/>
          <w:color w:val="auto"/>
          <w:kern w:val="0"/>
          <w:szCs w:val="21"/>
          <w:highlight w:val="none"/>
        </w:rPr>
        <w:t>22.1.1</w:t>
      </w:r>
      <w:r>
        <w:rPr>
          <w:rFonts w:hint="eastAsia" w:ascii="宋体" w:hAnsi="宋体" w:cs="宋体"/>
          <w:bCs/>
          <w:color w:val="auto"/>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Cs/>
          <w:color w:val="auto"/>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 xml:space="preserve">22.1.2 </w:t>
      </w:r>
      <w:r>
        <w:rPr>
          <w:rFonts w:hint="eastAsia" w:ascii="宋体" w:hAnsi="宋体" w:cs="宋体"/>
          <w:color w:val="auto"/>
          <w:kern w:val="0"/>
          <w:szCs w:val="21"/>
          <w:highlight w:val="none"/>
        </w:rPr>
        <w:t>评标委员会由</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22.2.1 </w:t>
      </w:r>
      <w:r>
        <w:rPr>
          <w:rFonts w:hint="eastAsia" w:ascii="宋体" w:hAnsi="宋体" w:cs="宋体"/>
          <w:b/>
          <w:bCs/>
          <w:color w:val="auto"/>
          <w:kern w:val="0"/>
          <w:szCs w:val="21"/>
          <w:highlight w:val="none"/>
        </w:rPr>
        <w:t>投标文件的资格性检查。</w:t>
      </w:r>
      <w:r>
        <w:rPr>
          <w:rFonts w:hint="eastAsia" w:ascii="宋体" w:hAnsi="宋体" w:cs="宋体"/>
          <w:color w:val="auto"/>
          <w:kern w:val="0"/>
          <w:szCs w:val="21"/>
          <w:highlight w:val="none"/>
        </w:rPr>
        <w:t>公开招标采购项目开标结束后，</w:t>
      </w:r>
      <w:r>
        <w:rPr>
          <w:rFonts w:hint="eastAsia" w:ascii="宋体" w:hAnsi="宋体" w:cs="宋体"/>
          <w:color w:val="auto"/>
          <w:highlight w:val="none"/>
        </w:rPr>
        <w:t>采购人</w:t>
      </w:r>
      <w:r>
        <w:rPr>
          <w:rFonts w:hint="eastAsia" w:ascii="宋体" w:hAnsi="宋体" w:cs="宋体"/>
          <w:color w:val="auto"/>
          <w:kern w:val="0"/>
          <w:szCs w:val="21"/>
          <w:highlight w:val="none"/>
        </w:rPr>
        <w:t>或者</w:t>
      </w:r>
      <w:r>
        <w:rPr>
          <w:rFonts w:hint="eastAsia" w:ascii="宋体" w:hAnsi="宋体" w:cs="宋体"/>
          <w:color w:val="auto"/>
          <w:highlight w:val="none"/>
        </w:rPr>
        <w:t>采购代理机构</w:t>
      </w:r>
      <w:r>
        <w:rPr>
          <w:rFonts w:hint="eastAsia" w:ascii="宋体" w:hAnsi="宋体" w:cs="宋体"/>
          <w:color w:val="auto"/>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22.2.2投标文件的符合性审查</w:t>
      </w:r>
      <w:r>
        <w:rPr>
          <w:rFonts w:hint="eastAsia" w:ascii="宋体" w:hAnsi="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（1）未按照招标文件规定的要求密封、签署、盖章的</w:t>
      </w:r>
      <w:r>
        <w:rPr>
          <w:rFonts w:hint="eastAsia" w:ascii="宋体" w:hAnsi="宋体" w:cs="宋体"/>
          <w:b/>
          <w:bCs/>
          <w:color w:val="auto"/>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color w:val="auto"/>
          <w:kern w:val="0"/>
          <w:szCs w:val="21"/>
          <w:highlight w:val="none"/>
        </w:rPr>
      </w:pPr>
      <w:r>
        <w:rPr>
          <w:rFonts w:hint="eastAsia" w:ascii="宋体" w:hAnsi="宋体" w:cs="宋体"/>
          <w:b/>
          <w:strike w:val="0"/>
          <w:color w:val="auto"/>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color w:val="auto"/>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22.2.2.1 实质性要求是指本招标文件中用带星号（“</w:t>
      </w:r>
      <w:r>
        <w:rPr>
          <w:rFonts w:hint="eastAsia" w:ascii="宋体" w:hAnsi="宋体" w:cs="宋体"/>
          <w:b/>
          <w:bCs/>
          <w:color w:val="auto"/>
          <w:highlight w:val="none"/>
        </w:rPr>
        <w:t>*</w:t>
      </w:r>
      <w:r>
        <w:rPr>
          <w:rFonts w:hint="eastAsia" w:ascii="宋体" w:hAnsi="宋体" w:cs="宋体"/>
          <w:b/>
          <w:bCs/>
          <w:color w:val="auto"/>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22.2.2.2</w:t>
      </w:r>
      <w:r>
        <w:rPr>
          <w:rFonts w:hint="eastAsia" w:ascii="宋体" w:hAnsi="宋体" w:cs="宋体"/>
          <w:color w:val="auto"/>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w:t>
      </w:r>
      <w:r>
        <w:rPr>
          <w:rFonts w:hint="eastAsia" w:ascii="宋体" w:hAnsi="宋体" w:cs="宋体"/>
          <w:b/>
          <w:bCs/>
          <w:color w:val="auto"/>
          <w:kern w:val="0"/>
          <w:szCs w:val="21"/>
          <w:highlight w:val="none"/>
        </w:rPr>
        <w:t>澄清有关问题</w:t>
      </w:r>
      <w:r>
        <w:rPr>
          <w:rFonts w:hint="eastAsia" w:ascii="宋体" w:hAnsi="宋体" w:cs="宋体"/>
          <w:color w:val="auto"/>
          <w:kern w:val="0"/>
          <w:szCs w:val="21"/>
          <w:highlight w:val="none"/>
        </w:rPr>
        <w:t>。</w:t>
      </w:r>
    </w:p>
    <w:p w14:paraId="4231183A">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color w:val="auto"/>
          <w:kern w:val="0"/>
          <w:szCs w:val="21"/>
          <w:highlight w:val="none"/>
        </w:rPr>
        <w:t>同时出现两种以上不一致的，按照前款规定的顺序修正。</w:t>
      </w:r>
      <w:r>
        <w:rPr>
          <w:rFonts w:hint="eastAsia" w:ascii="宋体" w:hAnsi="宋体" w:cs="宋体"/>
          <w:b/>
          <w:color w:val="auto"/>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22.2.3.4</w:t>
      </w:r>
      <w:r>
        <w:rPr>
          <w:rFonts w:hint="eastAsia" w:ascii="宋体" w:hAnsi="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color w:val="auto"/>
          <w:highlight w:val="none"/>
        </w:rPr>
        <w:t>投标人不能证明其报价合理性的，评标委员会将其作为无效投标处理。</w:t>
      </w:r>
    </w:p>
    <w:p w14:paraId="3A9C5A63">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14:paraId="7B7330C1">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14:paraId="2529504E">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14:paraId="4EDA351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14:paraId="4E46D66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14:paraId="50C52DE6">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color w:val="auto"/>
          <w:kern w:val="0"/>
          <w:szCs w:val="21"/>
          <w:highlight w:val="none"/>
        </w:rPr>
      </w:pPr>
      <w:r>
        <w:rPr>
          <w:rFonts w:hint="eastAsia" w:ascii="宋体" w:hAnsi="宋体" w:cs="宋体"/>
          <w:b/>
          <w:bCs/>
          <w:color w:val="auto"/>
          <w:kern w:val="0"/>
          <w:szCs w:val="21"/>
          <w:highlight w:val="none"/>
        </w:rPr>
        <w:t>23、</w:t>
      </w:r>
      <w:r>
        <w:rPr>
          <w:rFonts w:hint="eastAsia" w:ascii="宋体" w:hAnsi="宋体" w:cs="宋体"/>
          <w:b/>
          <w:color w:val="auto"/>
          <w:kern w:val="0"/>
          <w:szCs w:val="21"/>
          <w:highlight w:val="none"/>
        </w:rPr>
        <w:t>确定中标人</w:t>
      </w:r>
    </w:p>
    <w:p w14:paraId="0271649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color w:val="auto"/>
          <w:kern w:val="0"/>
          <w:szCs w:val="21"/>
          <w:highlight w:val="none"/>
        </w:rPr>
      </w:pPr>
      <w:r>
        <w:rPr>
          <w:rFonts w:hint="eastAsia" w:ascii="宋体" w:hAnsi="宋体" w:cs="宋体"/>
          <w:b/>
          <w:bCs/>
          <w:color w:val="auto"/>
          <w:kern w:val="0"/>
          <w:szCs w:val="21"/>
          <w:highlight w:val="none"/>
        </w:rPr>
        <w:t>24、编写评标报告</w:t>
      </w:r>
    </w:p>
    <w:p w14:paraId="7C4832E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六、签订合同</w:t>
      </w:r>
    </w:p>
    <w:p w14:paraId="7BCA013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26、签订合同</w:t>
      </w:r>
    </w:p>
    <w:p w14:paraId="0F9E8CC1">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color w:val="auto"/>
          <w:szCs w:val="21"/>
          <w:highlight w:val="none"/>
        </w:rPr>
      </w:pPr>
      <w:r>
        <w:rPr>
          <w:rFonts w:hint="eastAsia" w:ascii="宋体" w:hAnsi="宋体" w:cs="宋体"/>
          <w:color w:val="auto"/>
          <w:kern w:val="0"/>
          <w:szCs w:val="21"/>
          <w:highlight w:val="none"/>
        </w:rPr>
        <w:t>26.2  除继续履行将损害国家利益和社会公众利益的，</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26.5 </w:t>
      </w:r>
      <w:r>
        <w:rPr>
          <w:rFonts w:hint="eastAsia" w:ascii="宋体" w:hAnsi="宋体" w:cs="宋体"/>
          <w:strike/>
          <w:color w:val="auto"/>
          <w:kern w:val="0"/>
          <w:szCs w:val="21"/>
          <w:highlight w:val="none"/>
        </w:rPr>
        <w:t>政府</w:t>
      </w:r>
      <w:r>
        <w:rPr>
          <w:rFonts w:hint="eastAsia" w:ascii="宋体" w:hAnsi="宋体" w:cs="宋体"/>
          <w:color w:val="auto"/>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七、质疑和投诉</w:t>
      </w:r>
    </w:p>
    <w:p w14:paraId="2F0C39B4">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27、质疑</w:t>
      </w:r>
    </w:p>
    <w:p w14:paraId="030E8D7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color w:val="auto"/>
          <w:kern w:val="0"/>
          <w:szCs w:val="21"/>
          <w:highlight w:val="none"/>
        </w:rPr>
        <w:t>。</w:t>
      </w:r>
    </w:p>
    <w:p w14:paraId="6056480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color w:val="auto"/>
          <w:kern w:val="0"/>
          <w:szCs w:val="21"/>
          <w:highlight w:val="none"/>
        </w:rPr>
      </w:pPr>
      <w:r>
        <w:rPr>
          <w:rFonts w:hint="eastAsia" w:ascii="宋体" w:hAnsi="宋体" w:cs="宋体"/>
          <w:b/>
          <w:bCs/>
          <w:color w:val="auto"/>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27.7采购代理机构在收到投标人的书面质疑后将及时组织调查核实，在</w:t>
      </w:r>
      <w:r>
        <w:rPr>
          <w:rFonts w:hint="eastAsia" w:ascii="宋体" w:hAnsi="宋体" w:cs="宋体"/>
          <w:b/>
          <w:bCs/>
          <w:color w:val="auto"/>
          <w:kern w:val="0"/>
          <w:szCs w:val="21"/>
          <w:highlight w:val="none"/>
        </w:rPr>
        <w:t>七个工作日内</w:t>
      </w:r>
      <w:r>
        <w:rPr>
          <w:rFonts w:hint="eastAsia" w:ascii="宋体" w:hAnsi="宋体" w:cs="宋体"/>
          <w:color w:val="auto"/>
          <w:kern w:val="0"/>
          <w:szCs w:val="21"/>
          <w:highlight w:val="none"/>
        </w:rPr>
        <w:t>作出答复，并以书面或在网站公告形式通知质疑投标人和其他有关投标人，答复的内容不涉及商业秘密。</w:t>
      </w:r>
    </w:p>
    <w:p w14:paraId="20113634">
      <w:pPr>
        <w:widowControl/>
        <w:shd w:val="clear" w:color="auto" w:fill="FFFFFF"/>
        <w:spacing w:line="420" w:lineRule="exact"/>
        <w:ind w:firstLine="420"/>
        <w:rPr>
          <w:rFonts w:hint="eastAsia" w:ascii="宋体" w:hAnsi="宋体" w:cs="宋体"/>
          <w:color w:val="auto"/>
          <w:kern w:val="0"/>
          <w:szCs w:val="21"/>
          <w:highlight w:val="none"/>
        </w:rPr>
      </w:pPr>
      <w:r>
        <w:rPr>
          <w:rFonts w:hint="eastAsia" w:ascii="宋体" w:hAnsi="宋体" w:cs="宋体"/>
          <w:b/>
          <w:bCs/>
          <w:color w:val="auto"/>
          <w:kern w:val="0"/>
          <w:szCs w:val="21"/>
          <w:highlight w:val="none"/>
        </w:rPr>
        <w:t>28、投诉</w:t>
      </w:r>
    </w:p>
    <w:p w14:paraId="4F592F53">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28.1质疑供应商对采购代理机构的答复不满意或者采购代理机构未在规定的时间内作出答复的，可以在答复期满后十五个工作日内向监督管理部门投诉。</w:t>
      </w:r>
    </w:p>
    <w:p w14:paraId="09507E63">
      <w:pPr>
        <w:spacing w:line="420" w:lineRule="exact"/>
        <w:ind w:firstLine="420" w:firstLineChars="200"/>
        <w:rPr>
          <w:rFonts w:hint="eastAsia" w:ascii="宋体" w:hAnsi="宋体" w:eastAsia="宋体" w:cs="宋体"/>
          <w:color w:val="auto"/>
          <w:highlight w:val="none"/>
        </w:rPr>
      </w:pPr>
      <w:r>
        <w:rPr>
          <w:rFonts w:hint="eastAsia" w:ascii="宋体" w:hAnsi="宋体" w:cs="宋体"/>
          <w:color w:val="auto"/>
          <w:szCs w:val="21"/>
          <w:highlight w:val="none"/>
        </w:rPr>
        <w:t>28.2供应商投诉应当有明确的请求和必要的证明材料。供应商投诉的事项不得超出已质疑事项的范围。</w:t>
      </w:r>
    </w:p>
    <w:p w14:paraId="53E08308">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0210D6A">
      <w:pPr>
        <w:pStyle w:val="4"/>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14:paraId="5B9BF4C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525D5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14:paraId="5FDE76D5">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评分内容</w:t>
            </w:r>
          </w:p>
        </w:tc>
        <w:tc>
          <w:tcPr>
            <w:tcW w:w="8393" w:type="dxa"/>
            <w:noWrap w:val="0"/>
            <w:vAlign w:val="center"/>
          </w:tcPr>
          <w:p w14:paraId="65DEA69E">
            <w:pPr>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pacing w:val="-3"/>
                <w:sz w:val="24"/>
                <w:highlight w:val="none"/>
              </w:rPr>
              <w:t>评分指标</w:t>
            </w:r>
          </w:p>
        </w:tc>
      </w:tr>
      <w:tr w14:paraId="38385A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14:paraId="2C0859D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分值构成</w:t>
            </w:r>
          </w:p>
          <w:p w14:paraId="4287FC6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（满分100分）</w:t>
            </w:r>
          </w:p>
        </w:tc>
        <w:tc>
          <w:tcPr>
            <w:tcW w:w="8393" w:type="dxa"/>
            <w:noWrap w:val="0"/>
            <w:vAlign w:val="center"/>
          </w:tcPr>
          <w:p w14:paraId="720FB835">
            <w:pPr>
              <w:keepNext w:val="0"/>
              <w:keepLines w:val="0"/>
              <w:pageBreakBefore w:val="0"/>
              <w:widowControl/>
              <w:kinsoku/>
              <w:wordWrap/>
              <w:overflowPunct/>
              <w:topLinePunct w:val="0"/>
              <w:autoSpaceDE/>
              <w:autoSpaceDN/>
              <w:bidi w:val="0"/>
              <w:adjustRightInd/>
              <w:snapToGrid/>
              <w:spacing w:line="360" w:lineRule="auto"/>
              <w:ind w:right="0" w:firstLine="408"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投标人</w:t>
            </w:r>
            <w:r>
              <w:rPr>
                <w:rFonts w:hint="eastAsia" w:ascii="宋体" w:hAnsi="宋体" w:eastAsia="宋体" w:cs="宋体"/>
                <w:color w:val="auto"/>
                <w:spacing w:val="-3"/>
                <w:sz w:val="21"/>
                <w:szCs w:val="21"/>
                <w:highlight w:val="none"/>
              </w:rPr>
              <w:t>的总得分包括</w:t>
            </w:r>
            <w:r>
              <w:rPr>
                <w:rFonts w:hint="eastAsia" w:ascii="宋体" w:hAnsi="宋体" w:eastAsia="宋体" w:cs="宋体"/>
                <w:color w:val="auto"/>
                <w:spacing w:val="-1"/>
                <w:sz w:val="21"/>
                <w:szCs w:val="21"/>
                <w:highlight w:val="none"/>
                <w:lang w:val="en-US" w:eastAsia="zh-CN"/>
              </w:rPr>
              <w:t>投标报价</w:t>
            </w:r>
            <w:r>
              <w:rPr>
                <w:rFonts w:hint="eastAsia" w:ascii="宋体" w:hAnsi="宋体" w:eastAsia="宋体" w:cs="宋体"/>
                <w:color w:val="auto"/>
                <w:spacing w:val="-1"/>
                <w:sz w:val="21"/>
                <w:szCs w:val="21"/>
                <w:highlight w:val="none"/>
              </w:rPr>
              <w:t>、技术部分、商务</w:t>
            </w:r>
            <w:r>
              <w:rPr>
                <w:rFonts w:hint="eastAsia" w:ascii="宋体" w:hAnsi="宋体" w:eastAsia="宋体" w:cs="宋体"/>
                <w:color w:val="auto"/>
                <w:spacing w:val="-6"/>
                <w:sz w:val="21"/>
                <w:szCs w:val="21"/>
                <w:highlight w:val="none"/>
              </w:rPr>
              <w:t>部分3项评分因素的汇总得分。</w:t>
            </w:r>
          </w:p>
        </w:tc>
      </w:tr>
      <w:tr w14:paraId="3EB836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14:paraId="277E3CAD">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p>
        </w:tc>
        <w:tc>
          <w:tcPr>
            <w:tcW w:w="8393" w:type="dxa"/>
            <w:noWrap w:val="0"/>
            <w:vAlign w:val="center"/>
          </w:tcPr>
          <w:p w14:paraId="257987A5">
            <w:pPr>
              <w:keepNext w:val="0"/>
              <w:keepLines w:val="0"/>
              <w:pageBreakBefore w:val="0"/>
              <w:widowControl/>
              <w:kinsoku/>
              <w:wordWrap/>
              <w:overflowPunct/>
              <w:topLinePunct w:val="0"/>
              <w:autoSpaceDE/>
              <w:autoSpaceDN/>
              <w:bidi w:val="0"/>
              <w:adjustRightInd/>
              <w:snapToGrid/>
              <w:spacing w:line="360" w:lineRule="auto"/>
              <w:ind w:right="0" w:firstLine="39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lang w:val="en-US" w:eastAsia="zh-CN"/>
              </w:rPr>
              <w:t>投标报价</w:t>
            </w:r>
            <w:r>
              <w:rPr>
                <w:rFonts w:hint="eastAsia" w:ascii="宋体" w:hAnsi="宋体" w:eastAsia="宋体" w:cs="宋体"/>
                <w:color w:val="auto"/>
                <w:spacing w:val="-7"/>
                <w:sz w:val="21"/>
                <w:szCs w:val="21"/>
                <w:highlight w:val="none"/>
              </w:rPr>
              <w:t>：</w:t>
            </w:r>
            <w:r>
              <w:rPr>
                <w:rFonts w:hint="eastAsia" w:ascii="宋体" w:hAnsi="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lang w:val="en-US" w:eastAsia="zh-CN"/>
              </w:rPr>
              <w:t>0</w:t>
            </w:r>
            <w:r>
              <w:rPr>
                <w:rFonts w:hint="eastAsia" w:ascii="宋体" w:hAnsi="宋体" w:eastAsia="宋体" w:cs="宋体"/>
                <w:color w:val="auto"/>
                <w:spacing w:val="-7"/>
                <w:sz w:val="21"/>
                <w:szCs w:val="21"/>
                <w:highlight w:val="none"/>
              </w:rPr>
              <w:t>分；商务</w:t>
            </w:r>
            <w:r>
              <w:rPr>
                <w:rFonts w:hint="eastAsia" w:ascii="宋体" w:hAnsi="宋体" w:eastAsia="宋体" w:cs="宋体"/>
                <w:color w:val="auto"/>
                <w:spacing w:val="-7"/>
                <w:sz w:val="21"/>
                <w:szCs w:val="21"/>
                <w:highlight w:val="none"/>
                <w:lang w:val="en-US" w:eastAsia="zh-CN"/>
              </w:rPr>
              <w:t>部分</w:t>
            </w:r>
            <w:r>
              <w:rPr>
                <w:rFonts w:hint="eastAsia" w:ascii="宋体" w:hAnsi="宋体" w:cs="宋体"/>
                <w:color w:val="auto"/>
                <w:spacing w:val="-7"/>
                <w:sz w:val="21"/>
                <w:szCs w:val="21"/>
                <w:highlight w:val="none"/>
                <w:lang w:val="en-US" w:eastAsia="zh-CN"/>
              </w:rPr>
              <w:t>14</w:t>
            </w:r>
            <w:r>
              <w:rPr>
                <w:rFonts w:hint="eastAsia" w:ascii="宋体" w:hAnsi="宋体" w:eastAsia="宋体" w:cs="宋体"/>
                <w:color w:val="auto"/>
                <w:spacing w:val="-7"/>
                <w:sz w:val="21"/>
                <w:szCs w:val="21"/>
                <w:highlight w:val="none"/>
                <w:lang w:val="en-US" w:eastAsia="zh-CN"/>
              </w:rPr>
              <w:t>分</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7"/>
                <w:sz w:val="21"/>
                <w:szCs w:val="21"/>
                <w:highlight w:val="none"/>
              </w:rPr>
              <w:t>技术部分：</w:t>
            </w:r>
            <w:r>
              <w:rPr>
                <w:rFonts w:hint="eastAsia" w:ascii="宋体" w:hAnsi="宋体" w:cs="宋体"/>
                <w:color w:val="auto"/>
                <w:spacing w:val="-7"/>
                <w:sz w:val="21"/>
                <w:szCs w:val="21"/>
                <w:highlight w:val="none"/>
                <w:lang w:val="en-US" w:eastAsia="zh-CN"/>
              </w:rPr>
              <w:t>56</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val="en-US" w:eastAsia="zh-CN"/>
              </w:rPr>
              <w:t>。</w:t>
            </w:r>
          </w:p>
        </w:tc>
      </w:tr>
      <w:tr w14:paraId="298601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noWrap w:val="0"/>
            <w:vAlign w:val="center"/>
          </w:tcPr>
          <w:p w14:paraId="07FF2DF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投标报价</w:t>
            </w:r>
          </w:p>
          <w:p w14:paraId="1DDAA11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0</w:t>
            </w:r>
            <w:r>
              <w:rPr>
                <w:rFonts w:hint="eastAsia" w:ascii="宋体" w:hAnsi="宋体" w:eastAsia="宋体" w:cs="宋体"/>
                <w:b/>
                <w:bCs/>
                <w:color w:val="auto"/>
                <w:spacing w:val="-3"/>
                <w:sz w:val="21"/>
                <w:szCs w:val="21"/>
                <w:highlight w:val="none"/>
              </w:rPr>
              <w:t>分）</w:t>
            </w:r>
          </w:p>
        </w:tc>
        <w:tc>
          <w:tcPr>
            <w:tcW w:w="8393" w:type="dxa"/>
            <w:noWrap w:val="0"/>
            <w:vAlign w:val="center"/>
          </w:tcPr>
          <w:p w14:paraId="019598E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采用低价优先法计算，即满足采购文件要求且价格最低的投标报价为投标基准价，其价格分为满分</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0分。其他投标人的价格分统一按照下列公式计算：投标报价得分=(投标基准价／投标报价)×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0（小数点保留两位）</w:t>
            </w:r>
          </w:p>
          <w:p w14:paraId="2B064C1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cs="宋体"/>
                <w:b/>
                <w:bCs/>
                <w:color w:val="auto"/>
                <w:sz w:val="21"/>
                <w:szCs w:val="21"/>
                <w:highlight w:val="none"/>
                <w:lang w:eastAsia="zh-CN"/>
              </w:rPr>
              <w:t>投标报价超出项目预算金额或超出投标单价限价的，按无效标处理。</w:t>
            </w:r>
          </w:p>
        </w:tc>
      </w:tr>
      <w:tr w14:paraId="5B35EC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noWrap w:val="0"/>
            <w:vAlign w:val="center"/>
          </w:tcPr>
          <w:p w14:paraId="1483A9A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商务部分</w:t>
            </w:r>
          </w:p>
          <w:p w14:paraId="2EF7F32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14</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2687A47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服务业绩</w:t>
            </w:r>
          </w:p>
          <w:p w14:paraId="116674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10</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2F655B55">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w:t>
            </w:r>
            <w:r>
              <w:rPr>
                <w:rFonts w:hint="eastAsia" w:ascii="宋体" w:hAnsi="宋体" w:cs="宋体"/>
                <w:color w:val="auto"/>
                <w:sz w:val="21"/>
                <w:szCs w:val="21"/>
                <w:highlight w:val="none"/>
                <w:lang w:val="en-US" w:eastAsia="zh-CN"/>
              </w:rPr>
              <w:t>至招标公告发布日期前（不含当天）</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与所招标的标的内容相同的</w:t>
            </w:r>
            <w:r>
              <w:rPr>
                <w:rFonts w:hint="eastAsia" w:ascii="宋体" w:hAnsi="宋体" w:eastAsia="宋体" w:cs="宋体"/>
                <w:color w:val="auto"/>
                <w:sz w:val="21"/>
                <w:szCs w:val="21"/>
                <w:highlight w:val="none"/>
                <w:lang w:val="en-US" w:eastAsia="zh-CN"/>
              </w:rPr>
              <w:t>服务业绩</w:t>
            </w:r>
            <w:r>
              <w:rPr>
                <w:rFonts w:hint="eastAsia" w:ascii="宋体" w:hAnsi="宋体" w:cs="宋体"/>
                <w:color w:val="auto"/>
                <w:sz w:val="21"/>
                <w:szCs w:val="21"/>
                <w:highlight w:val="none"/>
                <w:lang w:val="en-US" w:eastAsia="zh-CN"/>
              </w:rPr>
              <w:t>，且所供货单位须为</w:t>
            </w:r>
            <w:r>
              <w:rPr>
                <w:rFonts w:hint="eastAsia" w:ascii="宋体" w:hAnsi="宋体" w:cs="宋体"/>
                <w:b/>
                <w:bCs/>
                <w:color w:val="auto"/>
                <w:sz w:val="21"/>
                <w:szCs w:val="21"/>
                <w:highlight w:val="none"/>
                <w:lang w:val="en-US" w:eastAsia="zh-CN"/>
              </w:rPr>
              <w:t>医院</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药厂</w:t>
            </w:r>
            <w:r>
              <w:rPr>
                <w:rFonts w:hint="eastAsia" w:ascii="宋体" w:hAnsi="宋体" w:cs="宋体"/>
                <w:color w:val="auto"/>
                <w:sz w:val="21"/>
                <w:szCs w:val="21"/>
                <w:highlight w:val="none"/>
                <w:lang w:val="en-US" w:eastAsia="zh-CN"/>
              </w:rPr>
              <w:t>或</w:t>
            </w:r>
            <w:r>
              <w:rPr>
                <w:rFonts w:hint="eastAsia" w:ascii="宋体" w:hAnsi="宋体" w:cs="宋体"/>
                <w:b/>
                <w:bCs/>
                <w:color w:val="auto"/>
                <w:sz w:val="21"/>
                <w:szCs w:val="21"/>
                <w:highlight w:val="none"/>
                <w:lang w:val="en-US" w:eastAsia="zh-CN"/>
              </w:rPr>
              <w:t>生产企业</w:t>
            </w:r>
            <w:r>
              <w:rPr>
                <w:rFonts w:hint="eastAsia" w:ascii="宋体" w:hAnsi="宋体" w:eastAsia="宋体" w:cs="宋体"/>
                <w:color w:val="auto"/>
                <w:sz w:val="21"/>
                <w:szCs w:val="21"/>
                <w:highlight w:val="none"/>
              </w:rPr>
              <w:t>，每提供一</w:t>
            </w:r>
            <w:r>
              <w:rPr>
                <w:rFonts w:hint="eastAsia" w:ascii="宋体" w:hAnsi="宋体" w:eastAsia="宋体" w:cs="宋体"/>
                <w:color w:val="auto"/>
                <w:sz w:val="21"/>
                <w:szCs w:val="21"/>
                <w:highlight w:val="none"/>
                <w:lang w:val="en-US" w:eastAsia="zh-CN"/>
              </w:rPr>
              <w:t>份</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分，最多得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分，不提供不得分。（时间以合同签订时间为准。）</w:t>
            </w:r>
          </w:p>
          <w:p w14:paraId="4AE8E75A">
            <w:pPr>
              <w:pStyle w:val="6"/>
              <w:pageBreakBefore w:val="0"/>
              <w:widowControl w:val="0"/>
              <w:numPr>
                <w:ilvl w:val="2"/>
                <w:numId w:val="0"/>
              </w:numPr>
              <w:kinsoku/>
              <w:wordWrap/>
              <w:overflowPunct/>
              <w:topLinePunct w:val="0"/>
              <w:autoSpaceDE/>
              <w:autoSpaceDN/>
              <w:bidi w:val="0"/>
              <w:adjustRightInd/>
              <w:snapToGrid/>
              <w:spacing w:before="0" w:after="0" w:line="360" w:lineRule="auto"/>
              <w:ind w:left="0" w:leftChars="0" w:right="0" w:firstLine="422" w:firstLineChars="200"/>
              <w:textAlignment w:val="auto"/>
              <w:rPr>
                <w:rFonts w:hint="eastAsia" w:ascii="宋体" w:hAnsi="宋体" w:cs="宋体"/>
                <w:b/>
                <w:i w:val="0"/>
                <w:color w:val="auto"/>
                <w:kern w:val="0"/>
                <w:sz w:val="21"/>
                <w:szCs w:val="21"/>
                <w:highlight w:val="none"/>
                <w:u w:val="none"/>
                <w:lang w:val="en-US" w:eastAsia="zh-CN" w:bidi="ar"/>
              </w:rPr>
            </w:pPr>
            <w:r>
              <w:rPr>
                <w:rFonts w:hint="eastAsia" w:ascii="宋体" w:hAnsi="宋体" w:cs="宋体"/>
                <w:b/>
                <w:i w:val="0"/>
                <w:color w:val="auto"/>
                <w:kern w:val="0"/>
                <w:sz w:val="21"/>
                <w:szCs w:val="21"/>
                <w:highlight w:val="none"/>
                <w:u w:val="none"/>
                <w:lang w:val="en-US" w:eastAsia="zh-CN" w:bidi="ar"/>
              </w:rPr>
              <w:t>注：</w:t>
            </w:r>
          </w:p>
          <w:p w14:paraId="617263F0">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1.须提供合同复印件（合同原件备查）及该合同项下对应的任一结算周期（须在上述时间范围内）发票复印件及发票对应国家税务总局全国增值税发票查验平台查验截图。</w:t>
            </w:r>
          </w:p>
          <w:p w14:paraId="2D1F5FD7">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2.合同复印件必须至少包含清晰的双方印章、合同主要内容、金额、时间等合同信息，缺少任何一项视同合同无效。</w:t>
            </w:r>
          </w:p>
          <w:p w14:paraId="024C0F16">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3.同一合作单位（包括合同中的同一甲方，为同一单位不同分支机构提供服务的也算同一合作单位）同一项下的同类业绩，按一份计算，不重复计分。</w:t>
            </w:r>
            <w:r>
              <w:rPr>
                <w:rFonts w:hint="eastAsia" w:ascii="宋体" w:hAnsi="宋体" w:cs="宋体"/>
                <w:color w:val="auto"/>
                <w:sz w:val="21"/>
                <w:szCs w:val="21"/>
                <w:highlight w:val="none"/>
                <w:lang w:val="en-US" w:eastAsia="zh-CN"/>
              </w:rPr>
              <w:t>子母公司的业绩合同以合同签订方为准，不得授权使用。</w:t>
            </w:r>
          </w:p>
          <w:p w14:paraId="5012D83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4.业绩合同中所提供产品的品牌须与所投产品的品牌一致，否则不得分。</w:t>
            </w:r>
          </w:p>
          <w:p w14:paraId="3A72140A">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default"/>
                <w:color w:val="auto"/>
                <w:highlight w:val="none"/>
                <w:lang w:val="en-US"/>
              </w:rPr>
            </w:pPr>
            <w:r>
              <w:rPr>
                <w:rFonts w:hint="eastAsia" w:ascii="宋体" w:hAnsi="宋体" w:eastAsia="宋体" w:cs="宋体"/>
                <w:color w:val="auto"/>
                <w:sz w:val="21"/>
                <w:szCs w:val="21"/>
                <w:highlight w:val="none"/>
                <w:lang w:val="en-US" w:eastAsia="zh-CN"/>
              </w:rPr>
              <w:t>5.业绩合同中所提供产品的名称须与所招标的标的名称一致，否则不得分。</w:t>
            </w:r>
          </w:p>
        </w:tc>
      </w:tr>
      <w:tr w14:paraId="0C9CB0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noWrap w:val="0"/>
            <w:vAlign w:val="center"/>
          </w:tcPr>
          <w:p w14:paraId="5247A62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p>
        </w:tc>
        <w:tc>
          <w:tcPr>
            <w:tcW w:w="1058" w:type="dxa"/>
            <w:noWrap w:val="0"/>
            <w:vAlign w:val="center"/>
          </w:tcPr>
          <w:p w14:paraId="5EF8FC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产品优势</w:t>
            </w:r>
          </w:p>
          <w:p w14:paraId="47F4068F">
            <w:pPr>
              <w:pStyle w:val="2"/>
              <w:rPr>
                <w:rFonts w:hint="default"/>
                <w:color w:val="auto"/>
                <w:highlight w:val="none"/>
                <w:lang w:val="en-US" w:eastAsia="zh-CN"/>
              </w:rPr>
            </w:pPr>
            <w:r>
              <w:rPr>
                <w:rFonts w:hint="eastAsia" w:ascii="宋体" w:hAnsi="宋体" w:cs="宋体"/>
                <w:b/>
                <w:bCs/>
                <w:color w:val="auto"/>
                <w:spacing w:val="-3"/>
                <w:sz w:val="21"/>
                <w:szCs w:val="21"/>
                <w:highlight w:val="none"/>
                <w:lang w:val="en-US" w:eastAsia="zh-CN"/>
              </w:rPr>
              <w:t>（4分）</w:t>
            </w:r>
          </w:p>
        </w:tc>
        <w:tc>
          <w:tcPr>
            <w:tcW w:w="8393" w:type="dxa"/>
            <w:noWrap w:val="0"/>
            <w:vAlign w:val="center"/>
          </w:tcPr>
          <w:p w14:paraId="32A945FC">
            <w:pPr>
              <w:pageBreakBefore w:val="0"/>
              <w:widowControl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1.生产企业具有GMP认证证书的，得2分：</w:t>
            </w:r>
          </w:p>
          <w:p w14:paraId="12D71978">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2.投标人拟提供的产品具有连续三批次稳定性报告的得2分。</w:t>
            </w:r>
          </w:p>
          <w:p w14:paraId="1FBFC5E9">
            <w:pPr>
              <w:numPr>
                <w:ilvl w:val="0"/>
                <w:numId w:val="0"/>
              </w:numPr>
              <w:spacing w:line="360" w:lineRule="auto"/>
              <w:ind w:firstLineChars="200"/>
              <w:rPr>
                <w:rFonts w:hint="default"/>
                <w:color w:val="auto"/>
                <w:highlight w:val="none"/>
                <w:lang w:val="en-US" w:eastAsia="zh-CN"/>
              </w:rPr>
            </w:pPr>
            <w:r>
              <w:rPr>
                <w:rFonts w:hint="eastAsia" w:ascii="宋体" w:hAnsi="宋体" w:cs="宋体"/>
                <w:color w:val="auto"/>
                <w:szCs w:val="21"/>
                <w:highlight w:val="none"/>
                <w:lang w:val="en-US" w:eastAsia="zh-CN"/>
              </w:rPr>
              <w:t>注：须提供相关证明材料复印件并加盖公章。</w:t>
            </w:r>
          </w:p>
        </w:tc>
      </w:tr>
      <w:tr w14:paraId="0CCE9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noWrap w:val="0"/>
            <w:vAlign w:val="center"/>
          </w:tcPr>
          <w:p w14:paraId="1FE1C9B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技术部分</w:t>
            </w:r>
          </w:p>
          <w:p w14:paraId="3B57FA8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56</w:t>
            </w:r>
            <w:r>
              <w:rPr>
                <w:rFonts w:hint="eastAsia" w:ascii="宋体" w:hAnsi="宋体" w:eastAsia="宋体" w:cs="宋体"/>
                <w:b/>
                <w:bCs/>
                <w:color w:val="auto"/>
                <w:spacing w:val="-3"/>
                <w:sz w:val="21"/>
                <w:szCs w:val="21"/>
                <w:highlight w:val="none"/>
                <w:lang w:val="en-US" w:eastAsia="zh-CN"/>
              </w:rPr>
              <w:t>分）</w:t>
            </w:r>
          </w:p>
        </w:tc>
        <w:tc>
          <w:tcPr>
            <w:tcW w:w="1058" w:type="dxa"/>
            <w:noWrap w:val="0"/>
            <w:vAlign w:val="center"/>
          </w:tcPr>
          <w:p w14:paraId="0FB027E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生产能力</w:t>
            </w:r>
          </w:p>
          <w:p w14:paraId="47AED04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467D11BB">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对投标人具有所投产品生产工艺类型设备进行综合评审：</w:t>
            </w:r>
          </w:p>
          <w:p w14:paraId="08C8A842">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设备齐全、安全性强、先进性强的得 6分；</w:t>
            </w:r>
          </w:p>
          <w:p w14:paraId="06C84117">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设备齐全、安全性一般、先进性一般的得3分；</w:t>
            </w:r>
          </w:p>
          <w:p w14:paraId="272A4B6F">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bidi="ar"/>
              </w:rPr>
              <w:t>设备可完成生产需要，安全性和先进性差得1分。</w:t>
            </w:r>
          </w:p>
          <w:p w14:paraId="1571A61C">
            <w:pPr>
              <w:pageBreakBefore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bidi="ar"/>
              </w:rPr>
              <w:t>提供所投产品生产厂商的生产车间图片，未提供不得分。</w:t>
            </w:r>
          </w:p>
        </w:tc>
      </w:tr>
      <w:tr w14:paraId="0DF59C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14:paraId="31728B6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tcBorders>
              <w:top w:val="nil"/>
            </w:tcBorders>
            <w:noWrap w:val="0"/>
            <w:vAlign w:val="center"/>
          </w:tcPr>
          <w:p w14:paraId="64B8C6A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管理制度与服务程序</w:t>
            </w:r>
          </w:p>
          <w:p w14:paraId="23C5B960">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lang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C80AEB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246F3C40">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提供的制度和程序完整合理符合规范，且可行性强的得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4DCEFE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提供的制度和程序基本合理规范有缺陷、可行性一般的得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BF84E26">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提供的制度和程序不完整，有多处不规范、可行性较差的得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5873D8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未提供不得分。</w:t>
            </w:r>
          </w:p>
        </w:tc>
      </w:tr>
      <w:tr w14:paraId="644CDA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9BD168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FD2CC56">
            <w:pPr>
              <w:widowControl/>
              <w:spacing w:line="360" w:lineRule="auto"/>
              <w:jc w:val="center"/>
              <w:rPr>
                <w:rFonts w:hint="eastAsia" w:ascii="宋体" w:hAnsi="宋体" w:cs="宋体"/>
                <w:b/>
                <w:bCs/>
                <w:color w:val="auto"/>
                <w:spacing w:val="-3"/>
                <w:szCs w:val="21"/>
                <w:highlight w:val="none"/>
              </w:rPr>
            </w:pPr>
            <w:r>
              <w:rPr>
                <w:rFonts w:hint="eastAsia" w:ascii="宋体" w:hAnsi="宋体" w:cs="宋体"/>
                <w:b/>
                <w:bCs/>
                <w:color w:val="auto"/>
                <w:spacing w:val="-3"/>
                <w:szCs w:val="21"/>
                <w:highlight w:val="none"/>
              </w:rPr>
              <w:t>紧急预案</w:t>
            </w:r>
          </w:p>
          <w:p w14:paraId="36A6CC87">
            <w:pPr>
              <w:widowControl/>
              <w:spacing w:line="360" w:lineRule="auto"/>
              <w:jc w:val="center"/>
              <w:rPr>
                <w:rFonts w:hint="eastAsia" w:ascii="宋体" w:hAnsi="宋体" w:eastAsia="宋体" w:cs="宋体"/>
                <w:b/>
                <w:bCs/>
                <w:color w:val="auto"/>
                <w:spacing w:val="-3"/>
                <w:sz w:val="21"/>
                <w:szCs w:val="21"/>
                <w:highlight w:val="none"/>
                <w:lang w:val="en-US" w:eastAsia="zh-CN"/>
              </w:rPr>
            </w:pPr>
            <w:r>
              <w:rPr>
                <w:rFonts w:hint="eastAsia" w:ascii="宋体" w:hAnsi="宋体" w:cs="宋体"/>
                <w:b/>
                <w:bCs/>
                <w:color w:val="auto"/>
                <w:spacing w:val="-3"/>
                <w:szCs w:val="21"/>
                <w:highlight w:val="none"/>
              </w:rPr>
              <w:t>（</w:t>
            </w:r>
            <w:r>
              <w:rPr>
                <w:rFonts w:hint="eastAsia" w:ascii="宋体" w:hAnsi="宋体" w:cs="宋体"/>
                <w:b/>
                <w:bCs/>
                <w:color w:val="auto"/>
                <w:spacing w:val="-3"/>
                <w:szCs w:val="21"/>
                <w:highlight w:val="none"/>
                <w:lang w:val="en-US" w:eastAsia="zh-CN"/>
              </w:rPr>
              <w:t>6</w:t>
            </w:r>
            <w:r>
              <w:rPr>
                <w:rFonts w:hint="eastAsia" w:ascii="宋体" w:hAnsi="宋体" w:cs="宋体"/>
                <w:b/>
                <w:bCs/>
                <w:color w:val="auto"/>
                <w:spacing w:val="-3"/>
                <w:szCs w:val="21"/>
                <w:highlight w:val="none"/>
              </w:rPr>
              <w:t>分）</w:t>
            </w:r>
          </w:p>
        </w:tc>
        <w:tc>
          <w:tcPr>
            <w:tcW w:w="8393" w:type="dxa"/>
            <w:noWrap w:val="0"/>
            <w:vAlign w:val="center"/>
          </w:tcPr>
          <w:p w14:paraId="5C29F9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针对紧急调换货，供应商配货出错等问题采取的措施。</w:t>
            </w:r>
          </w:p>
          <w:p w14:paraId="70988E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方案完整合理、可行性强的得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FC256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方案合理有缺陷、可行性一般的得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7192F2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方案没有针对性，可行性差得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1A0C9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Cs w:val="21"/>
                <w:highlight w:val="none"/>
              </w:rPr>
              <w:t>未提供不得分。</w:t>
            </w:r>
          </w:p>
        </w:tc>
      </w:tr>
      <w:tr w14:paraId="1200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783C7E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17E748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追溯能力</w:t>
            </w:r>
          </w:p>
          <w:p w14:paraId="22BE3D2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kern w:val="2"/>
                <w:sz w:val="21"/>
                <w:szCs w:val="21"/>
                <w:highlight w:val="none"/>
                <w:lang w:val="en-US" w:eastAsia="zh-CN" w:bidi="ar-SA"/>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8</w:t>
            </w:r>
            <w:r>
              <w:rPr>
                <w:rFonts w:hint="eastAsia" w:ascii="宋体" w:hAnsi="宋体" w:eastAsia="宋体" w:cs="宋体"/>
                <w:b/>
                <w:bCs/>
                <w:color w:val="auto"/>
                <w:spacing w:val="-3"/>
                <w:sz w:val="21"/>
                <w:szCs w:val="21"/>
                <w:highlight w:val="none"/>
              </w:rPr>
              <w:t>分）</w:t>
            </w:r>
          </w:p>
        </w:tc>
        <w:tc>
          <w:tcPr>
            <w:tcW w:w="8393" w:type="dxa"/>
            <w:noWrap w:val="0"/>
            <w:vAlign w:val="center"/>
          </w:tcPr>
          <w:p w14:paraId="552A00B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14:paraId="304AD67C">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color w:val="auto"/>
                <w:sz w:val="21"/>
                <w:szCs w:val="21"/>
                <w:highlight w:val="none"/>
                <w:lang w:bidi="ar"/>
              </w:rPr>
              <w:t>得</w:t>
            </w:r>
            <w:r>
              <w:rPr>
                <w:rFonts w:hint="eastAsia" w:ascii="宋体" w:hAnsi="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分；</w:t>
            </w:r>
          </w:p>
          <w:p w14:paraId="787C049F">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提供比较详细追溯说明，且系统能够大致环节都可追溯的得</w:t>
            </w:r>
            <w:r>
              <w:rPr>
                <w:rFonts w:hint="eastAsia" w:ascii="宋体" w:hAnsi="宋体" w:cs="宋体"/>
                <w:color w:val="auto"/>
                <w:sz w:val="21"/>
                <w:szCs w:val="21"/>
                <w:highlight w:val="none"/>
                <w:lang w:val="en-US" w:eastAsia="zh-CN" w:bidi="ar"/>
              </w:rPr>
              <w:t>6</w:t>
            </w:r>
            <w:r>
              <w:rPr>
                <w:rFonts w:hint="eastAsia" w:ascii="宋体" w:hAnsi="宋体" w:eastAsia="宋体" w:cs="宋体"/>
                <w:color w:val="auto"/>
                <w:sz w:val="21"/>
                <w:szCs w:val="21"/>
                <w:highlight w:val="none"/>
                <w:lang w:bidi="ar"/>
              </w:rPr>
              <w:t>分；</w:t>
            </w:r>
          </w:p>
          <w:p w14:paraId="557E41DF">
            <w:pPr>
              <w:numPr>
                <w:ilvl w:val="0"/>
                <w:numId w:val="0"/>
              </w:numPr>
              <w:spacing w:line="360" w:lineRule="auto"/>
              <w:ind w:firstLineChars="200"/>
              <w:rPr>
                <w:rFonts w:hint="eastAsia" w:ascii="宋体" w:hAnsi="宋体" w:eastAsia="宋体" w:cs="宋体"/>
                <w:color w:val="auto"/>
                <w:szCs w:val="21"/>
                <w:highlight w:val="none"/>
                <w:lang w:val="en-US" w:eastAsia="zh-CN" w:bidi="ar"/>
              </w:rPr>
            </w:pPr>
            <w:r>
              <w:rPr>
                <w:rFonts w:hint="eastAsia" w:ascii="宋体" w:hAnsi="宋体" w:eastAsia="宋体" w:cs="宋体"/>
                <w:color w:val="auto"/>
                <w:sz w:val="21"/>
                <w:szCs w:val="21"/>
                <w:highlight w:val="none"/>
                <w:lang w:bidi="ar"/>
              </w:rPr>
              <w:t>追溯说明</w:t>
            </w:r>
            <w:r>
              <w:rPr>
                <w:rFonts w:hint="eastAsia" w:ascii="宋体" w:hAnsi="宋体" w:cs="宋体"/>
                <w:color w:val="auto"/>
                <w:sz w:val="21"/>
                <w:szCs w:val="21"/>
                <w:highlight w:val="none"/>
                <w:lang w:val="en-US" w:eastAsia="zh-CN" w:bidi="ar"/>
              </w:rPr>
              <w:t>一般，</w:t>
            </w:r>
            <w:r>
              <w:rPr>
                <w:rFonts w:hint="eastAsia" w:ascii="宋体" w:hAnsi="宋体" w:eastAsia="宋体" w:cs="宋体"/>
                <w:color w:val="auto"/>
                <w:sz w:val="21"/>
                <w:szCs w:val="21"/>
                <w:highlight w:val="none"/>
                <w:lang w:bidi="ar"/>
              </w:rPr>
              <w:t>系统能够大致环节都可追溯的得</w:t>
            </w: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w:t>
            </w:r>
            <w:r>
              <w:rPr>
                <w:rFonts w:hint="eastAsia" w:ascii="宋体" w:hAnsi="宋体" w:cs="宋体"/>
                <w:color w:val="auto"/>
                <w:sz w:val="21"/>
                <w:szCs w:val="21"/>
                <w:highlight w:val="none"/>
                <w:lang w:eastAsia="zh-CN" w:bidi="ar"/>
              </w:rPr>
              <w:t>。</w:t>
            </w:r>
          </w:p>
          <w:p w14:paraId="41B1518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未提供的不得分。</w:t>
            </w:r>
          </w:p>
        </w:tc>
      </w:tr>
      <w:tr w14:paraId="54E5C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7EB43B9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21CC69E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供货速度</w:t>
            </w:r>
            <w:r>
              <w:rPr>
                <w:rFonts w:hint="eastAsia" w:ascii="宋体" w:hAnsi="宋体" w:cs="宋体"/>
                <w:b/>
                <w:bCs/>
                <w:color w:val="auto"/>
                <w:spacing w:val="-3"/>
                <w:sz w:val="21"/>
                <w:szCs w:val="21"/>
                <w:highlight w:val="none"/>
                <w:lang w:val="en-US" w:eastAsia="zh-CN"/>
              </w:rPr>
              <w:t>及方案</w:t>
            </w:r>
          </w:p>
          <w:p w14:paraId="535C955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511B2B3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在满足接招标人通知一周内完成供货的基础上，根据投标人的供货速度进行评审，</w:t>
            </w:r>
          </w:p>
          <w:p w14:paraId="7FF21D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供货速度快，</w:t>
            </w:r>
            <w:r>
              <w:rPr>
                <w:rFonts w:hint="eastAsia" w:ascii="宋体" w:hAnsi="宋体" w:eastAsia="宋体" w:cs="宋体"/>
                <w:color w:val="auto"/>
                <w:sz w:val="21"/>
                <w:szCs w:val="21"/>
                <w:highlight w:val="none"/>
                <w:lang w:val="en-US" w:eastAsia="zh-CN"/>
              </w:rPr>
              <w:t>方案完整合理、可行性强的得5分；</w:t>
            </w:r>
          </w:p>
          <w:p w14:paraId="251332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较</w:t>
            </w:r>
            <w:r>
              <w:rPr>
                <w:rFonts w:hint="eastAsia" w:ascii="宋体" w:hAnsi="宋体" w:eastAsia="宋体" w:cs="宋体"/>
                <w:color w:val="auto"/>
                <w:sz w:val="21"/>
                <w:szCs w:val="21"/>
                <w:highlight w:val="none"/>
                <w:lang w:val="en-US" w:eastAsia="zh-CN"/>
              </w:rPr>
              <w:t>快</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方案合理有缺陷、可行性一般的得3分；</w:t>
            </w:r>
          </w:p>
          <w:p w14:paraId="391BD6F4">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供货速度</w:t>
            </w:r>
            <w:r>
              <w:rPr>
                <w:rFonts w:hint="eastAsia" w:ascii="宋体" w:hAnsi="宋体" w:cs="宋体"/>
                <w:color w:val="auto"/>
                <w:sz w:val="21"/>
                <w:szCs w:val="21"/>
                <w:highlight w:val="none"/>
                <w:lang w:val="en-US" w:eastAsia="zh-CN"/>
              </w:rPr>
              <w:t>基本满足基础要求，</w:t>
            </w:r>
            <w:r>
              <w:rPr>
                <w:rFonts w:hint="eastAsia" w:ascii="宋体" w:hAnsi="宋体" w:eastAsia="宋体" w:cs="宋体"/>
                <w:color w:val="auto"/>
                <w:sz w:val="21"/>
                <w:szCs w:val="21"/>
                <w:highlight w:val="none"/>
                <w:lang w:val="en-US" w:eastAsia="zh-CN"/>
              </w:rPr>
              <w:t>方案没有针对性，可行性差得1分；</w:t>
            </w:r>
          </w:p>
          <w:p w14:paraId="7D6E0D5B">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未提供的不得分。</w:t>
            </w:r>
          </w:p>
        </w:tc>
      </w:tr>
      <w:tr w14:paraId="402122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14:paraId="327A567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7894A6C7">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color w:val="auto"/>
                <w:spacing w:val="-3"/>
                <w:sz w:val="21"/>
                <w:szCs w:val="21"/>
                <w:highlight w:val="none"/>
                <w:lang w:val="en-US" w:eastAsia="zh-CN"/>
              </w:rPr>
            </w:pPr>
            <w:r>
              <w:rPr>
                <w:rFonts w:hint="eastAsia" w:ascii="宋体" w:hAnsi="宋体" w:cs="宋体"/>
                <w:b/>
                <w:bCs/>
                <w:color w:val="auto"/>
                <w:spacing w:val="-3"/>
                <w:sz w:val="21"/>
                <w:szCs w:val="21"/>
                <w:highlight w:val="none"/>
                <w:lang w:val="en-US" w:eastAsia="zh-CN"/>
              </w:rPr>
              <w:t>退换货速度及方案</w:t>
            </w:r>
          </w:p>
          <w:p w14:paraId="7C15D223">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9A2937E">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在满足</w:t>
            </w:r>
            <w:r>
              <w:rPr>
                <w:rFonts w:hint="eastAsia" w:ascii="宋体" w:hAnsi="宋体" w:cs="宋体"/>
                <w:color w:val="auto"/>
                <w:sz w:val="21"/>
                <w:szCs w:val="21"/>
                <w:highlight w:val="none"/>
                <w:lang w:val="en-US" w:eastAsia="zh-CN"/>
              </w:rPr>
              <w:t>接招标人通知</w:t>
            </w:r>
            <w:r>
              <w:rPr>
                <w:rFonts w:hint="eastAsia" w:ascii="宋体" w:hAnsi="宋体" w:eastAsia="宋体" w:cs="宋体"/>
                <w:color w:val="auto"/>
                <w:sz w:val="21"/>
                <w:szCs w:val="21"/>
                <w:highlight w:val="none"/>
              </w:rPr>
              <w:t>一周内</w:t>
            </w:r>
            <w:r>
              <w:rPr>
                <w:rFonts w:hint="eastAsia" w:ascii="宋体" w:hAnsi="宋体" w:eastAsia="宋体" w:cs="宋体"/>
                <w:color w:val="auto"/>
                <w:sz w:val="21"/>
                <w:szCs w:val="21"/>
                <w:highlight w:val="none"/>
                <w:lang w:val="en-US" w:eastAsia="zh-CN"/>
              </w:rPr>
              <w:t>完成退换货的</w:t>
            </w:r>
            <w:r>
              <w:rPr>
                <w:rFonts w:hint="eastAsia" w:ascii="宋体" w:hAnsi="宋体" w:eastAsia="宋体" w:cs="宋体"/>
                <w:color w:val="auto"/>
                <w:sz w:val="21"/>
                <w:szCs w:val="21"/>
                <w:highlight w:val="none"/>
              </w:rPr>
              <w:t>基础上，根据投标人的</w:t>
            </w:r>
            <w:r>
              <w:rPr>
                <w:rFonts w:hint="eastAsia" w:ascii="宋体" w:hAnsi="宋体" w:eastAsia="宋体" w:cs="宋体"/>
                <w:color w:val="auto"/>
                <w:sz w:val="21"/>
                <w:szCs w:val="21"/>
                <w:highlight w:val="none"/>
                <w:lang w:val="en-US" w:eastAsia="zh-CN"/>
              </w:rPr>
              <w:t>退换货速度</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退换货速度快，方案完整合理、可行性强的得5分；</w:t>
            </w:r>
          </w:p>
          <w:p w14:paraId="4A4D2E4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退换货速度较快，方案合理有缺陷、可行性一般的得3分；</w:t>
            </w:r>
          </w:p>
          <w:p w14:paraId="36F71530">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退换货速度基本满足基础要求，方案没有针对性，可行性差得1分；</w:t>
            </w:r>
          </w:p>
          <w:p w14:paraId="5AE220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未提供的不得分。</w:t>
            </w:r>
          </w:p>
        </w:tc>
      </w:tr>
      <w:tr w14:paraId="2E0966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14:paraId="3F3A38C3">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5BD42201">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仓储管理能力</w:t>
            </w:r>
          </w:p>
          <w:p w14:paraId="6EEA0609">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5</w:t>
            </w:r>
            <w:r>
              <w:rPr>
                <w:rFonts w:hint="eastAsia" w:ascii="宋体" w:hAnsi="宋体" w:eastAsia="宋体" w:cs="宋体"/>
                <w:b/>
                <w:bCs/>
                <w:color w:val="auto"/>
                <w:spacing w:val="-3"/>
                <w:sz w:val="21"/>
                <w:szCs w:val="21"/>
                <w:highlight w:val="none"/>
              </w:rPr>
              <w:t>分）</w:t>
            </w:r>
          </w:p>
        </w:tc>
        <w:tc>
          <w:tcPr>
            <w:tcW w:w="8393" w:type="dxa"/>
            <w:noWrap w:val="0"/>
            <w:vAlign w:val="center"/>
          </w:tcPr>
          <w:p w14:paraId="08D91E65">
            <w:pPr>
              <w:keepNext w:val="0"/>
              <w:keepLines w:val="0"/>
              <w:pageBreakBefore w:val="0"/>
              <w:numPr>
                <w:ilvl w:val="0"/>
                <w:numId w:val="4"/>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投标人为生产厂商，提供自有或租赁</w:t>
            </w:r>
            <w:r>
              <w:rPr>
                <w:rFonts w:hint="eastAsia" w:ascii="宋体" w:hAnsi="宋体" w:eastAsia="宋体" w:cs="宋体"/>
                <w:color w:val="auto"/>
                <w:sz w:val="21"/>
                <w:szCs w:val="21"/>
                <w:highlight w:val="none"/>
                <w:lang w:val="en-US" w:eastAsia="zh-CN"/>
              </w:rPr>
              <w:t>原辅料</w:t>
            </w:r>
            <w:r>
              <w:rPr>
                <w:rFonts w:hint="eastAsia" w:ascii="宋体" w:hAnsi="宋体" w:eastAsia="宋体" w:cs="宋体"/>
                <w:color w:val="auto"/>
                <w:sz w:val="21"/>
                <w:szCs w:val="21"/>
                <w:highlight w:val="none"/>
              </w:rPr>
              <w:t>仓库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03E697B6">
            <w:pPr>
              <w:keepNext w:val="0"/>
              <w:keepLines w:val="0"/>
              <w:pageBreakBefore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投标人为</w:t>
            </w:r>
            <w:r>
              <w:rPr>
                <w:rFonts w:hint="eastAsia" w:ascii="宋体" w:hAnsi="宋体" w:cs="宋体"/>
                <w:color w:val="auto"/>
                <w:sz w:val="21"/>
                <w:szCs w:val="21"/>
                <w:highlight w:val="none"/>
                <w:lang w:val="en-US" w:eastAsia="zh-CN"/>
              </w:rPr>
              <w:t>代理商的，提供</w:t>
            </w:r>
            <w:r>
              <w:rPr>
                <w:rFonts w:hint="eastAsia" w:ascii="宋体" w:hAnsi="宋体" w:eastAsia="宋体" w:cs="宋体"/>
                <w:color w:val="auto"/>
                <w:sz w:val="21"/>
                <w:szCs w:val="21"/>
                <w:highlight w:val="none"/>
              </w:rPr>
              <w:t>自有或租赁</w:t>
            </w:r>
            <w:r>
              <w:rPr>
                <w:rFonts w:hint="eastAsia" w:ascii="宋体" w:hAnsi="宋体" w:cs="宋体"/>
                <w:color w:val="auto"/>
                <w:sz w:val="21"/>
                <w:szCs w:val="21"/>
                <w:highlight w:val="none"/>
                <w:lang w:val="en-US" w:eastAsia="zh-CN"/>
              </w:rPr>
              <w:t>原辅料仓库的得3分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须提供相关证明材料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w:t>
            </w:r>
          </w:p>
          <w:p w14:paraId="67862021">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、具有原辅料仓储质量保证管理制度及规范，制度与记录最</w:t>
            </w:r>
            <w:r>
              <w:rPr>
                <w:rFonts w:hint="eastAsia" w:ascii="宋体" w:hAnsi="宋体" w:eastAsia="宋体" w:cs="宋体"/>
                <w:color w:val="auto"/>
                <w:sz w:val="21"/>
                <w:szCs w:val="21"/>
                <w:highlight w:val="none"/>
                <w:lang w:val="en-US" w:eastAsia="zh-CN"/>
              </w:rPr>
              <w:t>完整</w:t>
            </w:r>
            <w:r>
              <w:rPr>
                <w:rFonts w:hint="eastAsia" w:ascii="宋体" w:hAnsi="宋体" w:eastAsia="宋体" w:cs="宋体"/>
                <w:color w:val="auto"/>
                <w:sz w:val="21"/>
                <w:szCs w:val="21"/>
                <w:highlight w:val="none"/>
              </w:rPr>
              <w:t>完善的得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有</w:t>
            </w:r>
            <w:r>
              <w:rPr>
                <w:rFonts w:hint="eastAsia" w:ascii="宋体" w:hAnsi="宋体" w:eastAsia="宋体" w:cs="宋体"/>
                <w:color w:val="auto"/>
                <w:sz w:val="21"/>
                <w:szCs w:val="21"/>
                <w:highlight w:val="none"/>
                <w:lang w:val="en-US" w:eastAsia="zh-CN"/>
              </w:rPr>
              <w:t>简单</w:t>
            </w:r>
            <w:r>
              <w:rPr>
                <w:rFonts w:hint="eastAsia" w:ascii="宋体" w:hAnsi="宋体" w:eastAsia="宋体" w:cs="宋体"/>
                <w:color w:val="auto"/>
                <w:sz w:val="21"/>
                <w:szCs w:val="21"/>
                <w:highlight w:val="none"/>
              </w:rPr>
              <w:t>基本的制度与记录的得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分，无制度或无记录的均不得分。</w:t>
            </w:r>
          </w:p>
          <w:p w14:paraId="4662012B">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提供仓库产权证明或仓库租赁合同证明，若为租赁仓库需提供租赁合同复印件及近三个月租赁发票复印件。未提供证明材料不得分。</w:t>
            </w:r>
          </w:p>
        </w:tc>
      </w:tr>
      <w:tr w14:paraId="2D81F2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D246A2C">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48F3F425">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物流配送</w:t>
            </w:r>
          </w:p>
          <w:p w14:paraId="63D921B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rPr>
              <w:t>分）</w:t>
            </w:r>
          </w:p>
        </w:tc>
        <w:tc>
          <w:tcPr>
            <w:tcW w:w="8393" w:type="dxa"/>
            <w:noWrap w:val="0"/>
            <w:vAlign w:val="center"/>
          </w:tcPr>
          <w:p w14:paraId="307BEE53">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投标人自有配送车队</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rPr>
              <w:t>至少</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辆车辆对产品进行配送的得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须提供行驶证等相关证明材料</w:t>
            </w:r>
            <w:r>
              <w:rPr>
                <w:rFonts w:hint="eastAsia" w:ascii="宋体" w:hAnsi="宋体" w:cs="宋体"/>
                <w:color w:val="auto"/>
                <w:sz w:val="21"/>
                <w:szCs w:val="21"/>
                <w:highlight w:val="none"/>
                <w:lang w:eastAsia="zh-CN"/>
              </w:rPr>
              <w:t>）；</w:t>
            </w:r>
          </w:p>
          <w:p w14:paraId="47E9AD1D">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投标人委托固定的第三方配送</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不低于顺丰、京东、EMS同等条件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。（须提供合同复印件（合同原件备查）及该合同项下对应的任一结算周期（须在上述时间范围内）发票复印件及发票对应国家税务总局全国增值税发票查验平台查验截图。）</w:t>
            </w:r>
          </w:p>
          <w:p w14:paraId="2D148594">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注；</w:t>
            </w:r>
            <w:r>
              <w:rPr>
                <w:rFonts w:hint="eastAsia" w:ascii="宋体" w:hAnsi="宋体" w:eastAsia="宋体" w:cs="宋体"/>
                <w:color w:val="auto"/>
                <w:sz w:val="21"/>
                <w:szCs w:val="21"/>
                <w:highlight w:val="none"/>
              </w:rPr>
              <w:t>两者均无的不得分，不重复叠加给分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提供相关证明材料不得分；</w:t>
            </w:r>
          </w:p>
        </w:tc>
      </w:tr>
      <w:tr w14:paraId="065F8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27930E6F">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10F0BC9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rPr>
              <w:t>增值服务</w:t>
            </w:r>
          </w:p>
          <w:p w14:paraId="0029CBD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6</w:t>
            </w:r>
            <w:r>
              <w:rPr>
                <w:rFonts w:hint="eastAsia" w:ascii="宋体" w:hAnsi="宋体" w:eastAsia="宋体" w:cs="宋体"/>
                <w:b/>
                <w:bCs/>
                <w:color w:val="auto"/>
                <w:spacing w:val="-3"/>
                <w:sz w:val="21"/>
                <w:szCs w:val="21"/>
                <w:highlight w:val="none"/>
                <w:lang w:val="en-US" w:eastAsia="zh-CN"/>
              </w:rPr>
              <w:t>分)</w:t>
            </w:r>
          </w:p>
        </w:tc>
        <w:tc>
          <w:tcPr>
            <w:tcW w:w="8393" w:type="dxa"/>
            <w:noWrap w:val="0"/>
            <w:vAlign w:val="center"/>
          </w:tcPr>
          <w:p w14:paraId="055E78B8">
            <w:pPr>
              <w:keepNext w:val="0"/>
              <w:keepLines w:val="0"/>
              <w:pageBreakBefore w:val="0"/>
              <w:numPr>
                <w:ilvl w:val="0"/>
                <w:numId w:val="0"/>
              </w:numPr>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根据所有投标人提供的增值服务进行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，根据增值服务的可行性、实用性及合作展望进行评价（可提供以往合作案例或服务承诺等材料），针对性强、内容完整合理，得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基本合理，内容完整得4分；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分；不提供不得分。</w:t>
            </w:r>
          </w:p>
        </w:tc>
      </w:tr>
      <w:tr w14:paraId="2DCCE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14:paraId="702C7CA2">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eastAsia="zh-CN"/>
              </w:rPr>
            </w:pPr>
          </w:p>
        </w:tc>
        <w:tc>
          <w:tcPr>
            <w:tcW w:w="1058" w:type="dxa"/>
            <w:noWrap w:val="0"/>
            <w:vAlign w:val="center"/>
          </w:tcPr>
          <w:p w14:paraId="02B443E6">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现场述标</w:t>
            </w:r>
          </w:p>
          <w:p w14:paraId="43348554">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color w:val="auto"/>
                <w:spacing w:val="-3"/>
                <w:sz w:val="21"/>
                <w:szCs w:val="21"/>
                <w:highlight w:val="none"/>
                <w:lang w:val="en-US" w:eastAsia="zh-CN"/>
              </w:rPr>
            </w:pPr>
            <w:r>
              <w:rPr>
                <w:rFonts w:hint="eastAsia" w:ascii="宋体" w:hAnsi="宋体" w:eastAsia="宋体" w:cs="宋体"/>
                <w:b/>
                <w:bCs/>
                <w:color w:val="auto"/>
                <w:spacing w:val="-3"/>
                <w:sz w:val="21"/>
                <w:szCs w:val="21"/>
                <w:highlight w:val="none"/>
                <w:lang w:val="en-US" w:eastAsia="zh-CN"/>
              </w:rPr>
              <w:t>（</w:t>
            </w:r>
            <w:r>
              <w:rPr>
                <w:rFonts w:hint="eastAsia" w:ascii="宋体" w:hAnsi="宋体" w:cs="宋体"/>
                <w:b/>
                <w:bCs/>
                <w:color w:val="auto"/>
                <w:spacing w:val="-3"/>
                <w:sz w:val="21"/>
                <w:szCs w:val="21"/>
                <w:highlight w:val="none"/>
                <w:lang w:val="en-US" w:eastAsia="zh-CN"/>
              </w:rPr>
              <w:t>3</w:t>
            </w:r>
            <w:r>
              <w:rPr>
                <w:rFonts w:hint="eastAsia" w:ascii="宋体" w:hAnsi="宋体" w:eastAsia="宋体" w:cs="宋体"/>
                <w:b/>
                <w:bCs/>
                <w:color w:val="auto"/>
                <w:spacing w:val="-3"/>
                <w:sz w:val="21"/>
                <w:szCs w:val="21"/>
                <w:highlight w:val="none"/>
                <w:lang w:val="en-US" w:eastAsia="zh-CN"/>
              </w:rPr>
              <w:t>分）</w:t>
            </w:r>
          </w:p>
        </w:tc>
        <w:tc>
          <w:tcPr>
            <w:tcW w:w="8393" w:type="dxa"/>
            <w:shd w:val="clear" w:color="auto" w:fill="auto"/>
            <w:noWrap w:val="0"/>
            <w:vAlign w:val="center"/>
          </w:tcPr>
          <w:p w14:paraId="4A145D6C">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根据投标人</w:t>
            </w:r>
            <w:r>
              <w:rPr>
                <w:rFonts w:hint="eastAsia" w:ascii="宋体" w:hAnsi="宋体" w:cs="宋体"/>
                <w:color w:val="auto"/>
                <w:sz w:val="21"/>
                <w:szCs w:val="21"/>
                <w:highlight w:val="none"/>
                <w:lang w:val="en-US" w:eastAsia="zh-CN"/>
              </w:rPr>
              <w:t>对所</w:t>
            </w:r>
            <w:r>
              <w:rPr>
                <w:rFonts w:hint="eastAsia" w:ascii="宋体" w:hAnsi="宋体" w:eastAsia="宋体" w:cs="宋体"/>
                <w:color w:val="auto"/>
                <w:sz w:val="21"/>
                <w:szCs w:val="21"/>
                <w:highlight w:val="none"/>
              </w:rPr>
              <w:t>提供</w:t>
            </w:r>
            <w:r>
              <w:rPr>
                <w:rFonts w:hint="eastAsia" w:ascii="宋体" w:hAnsi="宋体" w:cs="宋体"/>
                <w:color w:val="auto"/>
                <w:sz w:val="21"/>
                <w:szCs w:val="21"/>
                <w:highlight w:val="none"/>
                <w:lang w:val="en-US" w:eastAsia="zh-CN"/>
              </w:rPr>
              <w:t>产品的现场述标及评委问答情况</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cs="宋体"/>
                <w:color w:val="auto"/>
                <w:sz w:val="21"/>
                <w:szCs w:val="21"/>
                <w:highlight w:val="none"/>
                <w:lang w:val="en-US" w:eastAsia="zh-CN"/>
              </w:rPr>
              <w:t>述标内容包括但不限于产品优势、包装优缺点、物流配送保障等</w:t>
            </w:r>
            <w:r>
              <w:rPr>
                <w:rFonts w:hint="eastAsia" w:ascii="宋体" w:hAnsi="宋体" w:eastAsia="宋体" w:cs="宋体"/>
                <w:color w:val="auto"/>
                <w:sz w:val="21"/>
                <w:szCs w:val="21"/>
                <w:highlight w:val="none"/>
              </w:rPr>
              <w:t>），针对性强、内容完整合理，得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分；针对性</w:t>
            </w:r>
            <w:r>
              <w:rPr>
                <w:rFonts w:hint="eastAsia" w:ascii="宋体" w:hAnsi="宋体" w:cs="宋体"/>
                <w:color w:val="auto"/>
                <w:sz w:val="21"/>
                <w:szCs w:val="21"/>
                <w:highlight w:val="none"/>
                <w:lang w:val="en-US" w:eastAsia="zh-CN"/>
              </w:rPr>
              <w:t>基本合理，内容完整得2分；</w:t>
            </w:r>
            <w:r>
              <w:rPr>
                <w:rFonts w:hint="eastAsia" w:ascii="宋体" w:hAnsi="宋体" w:eastAsia="宋体" w:cs="宋体"/>
                <w:color w:val="auto"/>
                <w:sz w:val="21"/>
                <w:szCs w:val="21"/>
                <w:highlight w:val="none"/>
              </w:rPr>
              <w:t>针对性一般、内容完整合理性一般，得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tc>
      </w:tr>
    </w:tbl>
    <w:p w14:paraId="23BA824D">
      <w:pPr>
        <w:rPr>
          <w:rFonts w:hint="eastAsia" w:ascii="宋体" w:hAnsi="宋体" w:eastAsia="宋体" w:cs="宋体"/>
          <w:color w:val="auto"/>
          <w:highlight w:val="none"/>
        </w:rPr>
      </w:pPr>
    </w:p>
    <w:p w14:paraId="17466DFA">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14:paraId="269AD32C">
      <w:pPr>
        <w:pStyle w:val="4"/>
        <w:pageBreakBefore w:val="0"/>
        <w:widowControl w:val="0"/>
        <w:numPr>
          <w:ilvl w:val="0"/>
          <w:numId w:val="0"/>
        </w:numPr>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bookmarkStart w:id="27" w:name="_Toc6328"/>
      <w:r>
        <w:rPr>
          <w:rFonts w:hint="eastAsia" w:ascii="宋体" w:hAnsi="宋体" w:eastAsia="宋体" w:cs="宋体"/>
          <w:b/>
          <w:bCs/>
          <w:color w:val="auto"/>
          <w:sz w:val="21"/>
          <w:szCs w:val="21"/>
          <w:highlight w:val="none"/>
        </w:rPr>
        <w:t>一、项目</w:t>
      </w:r>
      <w:r>
        <w:rPr>
          <w:rFonts w:hint="eastAsia" w:ascii="宋体" w:hAnsi="宋体" w:cs="宋体"/>
          <w:b/>
          <w:bCs/>
          <w:color w:val="auto"/>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根据医院制剂生产需求，需采购</w:t>
      </w:r>
      <w:r>
        <w:rPr>
          <w:rFonts w:hint="eastAsia" w:ascii="宋体" w:hAnsi="宋体" w:cs="宋体"/>
          <w:color w:val="auto"/>
          <w:sz w:val="22"/>
          <w:highlight w:val="none"/>
          <w:lang w:eastAsia="zh-CN"/>
        </w:rPr>
        <w:t>苯甲酸苄酯</w:t>
      </w:r>
      <w:r>
        <w:rPr>
          <w:rFonts w:hint="eastAsia" w:ascii="宋体" w:hAnsi="宋体" w:eastAsia="宋体" w:cs="宋体"/>
          <w:color w:val="auto"/>
          <w:sz w:val="21"/>
          <w:szCs w:val="21"/>
          <w:highlight w:val="none"/>
        </w:rPr>
        <w:t>,具体如下</w:t>
      </w:r>
      <w:r>
        <w:rPr>
          <w:rFonts w:hint="eastAsia" w:ascii="宋体" w:hAnsi="宋体" w:cs="宋体"/>
          <w:color w:val="auto"/>
          <w:sz w:val="21"/>
          <w:szCs w:val="21"/>
          <w:highlight w:val="none"/>
          <w:lang w:eastAsia="zh-CN"/>
        </w:rPr>
        <w:t>。</w:t>
      </w:r>
    </w:p>
    <w:p w14:paraId="31C347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二、项目要求</w:t>
      </w:r>
    </w:p>
    <w:p w14:paraId="2A43863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项目名称：</w:t>
      </w:r>
      <w:r>
        <w:rPr>
          <w:rFonts w:hint="eastAsia" w:ascii="宋体" w:hAnsi="宋体" w:cs="宋体"/>
          <w:color w:val="auto"/>
          <w:spacing w:val="-4"/>
          <w:sz w:val="21"/>
          <w:szCs w:val="21"/>
          <w:highlight w:val="none"/>
          <w:lang w:val="en-US" w:eastAsia="zh-CN"/>
        </w:rPr>
        <w:t>中国医学科学院皮肤病医院苯甲酸苄酯采购项目</w:t>
      </w:r>
    </w:p>
    <w:p w14:paraId="6615C3E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lang w:val="en-US" w:eastAsia="zh-CN"/>
        </w:rPr>
        <w:t>★</w:t>
      </w:r>
      <w:r>
        <w:rPr>
          <w:rFonts w:hint="eastAsia" w:ascii="宋体" w:hAnsi="宋体" w:eastAsia="宋体" w:cs="宋体"/>
          <w:color w:val="auto"/>
          <w:spacing w:val="-4"/>
          <w:sz w:val="21"/>
          <w:szCs w:val="21"/>
          <w:highlight w:val="none"/>
        </w:rPr>
        <w:t>预算金额：</w:t>
      </w:r>
      <w:r>
        <w:rPr>
          <w:rFonts w:hint="eastAsia" w:ascii="宋体" w:hAnsi="宋体" w:cs="宋体"/>
          <w:color w:val="auto"/>
          <w:spacing w:val="-4"/>
          <w:sz w:val="21"/>
          <w:szCs w:val="21"/>
          <w:highlight w:val="none"/>
          <w:lang w:val="en-US" w:eastAsia="zh-CN"/>
        </w:rPr>
        <w:t>40万元</w:t>
      </w:r>
    </w:p>
    <w:p w14:paraId="7E699DE7">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★单价限价：</w:t>
      </w:r>
      <w:r>
        <w:rPr>
          <w:rFonts w:hint="eastAsia" w:ascii="宋体" w:hAnsi="宋体" w:cs="宋体"/>
          <w:color w:val="auto"/>
          <w:spacing w:val="-4"/>
          <w:sz w:val="21"/>
          <w:szCs w:val="21"/>
          <w:highlight w:val="none"/>
          <w:lang w:val="en-US" w:eastAsia="zh-CN"/>
        </w:rPr>
        <w:t xml:space="preserve">3500元/kg  </w:t>
      </w:r>
    </w:p>
    <w:p w14:paraId="43B18F3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规格：不限</w:t>
      </w:r>
    </w:p>
    <w:p w14:paraId="0FF4EAC9">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合同履行期限：合同签订后按需完成供货。</w:t>
      </w:r>
    </w:p>
    <w:p w14:paraId="6AB80CEB">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cs="宋体"/>
          <w:color w:val="auto"/>
          <w:spacing w:val="-4"/>
          <w:szCs w:val="21"/>
          <w:highlight w:val="none"/>
          <w:lang w:val="en-US" w:eastAsia="zh-CN"/>
        </w:rPr>
      </w:pPr>
      <w:r>
        <w:rPr>
          <w:rFonts w:hint="eastAsia" w:ascii="宋体" w:hAnsi="宋体" w:eastAsia="宋体" w:cs="宋体"/>
          <w:color w:val="auto"/>
          <w:spacing w:val="-4"/>
          <w:sz w:val="21"/>
          <w:szCs w:val="21"/>
          <w:highlight w:val="none"/>
          <w:lang w:val="en-US" w:eastAsia="zh-CN"/>
        </w:rPr>
        <w:t>★供货期：供货商接业主通知后一周内完成供货。</w:t>
      </w:r>
    </w:p>
    <w:p w14:paraId="3E2E6419">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2E2C0CD">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599BF216">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4F0CAC56">
            <w:pPr>
              <w:spacing w:line="360" w:lineRule="auto"/>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1AAA517B">
            <w:pPr>
              <w:spacing w:line="360" w:lineRule="auto"/>
              <w:jc w:val="center"/>
              <w:textAlignment w:val="center"/>
              <w:rPr>
                <w:rFonts w:hint="eastAsia"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年用量</w:t>
            </w:r>
          </w:p>
        </w:tc>
      </w:tr>
      <w:tr w14:paraId="5CF59ECE">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62DCF3BC">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eastAsia="宋体" w:cs="宋体"/>
                <w:color w:val="auto"/>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28CBD8EE">
            <w:pPr>
              <w:spacing w:line="360" w:lineRule="auto"/>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eastAsia="zh-CN"/>
              </w:rPr>
              <w:t>苯甲酸苄酯</w:t>
            </w:r>
          </w:p>
        </w:tc>
        <w:tc>
          <w:tcPr>
            <w:tcW w:w="4080" w:type="dxa"/>
            <w:tcBorders>
              <w:top w:val="single" w:color="auto" w:sz="4" w:space="0"/>
              <w:left w:val="single" w:color="auto" w:sz="4" w:space="0"/>
              <w:bottom w:val="single" w:color="auto" w:sz="4" w:space="0"/>
              <w:right w:val="single" w:color="auto" w:sz="4" w:space="0"/>
            </w:tcBorders>
            <w:noWrap w:val="0"/>
            <w:vAlign w:val="center"/>
          </w:tcPr>
          <w:p w14:paraId="0E8847E4">
            <w:pPr>
              <w:spacing w:line="360" w:lineRule="auto"/>
              <w:jc w:val="center"/>
              <w:textAlignment w:val="center"/>
              <w:rPr>
                <w:rFonts w:hint="default" w:ascii="宋体" w:hAnsi="宋体" w:eastAsia="宋体" w:cs="宋体"/>
                <w:color w:val="auto"/>
                <w:kern w:val="0"/>
                <w:sz w:val="22"/>
                <w:highlight w:val="none"/>
                <w:lang w:val="en-US" w:eastAsia="zh-CN" w:bidi="ar"/>
              </w:rPr>
            </w:pPr>
            <w:r>
              <w:rPr>
                <w:rFonts w:hint="eastAsia" w:ascii="宋体" w:hAnsi="宋体" w:cs="宋体"/>
                <w:color w:val="auto"/>
                <w:kern w:val="0"/>
                <w:sz w:val="22"/>
                <w:highlight w:val="none"/>
                <w:lang w:val="en-US" w:eastAsia="zh-CN" w:bidi="ar"/>
              </w:rPr>
              <w:t xml:space="preserve">114kg/年    </w:t>
            </w:r>
          </w:p>
        </w:tc>
      </w:tr>
    </w:tbl>
    <w:p w14:paraId="60B2C7DE">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eastAsia="宋体" w:cs="宋体"/>
          <w:color w:val="auto"/>
          <w:spacing w:val="-4"/>
          <w:sz w:val="21"/>
          <w:szCs w:val="21"/>
          <w:highlight w:val="none"/>
          <w:lang w:val="en-US" w:eastAsia="zh-CN"/>
        </w:rPr>
        <w:t>注：以上数量为预估量，仅供参考，结算以实际采购数量为准。</w:t>
      </w:r>
    </w:p>
    <w:p w14:paraId="0A894043">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四、</w:t>
      </w:r>
      <w:r>
        <w:rPr>
          <w:rFonts w:hint="eastAsia" w:ascii="宋体" w:hAnsi="宋体" w:cs="宋体"/>
          <w:b/>
          <w:bCs/>
          <w:color w:val="auto"/>
          <w:sz w:val="21"/>
          <w:szCs w:val="21"/>
          <w:highlight w:val="none"/>
          <w:lang w:val="en-US" w:eastAsia="zh-CN"/>
        </w:rPr>
        <w:t>质保</w:t>
      </w:r>
      <w:r>
        <w:rPr>
          <w:rFonts w:hint="eastAsia" w:ascii="宋体" w:hAnsi="宋体" w:eastAsia="宋体" w:cs="宋体"/>
          <w:b/>
          <w:bCs/>
          <w:color w:val="auto"/>
          <w:sz w:val="21"/>
          <w:szCs w:val="21"/>
          <w:highlight w:val="none"/>
          <w:lang w:val="en-US" w:eastAsia="zh-CN"/>
        </w:rPr>
        <w:t>要求</w:t>
      </w:r>
    </w:p>
    <w:p w14:paraId="39FFCAC2">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eastAsia"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1.质保期</w:t>
      </w:r>
      <w:r>
        <w:rPr>
          <w:rFonts w:hint="eastAsia" w:ascii="宋体" w:hAnsi="宋体" w:eastAsia="宋体" w:cs="宋体"/>
          <w:color w:val="auto"/>
          <w:spacing w:val="-4"/>
          <w:sz w:val="21"/>
          <w:szCs w:val="21"/>
          <w:highlight w:val="none"/>
          <w:lang w:val="en-US" w:eastAsia="zh-CN"/>
        </w:rPr>
        <w:t>：2年</w:t>
      </w:r>
    </w:p>
    <w:p w14:paraId="73E7D1E6">
      <w:pPr>
        <w:keepNext w:val="0"/>
        <w:keepLines w:val="0"/>
        <w:pageBreakBefore w:val="0"/>
        <w:widowControl w:val="0"/>
        <w:kinsoku/>
        <w:wordWrap/>
        <w:overflowPunct/>
        <w:topLinePunct w:val="0"/>
        <w:autoSpaceDE/>
        <w:autoSpaceDN/>
        <w:bidi w:val="0"/>
        <w:adjustRightInd/>
        <w:snapToGrid/>
        <w:spacing w:line="360" w:lineRule="auto"/>
        <w:ind w:right="0" w:firstLine="404" w:firstLineChars="200"/>
        <w:jc w:val="both"/>
        <w:textAlignment w:val="auto"/>
        <w:rPr>
          <w:rFonts w:hint="default" w:ascii="宋体" w:hAnsi="宋体" w:eastAsia="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2.供货商接业主通知后</w:t>
      </w:r>
      <w:r>
        <w:rPr>
          <w:rFonts w:hint="eastAsia" w:ascii="宋体" w:hAnsi="宋体" w:eastAsia="宋体" w:cs="宋体"/>
          <w:color w:val="auto"/>
          <w:spacing w:val="-4"/>
          <w:sz w:val="21"/>
          <w:szCs w:val="21"/>
          <w:highlight w:val="none"/>
          <w:lang w:val="en-US" w:eastAsia="zh-CN"/>
        </w:rPr>
        <w:t>一周内</w:t>
      </w:r>
      <w:r>
        <w:rPr>
          <w:rFonts w:hint="eastAsia" w:ascii="宋体" w:hAnsi="宋体" w:cs="宋体"/>
          <w:color w:val="auto"/>
          <w:spacing w:val="-4"/>
          <w:sz w:val="21"/>
          <w:szCs w:val="21"/>
          <w:highlight w:val="none"/>
          <w:lang w:val="en-US" w:eastAsia="zh-CN"/>
        </w:rPr>
        <w:t>完成</w:t>
      </w:r>
      <w:r>
        <w:rPr>
          <w:rFonts w:hint="eastAsia" w:ascii="宋体" w:hAnsi="宋体" w:eastAsia="宋体" w:cs="宋体"/>
          <w:color w:val="auto"/>
          <w:spacing w:val="-4"/>
          <w:sz w:val="21"/>
          <w:szCs w:val="21"/>
          <w:highlight w:val="none"/>
          <w:lang w:val="en-US" w:eastAsia="zh-CN"/>
        </w:rPr>
        <w:t>对质保期内出现</w:t>
      </w:r>
      <w:r>
        <w:rPr>
          <w:rFonts w:hint="default" w:ascii="宋体" w:hAnsi="宋体" w:eastAsia="宋体" w:cs="宋体"/>
          <w:color w:val="auto"/>
          <w:spacing w:val="-4"/>
          <w:sz w:val="21"/>
          <w:szCs w:val="21"/>
          <w:highlight w:val="none"/>
          <w:lang w:val="en-US" w:eastAsia="zh-CN"/>
        </w:rPr>
        <w:t>问题</w:t>
      </w:r>
      <w:r>
        <w:rPr>
          <w:rFonts w:hint="eastAsia" w:ascii="宋体" w:hAnsi="宋体" w:eastAsia="宋体" w:cs="宋体"/>
          <w:color w:val="auto"/>
          <w:spacing w:val="-4"/>
          <w:sz w:val="21"/>
          <w:szCs w:val="21"/>
          <w:highlight w:val="none"/>
          <w:lang w:val="en-US" w:eastAsia="zh-CN"/>
        </w:rPr>
        <w:t>的原辅料</w:t>
      </w:r>
      <w:r>
        <w:rPr>
          <w:rFonts w:hint="eastAsia" w:ascii="宋体" w:hAnsi="宋体" w:cs="宋体"/>
          <w:color w:val="auto"/>
          <w:spacing w:val="-4"/>
          <w:sz w:val="21"/>
          <w:szCs w:val="21"/>
          <w:highlight w:val="none"/>
          <w:lang w:val="en-US" w:eastAsia="zh-CN"/>
        </w:rPr>
        <w:t>的</w:t>
      </w:r>
      <w:r>
        <w:rPr>
          <w:rFonts w:hint="eastAsia" w:ascii="宋体" w:hAnsi="宋体" w:eastAsia="宋体" w:cs="宋体"/>
          <w:color w:val="auto"/>
          <w:spacing w:val="-4"/>
          <w:sz w:val="21"/>
          <w:szCs w:val="21"/>
          <w:highlight w:val="none"/>
          <w:lang w:val="en-US" w:eastAsia="zh-CN"/>
        </w:rPr>
        <w:t>退换货。</w:t>
      </w:r>
    </w:p>
    <w:p w14:paraId="37D16DB6">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五、付款条件</w:t>
      </w:r>
    </w:p>
    <w:p w14:paraId="68C82F89">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sz w:val="21"/>
          <w:szCs w:val="21"/>
          <w:highlight w:val="none"/>
        </w:rPr>
      </w:pPr>
      <w:r>
        <w:rPr>
          <w:rFonts w:hint="eastAsia" w:cs="Times New Roman"/>
          <w:color w:val="auto"/>
          <w:szCs w:val="21"/>
          <w:highlight w:val="none"/>
          <w:lang w:val="zh-CN"/>
        </w:rPr>
        <w:t>验收合格后开票，采购人在收到供应商开具的正规有效发票后1个月内支付，详见合同条款</w:t>
      </w:r>
    </w:p>
    <w:p w14:paraId="1053B76E">
      <w:pPr>
        <w:keepNext w:val="0"/>
        <w:keepLines w:val="0"/>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特别说明：</w:t>
      </w:r>
    </w:p>
    <w:p w14:paraId="11EDCC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1.★号条款为实质性条款，未实质性响应的投标文件将被视为未实质性响应招标文件，做否决投标处理。</w:t>
      </w:r>
    </w:p>
    <w:p w14:paraId="5B93D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firstLine="422" w:firstLineChars="200"/>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2.上述要求供应商在响应文件中进行逐项应答。如有疑问请与采购单位联系。</w:t>
      </w:r>
    </w:p>
    <w:p w14:paraId="5BBFB26A">
      <w:pPr>
        <w:spacing w:line="440" w:lineRule="exact"/>
        <w:rPr>
          <w:rFonts w:hint="eastAsia" w:ascii="宋体" w:hAnsi="宋体" w:eastAsia="宋体" w:cs="宋体"/>
          <w:b/>
          <w:color w:val="auto"/>
          <w:sz w:val="24"/>
          <w:szCs w:val="24"/>
          <w:highlight w:val="none"/>
        </w:rPr>
      </w:pPr>
    </w:p>
    <w:p w14:paraId="273DABFE">
      <w:pPr>
        <w:spacing w:line="440" w:lineRule="exact"/>
        <w:rPr>
          <w:rFonts w:hint="eastAsia" w:ascii="宋体" w:hAnsi="宋体" w:eastAsia="宋体" w:cs="宋体"/>
          <w:b/>
          <w:color w:val="auto"/>
          <w:sz w:val="24"/>
          <w:szCs w:val="24"/>
          <w:highlight w:val="none"/>
        </w:rPr>
      </w:pPr>
    </w:p>
    <w:p w14:paraId="776C385C">
      <w:pPr>
        <w:spacing w:line="440" w:lineRule="exact"/>
        <w:rPr>
          <w:rFonts w:hint="eastAsia" w:ascii="宋体" w:hAnsi="宋体" w:eastAsia="宋体" w:cs="宋体"/>
          <w:b/>
          <w:color w:val="auto"/>
          <w:sz w:val="24"/>
          <w:szCs w:val="24"/>
          <w:highlight w:val="none"/>
        </w:rPr>
      </w:pPr>
    </w:p>
    <w:p w14:paraId="232EEF7B">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0F5DF260">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14:paraId="2A7593EA">
      <w:pPr>
        <w:pStyle w:val="136"/>
        <w:adjustRightInd w:val="0"/>
        <w:snapToGrid w:val="0"/>
        <w:jc w:val="center"/>
        <w:rPr>
          <w:rStyle w:val="47"/>
          <w:rFonts w:ascii="黑体" w:hAnsi="华文中宋" w:eastAsia="黑体" w:cs="Times New Roman"/>
          <w:color w:val="auto"/>
          <w:sz w:val="28"/>
          <w:szCs w:val="28"/>
          <w:highlight w:val="none"/>
        </w:rPr>
      </w:pPr>
      <w:bookmarkStart w:id="28" w:name="_Toc256000040"/>
      <w:bookmarkStart w:id="29" w:name="_Toc29913945"/>
      <w:r>
        <w:rPr>
          <w:rStyle w:val="47"/>
          <w:rFonts w:hint="eastAsia" w:ascii="黑体" w:hAnsi="华文中宋" w:eastAsia="黑体" w:cs="Times New Roman"/>
          <w:color w:val="auto"/>
          <w:sz w:val="28"/>
          <w:szCs w:val="28"/>
          <w:highlight w:val="none"/>
        </w:rPr>
        <w:t>第一节 政府采购合同协议书</w:t>
      </w:r>
      <w:bookmarkEnd w:id="28"/>
      <w:bookmarkEnd w:id="29"/>
    </w:p>
    <w:p w14:paraId="2C98A8B7">
      <w:pPr>
        <w:pStyle w:val="196"/>
        <w:adjustRightInd w:val="0"/>
        <w:snapToGrid w:val="0"/>
        <w:spacing w:before="156" w:beforeLines="50" w:line="360" w:lineRule="auto"/>
        <w:ind w:firstLine="5460" w:firstLineChars="2600"/>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采购合同编号：</w:t>
      </w:r>
      <w:r>
        <w:rPr>
          <w:rStyle w:val="47"/>
          <w:rFonts w:hint="eastAsia" w:ascii="宋体" w:hAnsi="宋体" w:eastAsia="宋体" w:cs="Times New Roman"/>
          <w:color w:val="auto"/>
          <w:szCs w:val="21"/>
          <w:highlight w:val="none"/>
          <w:u w:val="single"/>
        </w:rPr>
        <w:t xml:space="preserve">                 </w:t>
      </w:r>
    </w:p>
    <w:p w14:paraId="367CE665">
      <w:pPr>
        <w:pStyle w:val="196"/>
        <w:adjustRightInd w:val="0"/>
        <w:snapToGrid w:val="0"/>
        <w:spacing w:before="156" w:beforeLines="50" w:line="360" w:lineRule="auto"/>
        <w:jc w:val="center"/>
        <w:rPr>
          <w:rStyle w:val="47"/>
          <w:rFonts w:hint="eastAsia" w:ascii="宋体" w:hAnsi="宋体" w:eastAsia="宋体" w:cs="Times New Roman"/>
          <w:b/>
          <w:color w:val="auto"/>
          <w:szCs w:val="21"/>
          <w:highlight w:val="none"/>
        </w:rPr>
      </w:pPr>
    </w:p>
    <w:p w14:paraId="1460E648">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采购人（全称）：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（甲方）</w:t>
      </w:r>
    </w:p>
    <w:p w14:paraId="0758AB7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供应商（全称）：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（乙方）</w:t>
      </w:r>
    </w:p>
    <w:p w14:paraId="2D864D3F">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p>
    <w:p w14:paraId="7E6D0126">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为了保护甲、乙双方合法权益，根据《中华人民共和国民法典》、《中华人民共和国政府采购法》及其他有关法律、法规、规章，双方签订本合同协议书。</w:t>
      </w:r>
    </w:p>
    <w:p w14:paraId="444A136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1.项目信息</w:t>
      </w:r>
    </w:p>
    <w:p w14:paraId="783AEC5B">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（1）采购项目名称：</w:t>
      </w:r>
      <w:r>
        <w:rPr>
          <w:rStyle w:val="47"/>
          <w:rFonts w:hint="eastAsia" w:ascii="宋体" w:hAnsi="宋体" w:eastAsia="宋体" w:cs="Times New Roman"/>
          <w:color w:val="auto"/>
          <w:szCs w:val="21"/>
          <w:highlight w:val="none"/>
          <w:u w:val="single"/>
        </w:rPr>
        <w:t xml:space="preserve">                                          </w:t>
      </w:r>
    </w:p>
    <w:p w14:paraId="281DC87D">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（2）采购计划编号：</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D95A4F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（3）项目内容：</w:t>
      </w:r>
      <w:r>
        <w:rPr>
          <w:rStyle w:val="47"/>
          <w:rFonts w:hint="eastAsia" w:ascii="宋体" w:hAnsi="宋体" w:eastAsia="宋体" w:cs="Times New Roman"/>
          <w:color w:val="auto"/>
          <w:szCs w:val="21"/>
          <w:highlight w:val="none"/>
          <w:u w:val="single"/>
        </w:rPr>
        <w:t xml:space="preserve">                             </w:t>
      </w:r>
    </w:p>
    <w:p w14:paraId="580F4EE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（4）项目负责人：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742E1BAF">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2.合同金额</w:t>
      </w:r>
    </w:p>
    <w:p w14:paraId="449B9D6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w:t>
      </w:r>
      <w:r>
        <w:rPr>
          <w:rStyle w:val="47"/>
          <w:rFonts w:hint="eastAsia" w:ascii="宋体" w:hAnsi="宋体" w:cs="Times New Roman"/>
          <w:color w:val="auto"/>
          <w:szCs w:val="21"/>
          <w:highlight w:val="none"/>
          <w:lang w:eastAsia="zh-CN"/>
        </w:rPr>
        <w:t>采购预算</w:t>
      </w:r>
      <w:r>
        <w:rPr>
          <w:rStyle w:val="47"/>
          <w:rFonts w:hint="eastAsia" w:ascii="宋体" w:hAnsi="宋体" w:eastAsia="宋体" w:cs="Times New Roman"/>
          <w:color w:val="auto"/>
          <w:szCs w:val="21"/>
          <w:highlight w:val="none"/>
        </w:rPr>
        <w:t>金额小写：</w:t>
      </w:r>
      <w:r>
        <w:rPr>
          <w:rStyle w:val="47"/>
          <w:rFonts w:hint="eastAsia" w:ascii="宋体" w:hAnsi="宋体" w:eastAsia="宋体" w:cs="Times New Roman"/>
          <w:color w:val="auto"/>
          <w:szCs w:val="21"/>
          <w:highlight w:val="none"/>
          <w:u w:val="single"/>
        </w:rPr>
        <w:t xml:space="preserve">                      </w:t>
      </w:r>
    </w:p>
    <w:p w14:paraId="5A9F7AA0">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大写：</w:t>
      </w:r>
      <w:r>
        <w:rPr>
          <w:rStyle w:val="47"/>
          <w:rFonts w:hint="eastAsia" w:ascii="宋体" w:hAnsi="宋体" w:eastAsia="宋体" w:cs="Times New Roman"/>
          <w:color w:val="auto"/>
          <w:szCs w:val="21"/>
          <w:highlight w:val="none"/>
          <w:u w:val="single"/>
        </w:rPr>
        <w:t xml:space="preserve">                      </w:t>
      </w:r>
    </w:p>
    <w:p w14:paraId="7DEC8C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（2）具体标的</w:t>
      </w:r>
      <w:r>
        <w:rPr>
          <w:rStyle w:val="47"/>
          <w:rFonts w:hint="eastAsia" w:ascii="宋体" w:hAnsi="宋体" w:cs="Times New Roman"/>
          <w:color w:val="auto"/>
          <w:szCs w:val="21"/>
          <w:highlight w:val="none"/>
          <w:lang w:eastAsia="zh-CN"/>
        </w:rPr>
        <w:t>（规格和参数要求）</w:t>
      </w:r>
      <w:r>
        <w:rPr>
          <w:rStyle w:val="47"/>
          <w:rFonts w:hint="eastAsia" w:ascii="宋体" w:hAnsi="宋体" w:eastAsia="宋体" w:cs="Times New Roman"/>
          <w:color w:val="auto"/>
          <w:szCs w:val="21"/>
          <w:highlight w:val="none"/>
        </w:rPr>
        <w:t>见附件。</w:t>
      </w:r>
    </w:p>
    <w:p w14:paraId="482706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（3）合同价格形式：</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p>
    <w:p w14:paraId="43F027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b/>
          <w:color w:val="auto"/>
          <w:szCs w:val="21"/>
          <w:highlight w:val="none"/>
        </w:rPr>
        <w:t>3.履行合同的时间、地点及方式</w:t>
      </w:r>
      <w:r>
        <w:rPr>
          <w:rStyle w:val="47"/>
          <w:rFonts w:hint="eastAsia" w:ascii="宋体" w:hAnsi="宋体" w:eastAsia="宋体" w:cs="Times New Roman"/>
          <w:color w:val="auto"/>
          <w:szCs w:val="21"/>
          <w:highlight w:val="none"/>
          <w:u w:val="single"/>
        </w:rPr>
        <w:t xml:space="preserve"> </w:t>
      </w:r>
    </w:p>
    <w:p w14:paraId="0E1F7DE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起始日期：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日，完成日期：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日。总日历天数：</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天。</w:t>
      </w:r>
    </w:p>
    <w:p w14:paraId="5CDC9027">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地点</w:t>
      </w:r>
      <w:r>
        <w:rPr>
          <w:rStyle w:val="47"/>
          <w:rFonts w:hint="eastAsia" w:ascii="宋体" w:hAnsi="宋体" w:eastAsia="宋体" w:cs="Times New Roman"/>
          <w:b/>
          <w:color w:val="auto"/>
          <w:szCs w:val="21"/>
          <w:highlight w:val="none"/>
        </w:rPr>
        <w:t>：</w:t>
      </w:r>
      <w:r>
        <w:rPr>
          <w:rStyle w:val="47"/>
          <w:rFonts w:hint="eastAsia" w:ascii="宋体" w:hAnsi="宋体" w:eastAsia="宋体" w:cs="Times New Roman"/>
          <w:color w:val="auto"/>
          <w:szCs w:val="21"/>
          <w:highlight w:val="none"/>
          <w:u w:val="single"/>
        </w:rPr>
        <w:t xml:space="preserve">                             </w:t>
      </w:r>
    </w:p>
    <w:p w14:paraId="5C08E0C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方式：</w:t>
      </w:r>
      <w:r>
        <w:rPr>
          <w:rStyle w:val="47"/>
          <w:rFonts w:hint="eastAsia" w:ascii="宋体" w:hAnsi="宋体" w:eastAsia="宋体" w:cs="Times New Roman"/>
          <w:color w:val="auto"/>
          <w:szCs w:val="21"/>
          <w:highlight w:val="none"/>
          <w:u w:val="single"/>
        </w:rPr>
        <w:t xml:space="preserve">                             </w:t>
      </w:r>
    </w:p>
    <w:p w14:paraId="46682CD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b/>
          <w:color w:val="auto"/>
          <w:szCs w:val="21"/>
          <w:highlight w:val="none"/>
        </w:rPr>
        <w:t>4.付款：</w:t>
      </w:r>
    </w:p>
    <w:p w14:paraId="6723E0B4">
      <w:pPr>
        <w:spacing w:line="360" w:lineRule="auto"/>
        <w:ind w:firstLine="420" w:firstLineChars="200"/>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w:t>
      </w:r>
      <w:r>
        <w:rPr>
          <w:rFonts w:hint="eastAsia" w:ascii="宋体" w:hAnsi="宋体" w:cs="宋体"/>
          <w:color w:val="auto"/>
          <w:kern w:val="0"/>
          <w:sz w:val="21"/>
          <w:szCs w:val="21"/>
          <w:highlight w:val="none"/>
          <w:lang w:eastAsia="zh-CN"/>
        </w:rPr>
        <w:t>）以甲方确认的实际供货数量为准进行结算。</w:t>
      </w:r>
    </w:p>
    <w:p w14:paraId="3AA6BEF9">
      <w:pPr>
        <w:spacing w:line="360" w:lineRule="auto"/>
        <w:ind w:firstLine="420" w:firstLineChars="200"/>
        <w:rPr>
          <w:rStyle w:val="47"/>
          <w:rFonts w:hint="eastAsia" w:ascii="宋体" w:hAnsi="宋体" w:eastAsia="宋体" w:cs="Times New Roman"/>
          <w:bCs/>
          <w:color w:val="auto"/>
          <w:szCs w:val="21"/>
          <w:highlight w:val="none"/>
        </w:rPr>
      </w:pP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2</w:t>
      </w:r>
      <w:r>
        <w:rPr>
          <w:rFonts w:hint="eastAsia" w:ascii="宋体" w:hAnsi="宋体" w:cs="宋体"/>
          <w:color w:val="auto"/>
          <w:kern w:val="0"/>
          <w:sz w:val="21"/>
          <w:szCs w:val="21"/>
          <w:highlight w:val="none"/>
          <w:lang w:eastAsia="zh-CN"/>
        </w:rPr>
        <w:t>）验收合格后开票，采购人在收到供应商开具的正规有效发票后1个月内支付。</w:t>
      </w:r>
      <w:r>
        <w:rPr>
          <w:rStyle w:val="47"/>
          <w:rFonts w:hint="eastAsia" w:ascii="宋体" w:hAnsi="宋体" w:eastAsia="宋体" w:cs="Times New Roman"/>
          <w:color w:val="auto"/>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lang w:val="en-US" w:eastAsia="zh-CN"/>
        </w:rPr>
      </w:pPr>
      <w:r>
        <w:rPr>
          <w:rStyle w:val="47"/>
          <w:rFonts w:hint="eastAsia" w:ascii="黑体" w:hAnsi="黑体" w:eastAsia="黑体" w:cs="黑体"/>
          <w:b w:val="0"/>
          <w:bCs/>
          <w:color w:val="auto"/>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lang w:val="en-US" w:eastAsia="zh-CN"/>
        </w:rPr>
      </w:pPr>
      <w:r>
        <w:rPr>
          <w:rStyle w:val="47"/>
          <w:rFonts w:hint="eastAsia" w:ascii="宋体" w:hAnsi="宋体" w:cs="Times New Roman"/>
          <w:b w:val="0"/>
          <w:bCs/>
          <w:color w:val="auto"/>
          <w:szCs w:val="21"/>
          <w:highlight w:val="none"/>
          <w:lang w:val="en-US" w:eastAsia="zh-CN"/>
        </w:rPr>
        <w:t>（3）</w:t>
      </w:r>
      <w:r>
        <w:rPr>
          <w:rStyle w:val="47"/>
          <w:rFonts w:hint="eastAsia" w:ascii="宋体" w:hAnsi="宋体" w:eastAsia="宋体" w:cs="Times New Roman"/>
          <w:b w:val="0"/>
          <w:bCs/>
          <w:color w:val="auto"/>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6</w:t>
      </w:r>
      <w:r>
        <w:rPr>
          <w:rStyle w:val="47"/>
          <w:rFonts w:hint="eastAsia" w:ascii="黑体" w:hAnsi="黑体" w:eastAsia="黑体" w:cs="黑体"/>
          <w:b w:val="0"/>
          <w:bCs/>
          <w:color w:val="auto"/>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7</w:t>
      </w:r>
      <w:r>
        <w:rPr>
          <w:rStyle w:val="47"/>
          <w:rFonts w:hint="eastAsia" w:ascii="黑体" w:hAnsi="黑体" w:eastAsia="黑体" w:cs="黑体"/>
          <w:b w:val="0"/>
          <w:bCs/>
          <w:color w:val="auto"/>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auto"/>
          <w:szCs w:val="21"/>
          <w:highlight w:val="none"/>
        </w:rPr>
      </w:pPr>
      <w:r>
        <w:rPr>
          <w:rStyle w:val="47"/>
          <w:rFonts w:hint="eastAsia" w:ascii="黑体" w:hAnsi="黑体" w:eastAsia="黑体" w:cs="黑体"/>
          <w:b w:val="0"/>
          <w:bCs/>
          <w:color w:val="auto"/>
          <w:szCs w:val="21"/>
          <w:highlight w:val="none"/>
          <w:lang w:val="en-US" w:eastAsia="zh-CN"/>
        </w:rPr>
        <w:t>8</w:t>
      </w:r>
      <w:r>
        <w:rPr>
          <w:rStyle w:val="47"/>
          <w:rFonts w:hint="eastAsia" w:ascii="黑体" w:hAnsi="黑体" w:eastAsia="黑体" w:cs="黑体"/>
          <w:b w:val="0"/>
          <w:bCs/>
          <w:color w:val="auto"/>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auto"/>
          <w:szCs w:val="21"/>
          <w:highlight w:val="none"/>
        </w:rPr>
      </w:pPr>
      <w:r>
        <w:rPr>
          <w:rStyle w:val="47"/>
          <w:rFonts w:hint="eastAsia" w:ascii="黑体" w:hAnsi="黑体" w:eastAsia="黑体" w:cs="黑体"/>
          <w:b/>
          <w:color w:val="auto"/>
          <w:szCs w:val="21"/>
          <w:highlight w:val="none"/>
          <w:lang w:val="en-US" w:eastAsia="zh-CN"/>
        </w:rPr>
        <w:t>9</w:t>
      </w:r>
      <w:r>
        <w:rPr>
          <w:rStyle w:val="47"/>
          <w:rFonts w:hint="eastAsia" w:ascii="黑体" w:hAnsi="黑体" w:eastAsia="黑体" w:cs="黑体"/>
          <w:b/>
          <w:color w:val="auto"/>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1</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2</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3</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4</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cs="Times New Roman"/>
          <w:b w:val="0"/>
          <w:bCs/>
          <w:color w:val="auto"/>
          <w:szCs w:val="21"/>
          <w:highlight w:val="none"/>
          <w:lang w:eastAsia="zh-CN"/>
        </w:rPr>
        <w:t>（</w:t>
      </w:r>
      <w:r>
        <w:rPr>
          <w:rStyle w:val="47"/>
          <w:rFonts w:hint="eastAsia" w:ascii="宋体" w:hAnsi="宋体" w:cs="Times New Roman"/>
          <w:b w:val="0"/>
          <w:bCs/>
          <w:color w:val="auto"/>
          <w:szCs w:val="21"/>
          <w:highlight w:val="none"/>
          <w:lang w:val="en-US" w:eastAsia="zh-CN"/>
        </w:rPr>
        <w:t>5</w:t>
      </w:r>
      <w:r>
        <w:rPr>
          <w:rStyle w:val="47"/>
          <w:rFonts w:hint="eastAsia" w:ascii="宋体" w:hAnsi="宋体" w:cs="Times New Roman"/>
          <w:b w:val="0"/>
          <w:bCs/>
          <w:color w:val="auto"/>
          <w:szCs w:val="21"/>
          <w:highlight w:val="none"/>
          <w:lang w:eastAsia="zh-CN"/>
        </w:rPr>
        <w:t>）</w:t>
      </w:r>
      <w:r>
        <w:rPr>
          <w:rStyle w:val="47"/>
          <w:rFonts w:hint="eastAsia" w:ascii="宋体" w:hAnsi="宋体" w:eastAsia="宋体" w:cs="Times New Roman"/>
          <w:b w:val="0"/>
          <w:bCs/>
          <w:color w:val="auto"/>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p>
    <w:p w14:paraId="7673F5A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10</w:t>
      </w:r>
      <w:r>
        <w:rPr>
          <w:rStyle w:val="47"/>
          <w:rFonts w:hint="eastAsia" w:ascii="宋体" w:hAnsi="宋体" w:eastAsia="宋体" w:cs="Times New Roman"/>
          <w:b/>
          <w:color w:val="auto"/>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auto"/>
          <w:szCs w:val="21"/>
          <w:highlight w:val="none"/>
        </w:rPr>
      </w:pPr>
      <w:r>
        <w:rPr>
          <w:rStyle w:val="47"/>
          <w:rFonts w:hint="eastAsia" w:ascii="宋体" w:hAnsi="宋体" w:eastAsia="宋体" w:cs="Times New Roman"/>
          <w:b w:val="0"/>
          <w:bCs/>
          <w:color w:val="auto"/>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B8AFD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11</w:t>
      </w:r>
      <w:r>
        <w:rPr>
          <w:rStyle w:val="47"/>
          <w:rFonts w:hint="eastAsia" w:ascii="宋体" w:hAnsi="宋体" w:eastAsia="宋体" w:cs="Times New Roman"/>
          <w:b/>
          <w:color w:val="auto"/>
          <w:szCs w:val="21"/>
          <w:highlight w:val="none"/>
        </w:rPr>
        <w:t>.组成合同的文件</w:t>
      </w:r>
    </w:p>
    <w:p w14:paraId="1FDF8FC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本协议书与下列文件一起构成合同文件，如下述文件之间有任何抵触、矛盾或歧义，应按以下顺序解释：</w:t>
      </w:r>
    </w:p>
    <w:p w14:paraId="53B1C5C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（1）在采购或合同履行过程中乙方作出的承诺以及双方协商达成的变更或补充协议</w:t>
      </w:r>
    </w:p>
    <w:p w14:paraId="3A2719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（2）本合同协议书</w:t>
      </w:r>
    </w:p>
    <w:p w14:paraId="2F21A8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（3）中标通知书</w:t>
      </w:r>
    </w:p>
    <w:p w14:paraId="6A1849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（4）投标文件</w:t>
      </w:r>
    </w:p>
    <w:p w14:paraId="1A6A429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（5）政府采购合同专用条款</w:t>
      </w:r>
    </w:p>
    <w:p w14:paraId="2D0F2AA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52EA02A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（8）其他合同文件。</w:t>
      </w:r>
    </w:p>
    <w:p w14:paraId="56A7CFF4">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12</w:t>
      </w:r>
      <w:r>
        <w:rPr>
          <w:rStyle w:val="47"/>
          <w:rFonts w:hint="eastAsia" w:ascii="宋体" w:hAnsi="宋体" w:eastAsia="宋体" w:cs="Times New Roman"/>
          <w:b/>
          <w:color w:val="auto"/>
          <w:szCs w:val="21"/>
          <w:highlight w:val="none"/>
        </w:rPr>
        <w:t>.合同生效</w:t>
      </w:r>
    </w:p>
    <w:p w14:paraId="6CE2D790">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本合同自</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生效。</w:t>
      </w:r>
    </w:p>
    <w:p w14:paraId="7522560F">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auto"/>
          <w:szCs w:val="21"/>
          <w:highlight w:val="none"/>
        </w:rPr>
      </w:pPr>
      <w:r>
        <w:rPr>
          <w:rStyle w:val="47"/>
          <w:rFonts w:hint="eastAsia" w:ascii="宋体" w:hAnsi="宋体" w:cs="Times New Roman"/>
          <w:b/>
          <w:color w:val="auto"/>
          <w:szCs w:val="21"/>
          <w:highlight w:val="none"/>
          <w:lang w:val="en-US" w:eastAsia="zh-CN"/>
        </w:rPr>
        <w:t>13</w:t>
      </w:r>
      <w:r>
        <w:rPr>
          <w:rStyle w:val="47"/>
          <w:rFonts w:hint="eastAsia" w:ascii="宋体" w:hAnsi="宋体" w:eastAsia="宋体" w:cs="Times New Roman"/>
          <w:b/>
          <w:color w:val="auto"/>
          <w:szCs w:val="21"/>
          <w:highlight w:val="none"/>
        </w:rPr>
        <w:t>.合同份数</w:t>
      </w:r>
    </w:p>
    <w:p w14:paraId="772EC23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本合同一式</w:t>
      </w:r>
      <w:r>
        <w:rPr>
          <w:rStyle w:val="47"/>
          <w:rFonts w:hint="eastAsia" w:ascii="宋体" w:hAnsi="宋体" w:cs="Times New Roman"/>
          <w:color w:val="auto"/>
          <w:szCs w:val="21"/>
          <w:highlight w:val="none"/>
          <w:u w:val="single"/>
          <w:lang w:eastAsia="zh-CN"/>
        </w:rPr>
        <w:t>五</w:t>
      </w:r>
      <w:r>
        <w:rPr>
          <w:rStyle w:val="47"/>
          <w:rFonts w:hint="eastAsia" w:ascii="宋体" w:hAnsi="宋体" w:eastAsia="宋体" w:cs="Times New Roman"/>
          <w:color w:val="auto"/>
          <w:szCs w:val="21"/>
          <w:highlight w:val="none"/>
        </w:rPr>
        <w:t>份，采购人执</w:t>
      </w:r>
      <w:r>
        <w:rPr>
          <w:rStyle w:val="47"/>
          <w:rFonts w:hint="eastAsia" w:ascii="宋体" w:hAnsi="宋体" w:cs="Times New Roman"/>
          <w:color w:val="auto"/>
          <w:szCs w:val="21"/>
          <w:highlight w:val="none"/>
          <w:u w:val="single"/>
          <w:lang w:eastAsia="zh-CN"/>
        </w:rPr>
        <w:t>四</w:t>
      </w:r>
      <w:r>
        <w:rPr>
          <w:rStyle w:val="47"/>
          <w:rFonts w:hint="eastAsia" w:ascii="宋体" w:hAnsi="宋体" w:eastAsia="宋体" w:cs="Times New Roman"/>
          <w:color w:val="auto"/>
          <w:szCs w:val="21"/>
          <w:highlight w:val="none"/>
        </w:rPr>
        <w:t>份，供应商执</w:t>
      </w:r>
      <w:r>
        <w:rPr>
          <w:rStyle w:val="47"/>
          <w:rFonts w:hint="eastAsia" w:ascii="宋体" w:hAnsi="宋体" w:cs="Times New Roman"/>
          <w:color w:val="auto"/>
          <w:szCs w:val="21"/>
          <w:highlight w:val="none"/>
          <w:u w:val="single"/>
          <w:lang w:eastAsia="zh-CN"/>
        </w:rPr>
        <w:t>一</w:t>
      </w:r>
      <w:r>
        <w:rPr>
          <w:rStyle w:val="47"/>
          <w:rFonts w:hint="eastAsia" w:ascii="宋体" w:hAnsi="宋体" w:eastAsia="宋体" w:cs="Times New Roman"/>
          <w:color w:val="auto"/>
          <w:szCs w:val="21"/>
          <w:highlight w:val="none"/>
        </w:rPr>
        <w:t>份，均具有同等法律效力。</w:t>
      </w:r>
    </w:p>
    <w:p w14:paraId="5493234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p>
    <w:p w14:paraId="2C38600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合同订立时间：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年</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月</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日</w:t>
      </w:r>
    </w:p>
    <w:p w14:paraId="4E8A3EDF">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合同订立地点：</w:t>
      </w:r>
      <w:r>
        <w:rPr>
          <w:rStyle w:val="47"/>
          <w:rFonts w:hint="eastAsia" w:ascii="宋体" w:hAnsi="宋体" w:eastAsia="宋体" w:cs="Times New Roman"/>
          <w:color w:val="auto"/>
          <w:szCs w:val="21"/>
          <w:highlight w:val="none"/>
          <w:u w:val="single"/>
        </w:rPr>
        <w:t xml:space="preserve">                           </w:t>
      </w:r>
    </w:p>
    <w:p w14:paraId="39C7775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p>
    <w:p w14:paraId="636E9E52">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      方：（公章）                     乙      方：（公章）</w:t>
      </w:r>
    </w:p>
    <w:p w14:paraId="2261325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经  办  </w:t>
      </w:r>
      <w:r>
        <w:rPr>
          <w:rStyle w:val="47"/>
          <w:rFonts w:hint="eastAsia" w:ascii="宋体" w:hAnsi="宋体" w:eastAsia="宋体" w:cs="Times New Roman"/>
          <w:color w:val="auto"/>
          <w:szCs w:val="21"/>
          <w:highlight w:val="none"/>
        </w:rPr>
        <w:t>人：</w:t>
      </w:r>
      <w:r>
        <w:rPr>
          <w:rStyle w:val="47"/>
          <w:rFonts w:hint="eastAsia" w:ascii="宋体" w:hAnsi="宋体" w:eastAsia="宋体" w:cs="Times New Roman"/>
          <w:color w:val="auto"/>
          <w:szCs w:val="21"/>
          <w:highlight w:val="none"/>
          <w:u w:val="single"/>
        </w:rPr>
        <w:t xml:space="preserve">                   </w:t>
      </w:r>
    </w:p>
    <w:p w14:paraId="678F21C9">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电      话：</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电      话：</w:t>
      </w:r>
      <w:r>
        <w:rPr>
          <w:rStyle w:val="47"/>
          <w:rFonts w:hint="eastAsia" w:ascii="宋体" w:hAnsi="宋体" w:eastAsia="宋体" w:cs="Times New Roman"/>
          <w:color w:val="auto"/>
          <w:szCs w:val="21"/>
          <w:highlight w:val="none"/>
          <w:u w:val="single"/>
        </w:rPr>
        <w:t xml:space="preserve">                   </w:t>
      </w:r>
    </w:p>
    <w:p w14:paraId="52BA779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传      真：</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传      真：</w:t>
      </w:r>
      <w:r>
        <w:rPr>
          <w:rStyle w:val="47"/>
          <w:rFonts w:hint="eastAsia" w:ascii="宋体" w:hAnsi="宋体" w:eastAsia="宋体" w:cs="Times New Roman"/>
          <w:color w:val="auto"/>
          <w:szCs w:val="21"/>
          <w:highlight w:val="none"/>
          <w:u w:val="single"/>
        </w:rPr>
        <w:t xml:space="preserve">                   </w:t>
      </w:r>
    </w:p>
    <w:p w14:paraId="0BC42D9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 xml:space="preserve"> 开 户 银 行：</w:t>
      </w:r>
      <w:r>
        <w:rPr>
          <w:rStyle w:val="47"/>
          <w:rFonts w:hint="eastAsia" w:ascii="宋体" w:hAnsi="宋体" w:eastAsia="宋体" w:cs="Times New Roman"/>
          <w:color w:val="auto"/>
          <w:szCs w:val="21"/>
          <w:highlight w:val="none"/>
          <w:u w:val="single"/>
        </w:rPr>
        <w:t xml:space="preserve">                   </w:t>
      </w:r>
    </w:p>
    <w:p w14:paraId="0883E8EF">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帐       号：</w:t>
      </w:r>
      <w:r>
        <w:rPr>
          <w:rStyle w:val="47"/>
          <w:rFonts w:hint="eastAsia" w:ascii="宋体" w:hAnsi="宋体" w:eastAsia="宋体" w:cs="Times New Roman"/>
          <w:color w:val="auto"/>
          <w:szCs w:val="21"/>
          <w:highlight w:val="none"/>
          <w:u w:val="single"/>
        </w:rPr>
        <w:t xml:space="preserve">                 </w:t>
      </w:r>
    </w:p>
    <w:p w14:paraId="4CF8E672">
      <w:pPr>
        <w:pStyle w:val="136"/>
        <w:adjustRightInd w:val="0"/>
        <w:snapToGrid w:val="0"/>
        <w:spacing w:before="156" w:beforeLines="50"/>
        <w:jc w:val="center"/>
        <w:rPr>
          <w:rStyle w:val="47"/>
          <w:rFonts w:hint="eastAsia" w:ascii="黑体" w:hAnsi="黑体" w:eastAsia="黑体" w:cs="Times New Roman"/>
          <w:color w:val="auto"/>
          <w:sz w:val="28"/>
          <w:szCs w:val="28"/>
          <w:highlight w:val="none"/>
        </w:rPr>
      </w:pPr>
      <w:r>
        <w:rPr>
          <w:rStyle w:val="47"/>
          <w:rFonts w:hint="eastAsia" w:ascii="宋体" w:hAnsi="宋体" w:eastAsia="宋体" w:cs="Times New Roman"/>
          <w:b w:val="0"/>
          <w:bCs w:val="0"/>
          <w:color w:val="auto"/>
          <w:szCs w:val="21"/>
          <w:highlight w:val="none"/>
          <w:u w:val="single"/>
        </w:rPr>
        <w:br w:type="page"/>
      </w:r>
      <w:bookmarkStart w:id="30" w:name="_Toc29913946"/>
      <w:bookmarkStart w:id="31" w:name="_Toc256000041"/>
      <w:r>
        <w:rPr>
          <w:rStyle w:val="47"/>
          <w:rFonts w:hint="eastAsia" w:ascii="黑体" w:hAnsi="黑体" w:eastAsia="黑体" w:cs="Times New Roman"/>
          <w:color w:val="auto"/>
          <w:sz w:val="28"/>
          <w:szCs w:val="28"/>
          <w:highlight w:val="none"/>
        </w:rPr>
        <w:t>第二节 政府采购合同通用条款</w:t>
      </w:r>
      <w:bookmarkEnd w:id="30"/>
      <w:bookmarkEnd w:id="31"/>
    </w:p>
    <w:p w14:paraId="6FB4F29D">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color w:val="auto"/>
          <w:sz w:val="24"/>
          <w:highlight w:val="none"/>
        </w:rPr>
        <w:t>1.</w:t>
      </w:r>
      <w:r>
        <w:rPr>
          <w:rStyle w:val="47"/>
          <w:rFonts w:hint="eastAsia" w:ascii="宋体" w:hAnsi="宋体" w:eastAsia="宋体" w:cs="Times New Roman"/>
          <w:b/>
          <w:bCs/>
          <w:color w:val="auto"/>
          <w:sz w:val="24"/>
          <w:highlight w:val="none"/>
        </w:rPr>
        <w:t>定义</w:t>
      </w:r>
    </w:p>
    <w:p w14:paraId="4A5A08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1.1合同当事人</w:t>
      </w:r>
    </w:p>
    <w:p w14:paraId="5E9878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color w:val="auto"/>
          <w:szCs w:val="21"/>
          <w:highlight w:val="none"/>
        </w:rPr>
        <w:t>【政府采购合同专用条款】。</w:t>
      </w:r>
    </w:p>
    <w:p w14:paraId="52FEB6D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（2）供应商（以下称乙方）是指参加政府采购活动而取得中标结果，并向采购人提供货物、服务的法人、其他组织或者自然人。</w:t>
      </w:r>
    </w:p>
    <w:p w14:paraId="63C8519D">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1.2本合同下列术语应解释为：</w:t>
      </w:r>
    </w:p>
    <w:p w14:paraId="64B2821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（1）“合同”系指甲乙双方签署的、政府采购合同协议书中载明的甲乙双方所达成的协议，包括所有的附件、附录和上述文件所提到的构成合同的所有文件。</w:t>
      </w:r>
    </w:p>
    <w:p w14:paraId="77E24323">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（2）“合同价”系指根据本合同规定乙方在正确地完全履行合同义务后甲方应支付给乙方的价款。</w:t>
      </w:r>
    </w:p>
    <w:p w14:paraId="2CCB2A57">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（3）“货物”系指乙方根据本合同规定须向甲方提供的各种形态和种类的物品，包括原材料、设备、产品（包括软件）及相关的其备品备件、工具、手册及其它技术资料和材料。</w:t>
      </w:r>
    </w:p>
    <w:p w14:paraId="4011979B">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（4）“服务”系指根据合同规定，乙方应提供的技术和其它服务。</w:t>
      </w:r>
    </w:p>
    <w:p w14:paraId="3C6EA54A">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（5）“合同条款”系指本合同条款。</w:t>
      </w:r>
    </w:p>
    <w:p w14:paraId="01DD1298">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（6）“项目现场”系指本合同项下货物安装、运行的现场，其名称见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3C78E09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2.合同的适用范围</w:t>
      </w:r>
    </w:p>
    <w:p w14:paraId="2B2087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 本合同条款适用于没有被本合同其他部分的条款所取代的范围。</w:t>
      </w:r>
    </w:p>
    <w:p w14:paraId="0A1FAE2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 合同内容根据招标文件、投标文件而确定。</w:t>
      </w:r>
    </w:p>
    <w:p w14:paraId="0E8BC81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3.</w:t>
      </w:r>
      <w:r>
        <w:rPr>
          <w:rStyle w:val="47"/>
          <w:rFonts w:hint="eastAsia" w:ascii="宋体" w:hAnsi="宋体" w:eastAsia="宋体" w:cs="Times New Roman"/>
          <w:b/>
          <w:color w:val="auto"/>
          <w:sz w:val="24"/>
          <w:highlight w:val="none"/>
        </w:rPr>
        <w:t>合同标的及金额</w:t>
      </w:r>
    </w:p>
    <w:p w14:paraId="6FD777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3.1 合同标的及金额应与中标结果一致。</w:t>
      </w:r>
    </w:p>
    <w:p w14:paraId="2AF0FDB3">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4.</w:t>
      </w:r>
      <w:r>
        <w:rPr>
          <w:rStyle w:val="47"/>
          <w:rFonts w:hint="eastAsia" w:ascii="宋体" w:hAnsi="宋体" w:eastAsia="宋体" w:cs="Times New Roman"/>
          <w:b/>
          <w:color w:val="auto"/>
          <w:sz w:val="24"/>
          <w:highlight w:val="none"/>
        </w:rPr>
        <w:t>合同价款</w:t>
      </w:r>
    </w:p>
    <w:p w14:paraId="22B9235F">
      <w:pPr>
        <w:pStyle w:val="196"/>
        <w:adjustRightInd w:val="0"/>
        <w:snapToGrid w:val="0"/>
        <w:spacing w:before="50" w:line="360" w:lineRule="auto"/>
        <w:ind w:firstLine="420" w:firstLineChars="200"/>
        <w:jc w:val="left"/>
        <w:rPr>
          <w:rStyle w:val="47"/>
          <w:rFonts w:hint="eastAsia" w:ascii="宋体" w:hAnsi="宋体" w:eastAsia="宋体" w:cs="Times New Roman"/>
          <w:b/>
          <w:bCs/>
          <w:i/>
          <w:iCs/>
          <w:color w:val="auto"/>
          <w:szCs w:val="21"/>
          <w:highlight w:val="none"/>
        </w:rPr>
      </w:pPr>
      <w:r>
        <w:rPr>
          <w:rStyle w:val="47"/>
          <w:rFonts w:hint="eastAsia" w:ascii="宋体" w:hAnsi="宋体" w:eastAsia="宋体" w:cs="Times New Roman"/>
          <w:color w:val="auto"/>
          <w:szCs w:val="21"/>
          <w:highlight w:val="none"/>
        </w:rPr>
        <w:t>4.1具体合同价款见本合同第3.1条。乙方为履行本合同而发生的所有费用均应包含在合同价款中，甲方不再另行支付其它任何费用。</w:t>
      </w:r>
    </w:p>
    <w:p w14:paraId="05FEE805">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5.履行合同的时间、地点和方式</w:t>
      </w:r>
    </w:p>
    <w:p w14:paraId="6D40CD1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5.1 乙方应当在甲方确定的时间、指定的地点履行合同，具体的交货时间、地点和方式见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156D225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5.2 乙方提供服务的应当在甲方指定的地点完成服务项目。</w:t>
      </w:r>
    </w:p>
    <w:p w14:paraId="1F40CDE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6.</w:t>
      </w:r>
      <w:r>
        <w:rPr>
          <w:rStyle w:val="47"/>
          <w:rFonts w:hint="eastAsia" w:ascii="宋体" w:hAnsi="宋体" w:eastAsia="宋体" w:cs="Times New Roman"/>
          <w:b/>
          <w:color w:val="auto"/>
          <w:sz w:val="24"/>
          <w:highlight w:val="none"/>
        </w:rPr>
        <w:t>货物的验收</w:t>
      </w:r>
    </w:p>
    <w:p w14:paraId="6743EE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6.1 甲方在收到乙方交付的货物后应当及时组织验收。</w:t>
      </w:r>
    </w:p>
    <w:p w14:paraId="70DFD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6.2 货物的表面瑕疵，甲方应在验收时当面提出</w:t>
      </w:r>
    </w:p>
    <w:p w14:paraId="6C5F61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6.3 在验收过程中发现数量不足或有质量、技术等问题，乙方应负责按照甲方的要求采取补足、更换或退货等处理措施，并承担由此发生的一切费用和损失。</w:t>
      </w:r>
    </w:p>
    <w:p w14:paraId="225F6D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6.4 甲方在乙方按合同规定交货或安装、调试后，无正当理由而拖延接收、验收或拒绝接收、验收的，应承担因此给乙方造成的直接损失。</w:t>
      </w:r>
    </w:p>
    <w:p w14:paraId="2F5A9990">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7.货物包装要求</w:t>
      </w:r>
    </w:p>
    <w:p w14:paraId="7630DB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26148B4C">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8.运输和保险</w:t>
      </w:r>
    </w:p>
    <w:p w14:paraId="6CC98EC6">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8.1乙方负责办理将货物运抵本合同第5.1条规定的交货地点的一切运输事项，相关费用应包括在合同总价中。</w:t>
      </w:r>
    </w:p>
    <w:p w14:paraId="39A3CA7F">
      <w:pPr>
        <w:pStyle w:val="196"/>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9.质量标准和保证</w:t>
      </w:r>
    </w:p>
    <w:p w14:paraId="13C7BA2E">
      <w:pPr>
        <w:pStyle w:val="201"/>
        <w:adjustRightInd w:val="0"/>
        <w:snapToGrid w:val="0"/>
        <w:spacing w:before="50" w:line="360" w:lineRule="auto"/>
        <w:ind w:firstLine="420" w:firstLineChars="200"/>
        <w:jc w:val="left"/>
        <w:rPr>
          <w:rStyle w:val="47"/>
          <w:rFonts w:hint="eastAsia" w:hAnsi="宋体" w:eastAsia="宋体"/>
          <w:b/>
          <w:color w:val="auto"/>
          <w:highlight w:val="none"/>
        </w:rPr>
      </w:pPr>
      <w:r>
        <w:rPr>
          <w:rStyle w:val="47"/>
          <w:rFonts w:hint="eastAsia" w:hAnsi="宋体" w:eastAsia="宋体"/>
          <w:color w:val="auto"/>
          <w:highlight w:val="none"/>
        </w:rPr>
        <w:t>9.1 质量标准</w:t>
      </w:r>
    </w:p>
    <w:p w14:paraId="25E5EA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（1）本合同下交付的货物应符合招标文件所述的标准。如果没有提及适用标准，则应符合中华人民共和国有关机构发布的最新版本的标准。</w:t>
      </w:r>
    </w:p>
    <w:p w14:paraId="4A6FF00F">
      <w:pPr>
        <w:pStyle w:val="201"/>
        <w:adjustRightInd w:val="0"/>
        <w:snapToGrid w:val="0"/>
        <w:spacing w:before="50" w:line="360" w:lineRule="auto"/>
        <w:ind w:firstLine="420" w:firstLineChars="200"/>
        <w:jc w:val="left"/>
        <w:rPr>
          <w:rStyle w:val="47"/>
          <w:rFonts w:hint="eastAsia" w:hAnsi="宋体" w:eastAsia="宋体"/>
          <w:color w:val="auto"/>
          <w:highlight w:val="none"/>
        </w:rPr>
      </w:pPr>
      <w:r>
        <w:rPr>
          <w:rStyle w:val="47"/>
          <w:rFonts w:hint="eastAsia" w:hAnsi="宋体" w:eastAsia="宋体"/>
          <w:color w:val="auto"/>
          <w:highlight w:val="none"/>
        </w:rPr>
        <w:t>（2）采用中华人民共和国法定计量单位。</w:t>
      </w:r>
    </w:p>
    <w:p w14:paraId="772536C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（3）乙方所出售的货物还应符合国家有关安全、环保、卫生之规定。</w:t>
      </w:r>
    </w:p>
    <w:p w14:paraId="2A3407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9.2 保证</w:t>
      </w:r>
    </w:p>
    <w:p w14:paraId="3B31841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规定或乙方承诺（两者以较长的为准）的质量保证期内，本保证保持有效。</w:t>
      </w:r>
    </w:p>
    <w:p w14:paraId="216504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（2）在质量保证期内所发现的缺陷，甲方应尽快以书面形式通知乙方。</w:t>
      </w:r>
    </w:p>
    <w:p w14:paraId="2A29415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（3）乙方收到通知后应在</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规定的响应时间内以合理的速度</w:t>
      </w:r>
      <w:r>
        <w:rPr>
          <w:rStyle w:val="47"/>
          <w:rFonts w:hint="eastAsia" w:ascii="宋体" w:hAnsi="宋体" w:cs="Times New Roman"/>
          <w:color w:val="auto"/>
          <w:szCs w:val="21"/>
          <w:highlight w:val="none"/>
          <w:lang w:val="en-US" w:eastAsia="zh-CN"/>
        </w:rPr>
        <w:t>退换</w:t>
      </w:r>
      <w:r>
        <w:rPr>
          <w:rStyle w:val="47"/>
          <w:rFonts w:hint="eastAsia" w:ascii="宋体" w:hAnsi="宋体" w:eastAsia="宋体" w:cs="Times New Roman"/>
          <w:color w:val="auto"/>
          <w:szCs w:val="21"/>
          <w:highlight w:val="none"/>
        </w:rPr>
        <w:t>。</w:t>
      </w:r>
    </w:p>
    <w:p w14:paraId="1C7FDA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0FEB5456">
      <w:pPr>
        <w:pStyle w:val="196"/>
        <w:adjustRightInd w:val="0"/>
        <w:snapToGrid w:val="0"/>
        <w:spacing w:before="50" w:line="360" w:lineRule="auto"/>
        <w:ind w:firstLine="420" w:firstLineChars="200"/>
        <w:jc w:val="left"/>
        <w:rPr>
          <w:rStyle w:val="47"/>
          <w:rFonts w:hint="eastAsia" w:ascii="宋体" w:hAnsi="宋体" w:eastAsia="宋体" w:cs="Times New Roman"/>
          <w:b/>
          <w:color w:val="auto"/>
          <w:szCs w:val="21"/>
          <w:highlight w:val="none"/>
        </w:rPr>
      </w:pPr>
      <w:r>
        <w:rPr>
          <w:rStyle w:val="47"/>
          <w:rFonts w:hint="eastAsia" w:ascii="宋体" w:hAnsi="宋体" w:eastAsia="宋体" w:cs="Times New Roman"/>
          <w:color w:val="auto"/>
          <w:szCs w:val="21"/>
          <w:highlight w:val="none"/>
        </w:rPr>
        <w:t>（5）乙方在约定的时间内未能弥补缺陷，甲方可采取必要的补救措施，但其风险和费用将由乙方承担，甲方根据合同规定对乙方行使的其他权利不受影响。</w:t>
      </w:r>
    </w:p>
    <w:p w14:paraId="77A0231B">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10.权利瑕疵担保</w:t>
      </w:r>
    </w:p>
    <w:p w14:paraId="19DC0DE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10.1 乙方保证对其出售的货物享有合法的权利。</w:t>
      </w:r>
    </w:p>
    <w:p w14:paraId="2A461EA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10.2 乙方保证在其出售的货物上不存在任何未曾向甲方透露的担保物权，如抵押权、质押权、留置权等。</w:t>
      </w:r>
    </w:p>
    <w:p w14:paraId="5745F9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10.3 如甲方使用该货物构成上述侵权的，则由乙方承担全部责任。</w:t>
      </w:r>
    </w:p>
    <w:p w14:paraId="0C43EDAE">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11.知识产权保护</w:t>
      </w:r>
    </w:p>
    <w:p w14:paraId="1CB8A09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11.1 乙方对其所销售的货物应当享有知识产权或经权利人合法授权，保证没有侵犯任何第三人的知识产权和商业秘密等权利。</w:t>
      </w:r>
    </w:p>
    <w:p w14:paraId="3D7588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11.2 甲方使用乙方提供的货物对第三人构成侵权的，应当由乙方承担全部法律责任，给甲方造成损害的，乙方应当承担赔偿责任。</w:t>
      </w:r>
    </w:p>
    <w:p w14:paraId="3054AE84">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12.保密义务</w:t>
      </w:r>
    </w:p>
    <w:p w14:paraId="282899D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12.1 甲、乙双方在采购和履行合同过程中所获悉的对方属于保密的内容，双方均有保密义务。</w:t>
      </w:r>
    </w:p>
    <w:p w14:paraId="5DF70466">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13.合同价款支付</w:t>
      </w:r>
    </w:p>
    <w:p w14:paraId="08C7DBD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w:t>
      </w:r>
    </w:p>
    <w:p w14:paraId="5682BABA">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14.</w:t>
      </w:r>
      <w:r>
        <w:rPr>
          <w:rStyle w:val="47"/>
          <w:rFonts w:hint="eastAsia" w:ascii="Calibri" w:hAnsi="Calibri" w:eastAsia="宋体" w:cs="Times New Roman"/>
          <w:b/>
          <w:color w:val="auto"/>
          <w:sz w:val="24"/>
          <w:highlight w:val="none"/>
        </w:rPr>
        <w:t>乙方应提供的</w:t>
      </w:r>
      <w:r>
        <w:rPr>
          <w:rStyle w:val="47"/>
          <w:rFonts w:hint="eastAsia" w:ascii="宋体" w:hAnsi="宋体" w:eastAsia="宋体" w:cs="Times New Roman"/>
          <w:b/>
          <w:color w:val="auto"/>
          <w:sz w:val="24"/>
          <w:highlight w:val="none"/>
        </w:rPr>
        <w:t>服务</w:t>
      </w:r>
    </w:p>
    <w:p w14:paraId="11ACF1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14.1 </w:t>
      </w:r>
      <w:r>
        <w:rPr>
          <w:rStyle w:val="47"/>
          <w:rFonts w:hint="eastAsia" w:ascii="宋体" w:hAnsi="宋体" w:cs="Times New Roman"/>
          <w:color w:val="auto"/>
          <w:szCs w:val="21"/>
          <w:highlight w:val="none"/>
          <w:lang w:val="en-US" w:eastAsia="zh-CN"/>
        </w:rPr>
        <w:t>详见</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规定由乙方提供的其他服务。</w:t>
      </w:r>
    </w:p>
    <w:p w14:paraId="0CCEE3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14.</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乙方提供的服务的费用应包含在合同价款中，甲方不再另行支付。</w:t>
      </w:r>
    </w:p>
    <w:p w14:paraId="0EC3E44D">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15.违约责任</w:t>
      </w:r>
    </w:p>
    <w:p w14:paraId="27C68423">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15.1质量瑕疵的补救措施和索赔</w:t>
      </w:r>
    </w:p>
    <w:p w14:paraId="07741F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（1）如果乙方提供的产品不符合质量标准或存在产品质量缺陷，乙方应按照甲方同意的下列一种或几种方式结合起来解决索赔事宜：</w:t>
      </w:r>
    </w:p>
    <w:p w14:paraId="3FEDD43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①乙方同意退货并将货款退还给甲方，由此发生的一切费用和损失由乙方承担。</w:t>
      </w:r>
    </w:p>
    <w:p w14:paraId="083461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②根据货物的质量状况以及甲方所遭受的损失，经过甲乙双方商定降低货物的价格。</w:t>
      </w:r>
    </w:p>
    <w:p w14:paraId="339BC0E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07A93CF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15.2 迟延交货的违约责任</w:t>
      </w:r>
    </w:p>
    <w:p w14:paraId="1020DB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E18387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（2）除本合同</w:t>
      </w:r>
      <w:r>
        <w:rPr>
          <w:rStyle w:val="47"/>
          <w:rFonts w:hint="eastAsia" w:ascii="宋体" w:hAnsi="宋体" w:eastAsia="宋体" w:cs="Times New Roman"/>
          <w:bCs/>
          <w:color w:val="auto"/>
          <w:szCs w:val="21"/>
          <w:highlight w:val="none"/>
        </w:rPr>
        <w:t>第20条</w:t>
      </w:r>
      <w:r>
        <w:rPr>
          <w:rStyle w:val="47"/>
          <w:rFonts w:hint="eastAsia" w:ascii="宋体" w:hAnsi="宋体" w:eastAsia="宋体" w:cs="Times New Roman"/>
          <w:color w:val="auto"/>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723915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030570A9">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16.合同的变更</w:t>
      </w:r>
    </w:p>
    <w:p w14:paraId="4C1F172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16.1 在合同履行过程中，甲、乙双方可就合同履行的时间、地点和方式等协商进行变更。协商一致后，双方应签订书面的补充协议。</w:t>
      </w:r>
    </w:p>
    <w:p w14:paraId="129F505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16.</w:t>
      </w:r>
      <w:r>
        <w:rPr>
          <w:rStyle w:val="47"/>
          <w:rFonts w:hint="eastAsia" w:ascii="宋体" w:hAnsi="宋体" w:cs="Times New Roman"/>
          <w:color w:val="auto"/>
          <w:szCs w:val="21"/>
          <w:highlight w:val="none"/>
          <w:lang w:val="en-US" w:eastAsia="zh-CN"/>
        </w:rPr>
        <w:t>2</w:t>
      </w:r>
      <w:r>
        <w:rPr>
          <w:rStyle w:val="47"/>
          <w:rFonts w:hint="eastAsia" w:ascii="宋体" w:hAnsi="宋体" w:eastAsia="宋体" w:cs="Times New Roman"/>
          <w:color w:val="auto"/>
          <w:szCs w:val="21"/>
          <w:highlight w:val="none"/>
        </w:rPr>
        <w:t xml:space="preserve"> 除双方签署书面协议，并成为合同不可分割的一部分外，本合同条件不得有任何变更。</w:t>
      </w:r>
    </w:p>
    <w:p w14:paraId="6B109291">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17.合同中止与终止</w:t>
      </w:r>
    </w:p>
    <w:p w14:paraId="4D14C5CF">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17.1合同的中止</w:t>
      </w:r>
    </w:p>
    <w:p w14:paraId="1F19C5A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（1）合同在履行过程中，因采购计划调整，甲方可以要求中止履行，待计划确定后继续履行；</w:t>
      </w:r>
    </w:p>
    <w:p w14:paraId="7E9C761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（2）合同履行过程中因供应商就采购过程或结果提起投诉的，甲方认为有必要或财政部门责令中止的，应当中止合同的履行。</w:t>
      </w:r>
    </w:p>
    <w:p w14:paraId="101E6044">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17.2合同的终止</w:t>
      </w:r>
    </w:p>
    <w:p w14:paraId="34181F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（1）合同因有效期限届满而终止；</w:t>
      </w:r>
    </w:p>
    <w:p w14:paraId="7EE04C6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（2）乙方未能依照本合同约定条件履行合同，已构成根本性违约的，甲方有权终止本合同，并追究乙方的违约责任。</w:t>
      </w:r>
    </w:p>
    <w:p w14:paraId="3BECF1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（3）如果乙方丧失履约能力或被宣告破产，甲方可在任何时候以书面形式通知乙方终止合同而不给乙方补偿。</w:t>
      </w:r>
    </w:p>
    <w:p w14:paraId="0C1D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（4）如果乙方在履行合同过程中有不正当竞争行为，甲方有权解除合同，并按《中华人民共和国反不正当竞争法》规定由有关部门追究其法律责任。</w:t>
      </w:r>
    </w:p>
    <w:p w14:paraId="29701D8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（5）如果合同的履行将损害国家利益或社会公共利益，甲方有权终止合同的履行，给乙方造成损失的予以相应补偿。</w:t>
      </w:r>
    </w:p>
    <w:p w14:paraId="49EBBC95">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18.合同转让和分包</w:t>
      </w:r>
    </w:p>
    <w:p w14:paraId="24E8D44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18.1 乙方不得以任何形式将合同转包。</w:t>
      </w:r>
    </w:p>
    <w:p w14:paraId="578506E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18.2 乙方未在投标文件中说明，不得将</w:t>
      </w:r>
      <w:r>
        <w:rPr>
          <w:rStyle w:val="47"/>
          <w:rFonts w:hint="eastAsia" w:ascii="宋体" w:hAnsi="宋体" w:eastAsia="宋体" w:cs="Times New Roman"/>
          <w:bCs/>
          <w:color w:val="auto"/>
          <w:szCs w:val="21"/>
          <w:highlight w:val="none"/>
        </w:rPr>
        <w:t>合同</w:t>
      </w:r>
      <w:r>
        <w:rPr>
          <w:rStyle w:val="47"/>
          <w:rFonts w:hint="eastAsia" w:ascii="宋体" w:hAnsi="宋体" w:eastAsia="宋体" w:cs="Times New Roman"/>
          <w:color w:val="auto"/>
          <w:szCs w:val="21"/>
          <w:highlight w:val="none"/>
        </w:rPr>
        <w:t>的非主体、非关键性工作分包给他人。</w:t>
      </w:r>
    </w:p>
    <w:p w14:paraId="6B7DBA90">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19.不可抗力</w:t>
      </w:r>
    </w:p>
    <w:p w14:paraId="66A6BBE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19.1 不可抗力是指合同双方不可预见、不可避免、不可克服的自然灾害和社会事件。</w:t>
      </w:r>
    </w:p>
    <w:p w14:paraId="3FEA23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19.2 任何一方对由于不可抗力造成的部分或全部不能履行合同不承担违约责任。但迟延履行后发生不可抗力的，不能免除责任。</w:t>
      </w:r>
    </w:p>
    <w:p w14:paraId="21F5E06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19.3 遇有不可抗力的一方，应在三日内将事件的情况以书面形式通知另一方，并在事件发生后十日内，向另一方提交合同不能履行或部分不能履行或需要延期履行理由的报告。</w:t>
      </w:r>
    </w:p>
    <w:p w14:paraId="3E4F6E1C">
      <w:pPr>
        <w:pStyle w:val="196"/>
        <w:autoSpaceDE w:val="0"/>
        <w:autoSpaceDN w:val="0"/>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20.解决争议的方法</w:t>
      </w:r>
    </w:p>
    <w:p w14:paraId="4CE60E5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20.1 合同各方应通过友好协商，解决在执行合同过程中所发生的或与合同有关的一切争端。如从协商开始后十日内仍不能解决，可以向财政部门提请调解。</w:t>
      </w:r>
    </w:p>
    <w:p w14:paraId="5E49C0D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20.2 调解不成可以按</w:t>
      </w:r>
      <w:r>
        <w:rPr>
          <w:rStyle w:val="47"/>
          <w:rFonts w:hint="eastAsia" w:ascii="宋体" w:hAnsi="宋体" w:eastAsia="宋体" w:cs="Times New Roman"/>
          <w:b/>
          <w:color w:val="auto"/>
          <w:szCs w:val="21"/>
          <w:highlight w:val="none"/>
        </w:rPr>
        <w:t>【政府采购合同专用条款】</w:t>
      </w:r>
      <w:r>
        <w:rPr>
          <w:rStyle w:val="47"/>
          <w:rFonts w:hint="eastAsia" w:ascii="宋体" w:hAnsi="宋体" w:eastAsia="宋体" w:cs="Times New Roman"/>
          <w:color w:val="auto"/>
          <w:szCs w:val="21"/>
          <w:highlight w:val="none"/>
        </w:rPr>
        <w:t>中约定中规定下列方式之一提起仲裁或诉讼：</w:t>
      </w:r>
    </w:p>
    <w:p w14:paraId="3DE0FB3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（1）向甲方所在地仲裁机构提起仲裁；</w:t>
      </w:r>
    </w:p>
    <w:p w14:paraId="7A2E421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（2）向甲方所在地人民法院提起诉讼。</w:t>
      </w:r>
    </w:p>
    <w:p w14:paraId="162CAC7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20.3 如仲裁或诉讼事项不影响合同其它部分的履行，则在仲裁或诉讼期间，除正在进行仲裁或诉讼的部分外，合同的其它部分应继续执行。</w:t>
      </w:r>
    </w:p>
    <w:p w14:paraId="72C69D02">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color w:val="auto"/>
          <w:sz w:val="24"/>
          <w:highlight w:val="none"/>
        </w:rPr>
        <w:t>21.法律适用</w:t>
      </w:r>
    </w:p>
    <w:p w14:paraId="70A1597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21.1 本合同适用中华人民共和国现行法律、行政法规和规章，如合同条款与法律、行政法规和规章不一致的，按照法律、行政法规和规章修改本合同。</w:t>
      </w:r>
    </w:p>
    <w:p w14:paraId="7E43A807">
      <w:pPr>
        <w:pStyle w:val="196"/>
        <w:autoSpaceDE w:val="0"/>
        <w:autoSpaceDN w:val="0"/>
        <w:adjustRightInd w:val="0"/>
        <w:snapToGrid w:val="0"/>
        <w:spacing w:before="50" w:line="360" w:lineRule="auto"/>
        <w:jc w:val="left"/>
        <w:rPr>
          <w:rStyle w:val="47"/>
          <w:rFonts w:hint="eastAsia" w:ascii="宋体" w:hAnsi="宋体" w:eastAsia="宋体" w:cs="Times New Roman"/>
          <w:b/>
          <w:color w:val="auto"/>
          <w:sz w:val="24"/>
          <w:highlight w:val="none"/>
        </w:rPr>
      </w:pPr>
      <w:r>
        <w:rPr>
          <w:rStyle w:val="47"/>
          <w:rFonts w:hint="eastAsia" w:ascii="宋体" w:hAnsi="宋体" w:eastAsia="宋体" w:cs="Times New Roman"/>
          <w:b/>
          <w:bCs/>
          <w:color w:val="auto"/>
          <w:sz w:val="24"/>
          <w:highlight w:val="none"/>
        </w:rPr>
        <w:t>22.</w:t>
      </w:r>
      <w:r>
        <w:rPr>
          <w:rStyle w:val="47"/>
          <w:rFonts w:hint="eastAsia" w:ascii="宋体" w:hAnsi="宋体" w:eastAsia="宋体" w:cs="Times New Roman"/>
          <w:b/>
          <w:color w:val="auto"/>
          <w:sz w:val="24"/>
          <w:highlight w:val="none"/>
        </w:rPr>
        <w:t>通知</w:t>
      </w:r>
    </w:p>
    <w:p w14:paraId="386B185E">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22.1本合同一方给另一方的通知均应采用书面形式，传真或快递送到本合同中规定的对方的地址和办理签收手续，</w:t>
      </w:r>
    </w:p>
    <w:p w14:paraId="091F473D">
      <w:pPr>
        <w:pStyle w:val="196"/>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22.2通知以送到之日或通知书中规定的生效之日起生效，两者中以较迟之日为准。</w:t>
      </w:r>
    </w:p>
    <w:p w14:paraId="7AAF9839">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23. 合同未尽事项</w:t>
      </w:r>
    </w:p>
    <w:p w14:paraId="65AAB947">
      <w:pPr>
        <w:pStyle w:val="196"/>
        <w:adjustRightInd w:val="0"/>
        <w:snapToGrid w:val="0"/>
        <w:spacing w:before="50" w:line="360" w:lineRule="auto"/>
        <w:ind w:firstLine="420" w:firstLineChars="200"/>
        <w:jc w:val="left"/>
        <w:rPr>
          <w:rStyle w:val="47"/>
          <w:rFonts w:hint="eastAsia" w:ascii="宋体" w:hAnsi="宋体" w:eastAsia="宋体" w:cs="Times New Roman"/>
          <w:bCs/>
          <w:color w:val="auto"/>
          <w:szCs w:val="21"/>
          <w:highlight w:val="none"/>
        </w:rPr>
      </w:pPr>
      <w:r>
        <w:rPr>
          <w:rStyle w:val="47"/>
          <w:rFonts w:hint="eastAsia" w:ascii="宋体" w:hAnsi="宋体" w:eastAsia="宋体" w:cs="Times New Roman"/>
          <w:bCs/>
          <w:color w:val="auto"/>
          <w:szCs w:val="21"/>
          <w:highlight w:val="none"/>
        </w:rPr>
        <w:t>23.1合同未尽事项见</w:t>
      </w:r>
      <w:r>
        <w:rPr>
          <w:rStyle w:val="47"/>
          <w:rFonts w:hint="eastAsia" w:ascii="宋体" w:hAnsi="宋体" w:eastAsia="宋体" w:cs="Times New Roman"/>
          <w:b/>
          <w:color w:val="auto"/>
          <w:szCs w:val="21"/>
          <w:highlight w:val="none"/>
        </w:rPr>
        <w:t>【政府采购合同专用条款】。</w:t>
      </w:r>
    </w:p>
    <w:p w14:paraId="23C88ED1">
      <w:pPr>
        <w:pStyle w:val="196"/>
        <w:adjustRightInd w:val="0"/>
        <w:snapToGrid w:val="0"/>
        <w:spacing w:before="50" w:line="360" w:lineRule="auto"/>
        <w:jc w:val="left"/>
        <w:rPr>
          <w:rStyle w:val="47"/>
          <w:rFonts w:hint="eastAsia" w:ascii="宋体" w:hAnsi="宋体" w:eastAsia="宋体" w:cs="Times New Roman"/>
          <w:b/>
          <w:bCs/>
          <w:color w:val="auto"/>
          <w:sz w:val="24"/>
          <w:highlight w:val="none"/>
        </w:rPr>
      </w:pPr>
      <w:r>
        <w:rPr>
          <w:rStyle w:val="47"/>
          <w:rFonts w:hint="eastAsia" w:ascii="宋体" w:hAnsi="宋体" w:eastAsia="宋体" w:cs="Times New Roman"/>
          <w:b/>
          <w:bCs/>
          <w:color w:val="auto"/>
          <w:sz w:val="24"/>
          <w:highlight w:val="none"/>
        </w:rPr>
        <w:t>24.合同生效</w:t>
      </w:r>
    </w:p>
    <w:p w14:paraId="59208F30">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color w:val="auto"/>
          <w:sz w:val="32"/>
          <w:highlight w:val="none"/>
        </w:rPr>
      </w:pPr>
      <w:r>
        <w:rPr>
          <w:rStyle w:val="47"/>
          <w:rFonts w:hint="eastAsia" w:ascii="宋体" w:hAnsi="宋体" w:eastAsia="宋体" w:cs="Times New Roman"/>
          <w:color w:val="auto"/>
          <w:szCs w:val="21"/>
          <w:highlight w:val="none"/>
        </w:rPr>
        <w:t>24.1 本合同在合同双方签字盖章后生效。</w:t>
      </w:r>
      <w:r>
        <w:rPr>
          <w:rStyle w:val="47"/>
          <w:rFonts w:hint="eastAsia" w:ascii="黑体" w:hAnsi="黑体" w:eastAsia="黑体" w:cs="Times New Roman"/>
          <w:b/>
          <w:bCs/>
          <w:color w:val="auto"/>
          <w:sz w:val="32"/>
          <w:highlight w:val="none"/>
        </w:rPr>
        <w:br w:type="page"/>
      </w:r>
    </w:p>
    <w:p w14:paraId="354BBA66">
      <w:pPr>
        <w:pStyle w:val="136"/>
        <w:adjustRightInd w:val="0"/>
        <w:snapToGrid w:val="0"/>
        <w:jc w:val="center"/>
        <w:rPr>
          <w:rStyle w:val="47"/>
          <w:rFonts w:hint="eastAsia" w:ascii="黑体" w:hAnsi="华文中宋" w:eastAsia="黑体" w:cs="Times New Roman"/>
          <w:color w:val="auto"/>
          <w:sz w:val="28"/>
          <w:szCs w:val="28"/>
          <w:highlight w:val="none"/>
        </w:rPr>
      </w:pPr>
      <w:bookmarkStart w:id="32" w:name="_Toc256000042"/>
      <w:bookmarkStart w:id="33" w:name="_Toc29913947"/>
      <w:r>
        <w:rPr>
          <w:rStyle w:val="47"/>
          <w:rFonts w:hint="eastAsia" w:ascii="黑体" w:hAnsi="华文中宋" w:eastAsia="黑体" w:cs="Times New Roman"/>
          <w:color w:val="auto"/>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095284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2A1B881D">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CC55E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1E249537">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7B78A518">
            <w:pPr>
              <w:pStyle w:val="203"/>
              <w:adjustRightInd w:val="0"/>
              <w:snapToGrid w:val="0"/>
              <w:spacing w:line="360" w:lineRule="auto"/>
              <w:jc w:val="left"/>
              <w:rPr>
                <w:rStyle w:val="47"/>
                <w:rFonts w:ascii="宋体" w:hAnsi="宋体" w:eastAsia="宋体" w:cs="Times New Roman"/>
                <w:color w:val="auto"/>
                <w:szCs w:val="21"/>
                <w:highlight w:val="none"/>
                <w:u w:val="single"/>
              </w:rPr>
            </w:pPr>
            <w:r>
              <w:rPr>
                <w:rStyle w:val="47"/>
                <w:rFonts w:hint="eastAsia" w:ascii="宋体" w:hAnsi="宋体" w:eastAsia="宋体" w:cs="Times New Roman"/>
                <w:color w:val="auto"/>
                <w:szCs w:val="21"/>
                <w:highlight w:val="none"/>
              </w:rPr>
              <w:t>名称：</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p w14:paraId="2AE59FE5">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地址：</w:t>
            </w:r>
            <w:r>
              <w:rPr>
                <w:rStyle w:val="47"/>
                <w:rFonts w:hint="eastAsia" w:ascii="宋体" w:hAnsi="宋体" w:eastAsia="宋体" w:cs="Times New Roman"/>
                <w:color w:val="auto"/>
                <w:szCs w:val="21"/>
                <w:highlight w:val="none"/>
                <w:u w:val="single"/>
              </w:rPr>
              <w:t xml:space="preserve">    </w:t>
            </w:r>
            <w:r>
              <w:rPr>
                <w:rStyle w:val="47"/>
                <w:rFonts w:hint="eastAsia" w:ascii="宋体" w:hAnsi="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r>
              <w:rPr>
                <w:rStyle w:val="47"/>
                <w:rFonts w:hint="eastAsia" w:ascii="宋体" w:hAnsi="宋体" w:eastAsia="宋体" w:cs="Times New Roman"/>
                <w:color w:val="auto"/>
                <w:szCs w:val="21"/>
                <w:highlight w:val="none"/>
                <w:u w:val="single"/>
                <w:lang w:val="en-US" w:eastAsia="zh-CN"/>
              </w:rPr>
              <w:t xml:space="preserve">  </w:t>
            </w:r>
            <w:r>
              <w:rPr>
                <w:rStyle w:val="47"/>
                <w:rFonts w:hint="eastAsia" w:ascii="宋体" w:hAnsi="宋体" w:eastAsia="宋体" w:cs="Times New Roman"/>
                <w:color w:val="auto"/>
                <w:szCs w:val="21"/>
                <w:highlight w:val="none"/>
                <w:u w:val="single"/>
              </w:rPr>
              <w:t xml:space="preserve"> </w:t>
            </w:r>
          </w:p>
        </w:tc>
      </w:tr>
      <w:tr w14:paraId="015EA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04D306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0239F6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000F23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8DC03C8">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786F4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2EBC77B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A1F0562">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2A27740">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28B4DC33">
            <w:pPr>
              <w:pStyle w:val="204"/>
              <w:adjustRightInd w:val="0"/>
              <w:snapToGrid w:val="0"/>
              <w:spacing w:line="360" w:lineRule="auto"/>
              <w:jc w:val="left"/>
              <w:rPr>
                <w:rStyle w:val="47"/>
                <w:rFonts w:ascii="宋体" w:hAnsi="宋体"/>
                <w:color w:val="auto"/>
                <w:szCs w:val="21"/>
                <w:highlight w:val="none"/>
              </w:rPr>
            </w:pPr>
            <w:r>
              <w:rPr>
                <w:rStyle w:val="47"/>
                <w:rFonts w:hint="eastAsia"/>
                <w:color w:val="auto"/>
                <w:highlight w:val="none"/>
                <w:lang w:val="en-US" w:eastAsia="zh-CN"/>
              </w:rPr>
              <w:t xml:space="preserve"> </w:t>
            </w:r>
          </w:p>
        </w:tc>
      </w:tr>
      <w:tr w14:paraId="423878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774DEBA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322873BA">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CCF8D43">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F437583">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4D748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B2FC44">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5FA5EEBC">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7196E22">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CA371CC">
            <w:pPr>
              <w:pStyle w:val="204"/>
              <w:adjustRightInd w:val="0"/>
              <w:snapToGrid w:val="0"/>
              <w:spacing w:line="360" w:lineRule="auto"/>
              <w:jc w:val="left"/>
              <w:rPr>
                <w:rStyle w:val="47"/>
                <w:rFonts w:ascii="宋体" w:hAnsi="宋体"/>
                <w:color w:val="auto"/>
                <w:szCs w:val="21"/>
                <w:highlight w:val="none"/>
                <w:u w:val="single"/>
              </w:rPr>
            </w:pPr>
            <w:r>
              <w:rPr>
                <w:rStyle w:val="47"/>
                <w:rFonts w:hint="eastAsia"/>
                <w:color w:val="auto"/>
                <w:highlight w:val="none"/>
                <w:lang w:val="en-US" w:eastAsia="zh-CN"/>
              </w:rPr>
              <w:t xml:space="preserve"> </w:t>
            </w:r>
          </w:p>
        </w:tc>
      </w:tr>
      <w:tr w14:paraId="72B43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514657D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12D67BA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7D6F956A">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合同价款支付方式</w:t>
            </w:r>
            <w:r>
              <w:rPr>
                <w:rStyle w:val="47"/>
                <w:rFonts w:hint="eastAsia" w:ascii="宋体" w:hAnsi="宋体" w:eastAsia="宋体" w:cs="Times New Roman"/>
                <w:bCs/>
                <w:color w:val="auto"/>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AE56CBC">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4DFA4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7D51003">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032CD6E7">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2C9CAA5">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8D0BD30">
            <w:pPr>
              <w:pStyle w:val="204"/>
              <w:adjustRightInd w:val="0"/>
              <w:snapToGrid w:val="0"/>
              <w:spacing w:line="360" w:lineRule="auto"/>
              <w:jc w:val="left"/>
              <w:rPr>
                <w:rStyle w:val="47"/>
                <w:rFonts w:hint="eastAsia" w:ascii="宋体" w:hAnsi="宋体" w:eastAsia="宋体"/>
                <w:color w:val="auto"/>
                <w:szCs w:val="21"/>
                <w:highlight w:val="none"/>
                <w:lang w:eastAsia="zh-CN"/>
              </w:rPr>
            </w:pPr>
            <w:r>
              <w:rPr>
                <w:rStyle w:val="47"/>
                <w:rFonts w:hint="eastAsia"/>
                <w:color w:val="auto"/>
                <w:highlight w:val="none"/>
                <w:lang w:val="en-US" w:eastAsia="zh-CN"/>
              </w:rPr>
              <w:t xml:space="preserve"> </w:t>
            </w:r>
          </w:p>
        </w:tc>
      </w:tr>
      <w:tr w14:paraId="36A9C3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0FB43F68">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6971E3E8">
            <w:pPr>
              <w:pStyle w:val="202"/>
              <w:adjustRightInd w:val="0"/>
              <w:snapToGrid w:val="0"/>
              <w:spacing w:line="360" w:lineRule="auto"/>
              <w:jc w:val="center"/>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C0782AC">
            <w:pPr>
              <w:pStyle w:val="202"/>
              <w:adjustRightInd w:val="0"/>
              <w:snapToGrid w:val="0"/>
              <w:spacing w:line="360" w:lineRule="auto"/>
              <w:jc w:val="left"/>
              <w:rPr>
                <w:rStyle w:val="47"/>
                <w:rFonts w:ascii="宋体" w:hAnsi="宋体" w:eastAsia="宋体" w:cs="Times New Roman"/>
                <w:bCs/>
                <w:color w:val="auto"/>
                <w:szCs w:val="21"/>
                <w:highlight w:val="none"/>
              </w:rPr>
            </w:pPr>
            <w:r>
              <w:rPr>
                <w:rStyle w:val="47"/>
                <w:rFonts w:hint="eastAsia" w:ascii="宋体" w:hAnsi="宋体" w:eastAsia="宋体" w:cs="Times New Roman"/>
                <w:color w:val="auto"/>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5498A09F">
            <w:pPr>
              <w:pStyle w:val="203"/>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cs="Times New Roman"/>
                <w:color w:val="auto"/>
                <w:szCs w:val="21"/>
                <w:highlight w:val="none"/>
                <w:lang w:eastAsia="zh-CN"/>
              </w:rPr>
              <w:t>□</w:t>
            </w:r>
            <w:r>
              <w:rPr>
                <w:rStyle w:val="47"/>
                <w:rFonts w:hint="eastAsia" w:ascii="宋体" w:hAnsi="宋体" w:eastAsia="宋体" w:cs="Times New Roman"/>
                <w:color w:val="auto"/>
                <w:szCs w:val="21"/>
                <w:highlight w:val="none"/>
              </w:rPr>
              <w:t xml:space="preserve"> 诉讼</w:t>
            </w:r>
          </w:p>
          <w:p w14:paraId="16135E01">
            <w:pPr>
              <w:pStyle w:val="203"/>
              <w:adjustRightInd w:val="0"/>
              <w:snapToGrid w:val="0"/>
              <w:spacing w:line="360" w:lineRule="auto"/>
              <w:jc w:val="left"/>
              <w:rPr>
                <w:rStyle w:val="47"/>
                <w:rFonts w:ascii="宋体" w:hAnsi="宋体"/>
                <w:color w:val="auto"/>
                <w:szCs w:val="21"/>
                <w:highlight w:val="none"/>
              </w:rPr>
            </w:pPr>
            <w:r>
              <w:rPr>
                <w:rStyle w:val="47"/>
                <w:rFonts w:hint="eastAsia" w:ascii="宋体" w:hAnsi="宋体" w:eastAsia="宋体" w:cs="Times New Roman"/>
                <w:color w:val="auto"/>
                <w:szCs w:val="21"/>
                <w:highlight w:val="none"/>
              </w:rPr>
              <w:t>□ 仲裁</w:t>
            </w:r>
          </w:p>
        </w:tc>
      </w:tr>
      <w:tr w14:paraId="551335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6ECA2ED0">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本章第二节</w:t>
            </w:r>
          </w:p>
          <w:p w14:paraId="2449AEFE">
            <w:pPr>
              <w:pStyle w:val="202"/>
              <w:adjustRightInd w:val="0"/>
              <w:snapToGrid w:val="0"/>
              <w:spacing w:line="360" w:lineRule="auto"/>
              <w:jc w:val="center"/>
              <w:rPr>
                <w:rStyle w:val="47"/>
                <w:rFonts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6A92E46D">
            <w:pPr>
              <w:pStyle w:val="202"/>
              <w:adjustRightInd w:val="0"/>
              <w:snapToGrid w:val="0"/>
              <w:spacing w:line="360" w:lineRule="auto"/>
              <w:jc w:val="left"/>
              <w:rPr>
                <w:rStyle w:val="47"/>
                <w:rFonts w:ascii="宋体" w:hAnsi="宋体" w:eastAsia="宋体" w:cs="Times New Roman"/>
                <w:color w:val="auto"/>
                <w:szCs w:val="21"/>
                <w:highlight w:val="none"/>
              </w:rPr>
            </w:pPr>
            <w:r>
              <w:rPr>
                <w:rStyle w:val="47"/>
                <w:rFonts w:hint="eastAsia" w:ascii="宋体" w:hAnsi="宋体" w:eastAsia="宋体" w:cs="Times New Roman"/>
                <w:bCs/>
                <w:color w:val="auto"/>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75D4834A">
            <w:pPr>
              <w:pStyle w:val="203"/>
              <w:adjustRightInd w:val="0"/>
              <w:snapToGrid w:val="0"/>
              <w:spacing w:line="360" w:lineRule="auto"/>
              <w:jc w:val="left"/>
              <w:rPr>
                <w:rStyle w:val="47"/>
                <w:rFonts w:ascii="宋体" w:hAnsi="宋体"/>
                <w:color w:val="auto"/>
                <w:szCs w:val="21"/>
                <w:highlight w:val="none"/>
                <w:u w:val="single"/>
              </w:rPr>
            </w:pPr>
          </w:p>
        </w:tc>
      </w:tr>
    </w:tbl>
    <w:p w14:paraId="3FDE5F2C">
      <w:pPr>
        <w:rPr>
          <w:color w:val="auto"/>
          <w:highlight w:val="none"/>
        </w:rPr>
      </w:pPr>
    </w:p>
    <w:p w14:paraId="519E20BE">
      <w:pPr>
        <w:rPr>
          <w:rFonts w:hint="eastAsia" w:ascii="宋体" w:hAnsi="宋体" w:eastAsia="宋体" w:cs="宋体"/>
          <w:color w:val="auto"/>
          <w:sz w:val="32"/>
          <w:szCs w:val="32"/>
          <w:highlight w:val="none"/>
        </w:rPr>
      </w:pPr>
    </w:p>
    <w:p w14:paraId="3B9F7F2F">
      <w:pPr>
        <w:rPr>
          <w:rFonts w:hint="eastAsia" w:ascii="宋体" w:hAnsi="宋体" w:eastAsia="宋体" w:cs="宋体"/>
          <w:color w:val="auto"/>
          <w:sz w:val="32"/>
          <w:szCs w:val="32"/>
          <w:highlight w:val="none"/>
        </w:rPr>
      </w:pPr>
    </w:p>
    <w:p w14:paraId="06C16593">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color w:val="auto"/>
          <w:kern w:val="0"/>
          <w:sz w:val="28"/>
          <w:szCs w:val="28"/>
          <w:highlight w:val="none"/>
          <w:lang w:val="en-US" w:eastAsia="zh-CN" w:bidi="ar-SA"/>
        </w:rPr>
        <w:t>廉政协议书</w:t>
      </w:r>
    </w:p>
    <w:p w14:paraId="16CA01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甲方：中国医学科学院皮肤病医院（中国医学科学院皮肤病研究所）</w:t>
      </w:r>
    </w:p>
    <w:p w14:paraId="2FE4AA0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乙方：</w:t>
      </w:r>
    </w:p>
    <w:p w14:paraId="2A177C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p>
    <w:p w14:paraId="3D3AC5E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一、甲方不得以任何方式向乙方索取回扣，不得要求乙方代支任何费用。</w:t>
      </w:r>
    </w:p>
    <w:p w14:paraId="00A2DF4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二、甲方和工作人员以暗示或其他形式索要回扣、提成、有价证券、现金、信用卡、购物卡等，乙方应予拒绝，并如实向甲方纪检监察部门反映情况。</w:t>
      </w:r>
    </w:p>
    <w:p w14:paraId="4C38E01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7456EFA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3571CD8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02EFDAC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六、甲方和工作人员如违反以上条款的，将按国家法律、法规和相关制度给予处理，涉嫌违法的，交由执法部门处理。</w:t>
      </w:r>
    </w:p>
    <w:p w14:paraId="65EC2C4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七、本协议书作为购销合同的附件，与购销合同一并执行，具有同等的法律效力。</w:t>
      </w:r>
    </w:p>
    <w:p w14:paraId="5B465E1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八、本协议书一式两份，甲、乙双方各执一份，并从签订之日起生效。</w:t>
      </w:r>
    </w:p>
    <w:p w14:paraId="664473F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甲方：（盖章）</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乙方：（盖章）</w:t>
      </w:r>
    </w:p>
    <w:p w14:paraId="677E318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法人代表（或授权人）签名：</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ab/>
      </w:r>
    </w:p>
    <w:p w14:paraId="546754C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color w:val="auto"/>
          <w:szCs w:val="21"/>
          <w:highlight w:val="none"/>
        </w:rPr>
      </w:pPr>
      <w:r>
        <w:rPr>
          <w:rStyle w:val="47"/>
          <w:rFonts w:hint="eastAsia" w:ascii="宋体" w:hAnsi="宋体" w:eastAsia="宋体" w:cs="Times New Roman"/>
          <w:color w:val="auto"/>
          <w:szCs w:val="21"/>
          <w:highlight w:val="none"/>
        </w:rPr>
        <w:t>年    月    日</w:t>
      </w:r>
      <w:r>
        <w:rPr>
          <w:rStyle w:val="47"/>
          <w:rFonts w:hint="eastAsia" w:ascii="宋体" w:hAnsi="宋体" w:eastAsia="宋体" w:cs="Times New Roman"/>
          <w:color w:val="auto"/>
          <w:szCs w:val="21"/>
          <w:highlight w:val="none"/>
        </w:rPr>
        <w:tab/>
      </w:r>
      <w:r>
        <w:rPr>
          <w:rStyle w:val="47"/>
          <w:rFonts w:hint="eastAsia" w:ascii="宋体" w:hAnsi="宋体" w:eastAsia="宋体" w:cs="Times New Roman"/>
          <w:color w:val="auto"/>
          <w:szCs w:val="21"/>
          <w:highlight w:val="none"/>
        </w:rPr>
        <w:t xml:space="preserve">                      </w:t>
      </w:r>
      <w:r>
        <w:rPr>
          <w:rStyle w:val="47"/>
          <w:rFonts w:hint="eastAsia" w:ascii="宋体" w:hAnsi="宋体" w:cs="Times New Roman"/>
          <w:color w:val="auto"/>
          <w:szCs w:val="21"/>
          <w:highlight w:val="none"/>
          <w:lang w:val="en-US" w:eastAsia="zh-CN"/>
        </w:rPr>
        <w:t xml:space="preserve">    </w:t>
      </w:r>
      <w:r>
        <w:rPr>
          <w:rStyle w:val="47"/>
          <w:rFonts w:hint="eastAsia" w:ascii="宋体" w:hAnsi="宋体" w:eastAsia="宋体" w:cs="Times New Roman"/>
          <w:color w:val="auto"/>
          <w:szCs w:val="21"/>
          <w:highlight w:val="none"/>
        </w:rPr>
        <w:t>年    月    日</w:t>
      </w:r>
    </w:p>
    <w:p w14:paraId="573CEC71">
      <w:pPr>
        <w:rPr>
          <w:rFonts w:hint="eastAsia" w:ascii="宋体" w:hAnsi="宋体" w:eastAsia="宋体" w:cs="宋体"/>
          <w:color w:val="auto"/>
          <w:sz w:val="32"/>
          <w:szCs w:val="32"/>
          <w:highlight w:val="none"/>
        </w:rPr>
      </w:pPr>
    </w:p>
    <w:p w14:paraId="4D903A55">
      <w:pPr>
        <w:pStyle w:val="2"/>
        <w:rPr>
          <w:rFonts w:hint="eastAsia"/>
          <w:color w:val="auto"/>
          <w:highlight w:val="none"/>
        </w:rPr>
      </w:pPr>
    </w:p>
    <w:p w14:paraId="142F1C7B">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3C16CBC">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14:paraId="52DE7B82">
      <w:pPr>
        <w:widowControl/>
        <w:adjustRightInd w:val="0"/>
        <w:spacing w:line="240" w:lineRule="atLeast"/>
        <w:jc w:val="left"/>
        <w:rPr>
          <w:rFonts w:hint="eastAsia" w:ascii="宋体" w:hAnsi="宋体" w:eastAsia="宋体" w:cs="宋体"/>
          <w:b/>
          <w:bCs/>
          <w:color w:val="auto"/>
          <w:szCs w:val="21"/>
          <w:highlight w:val="none"/>
        </w:rPr>
      </w:pPr>
    </w:p>
    <w:p w14:paraId="052D8BDC">
      <w:pPr>
        <w:spacing w:line="440" w:lineRule="exact"/>
        <w:rPr>
          <w:rFonts w:hint="eastAsia" w:ascii="宋体" w:hAnsi="宋体" w:eastAsia="宋体" w:cs="宋体"/>
          <w:color w:val="auto"/>
          <w:sz w:val="20"/>
          <w:szCs w:val="20"/>
          <w:highlight w:val="none"/>
        </w:rPr>
      </w:pPr>
    </w:p>
    <w:p w14:paraId="0B8631B2">
      <w:pPr>
        <w:spacing w:line="440" w:lineRule="exact"/>
        <w:rPr>
          <w:rFonts w:hint="eastAsia" w:ascii="宋体" w:hAnsi="宋体" w:eastAsia="宋体" w:cs="宋体"/>
          <w:color w:val="auto"/>
          <w:sz w:val="20"/>
          <w:szCs w:val="20"/>
          <w:highlight w:val="none"/>
        </w:rPr>
      </w:pPr>
    </w:p>
    <w:p w14:paraId="395D9C7B">
      <w:pPr>
        <w:spacing w:line="440" w:lineRule="exact"/>
        <w:rPr>
          <w:rFonts w:hint="eastAsia" w:ascii="宋体" w:hAnsi="宋体" w:eastAsia="宋体" w:cs="宋体"/>
          <w:color w:val="auto"/>
          <w:sz w:val="20"/>
          <w:szCs w:val="20"/>
          <w:highlight w:val="none"/>
        </w:rPr>
      </w:pPr>
    </w:p>
    <w:p w14:paraId="1DE3BB23">
      <w:pPr>
        <w:spacing w:line="440" w:lineRule="exact"/>
        <w:rPr>
          <w:rFonts w:hint="eastAsia" w:ascii="宋体" w:hAnsi="宋体" w:eastAsia="宋体" w:cs="宋体"/>
          <w:color w:val="auto"/>
          <w:sz w:val="20"/>
          <w:szCs w:val="20"/>
          <w:highlight w:val="none"/>
        </w:rPr>
      </w:pPr>
    </w:p>
    <w:p w14:paraId="099CF399">
      <w:pPr>
        <w:spacing w:line="440" w:lineRule="exact"/>
        <w:rPr>
          <w:rFonts w:hint="eastAsia" w:ascii="宋体" w:hAnsi="宋体" w:eastAsia="宋体" w:cs="宋体"/>
          <w:color w:val="auto"/>
          <w:sz w:val="20"/>
          <w:szCs w:val="20"/>
          <w:highlight w:val="none"/>
        </w:rPr>
      </w:pPr>
    </w:p>
    <w:p w14:paraId="4D5D7829">
      <w:pPr>
        <w:spacing w:line="440" w:lineRule="exact"/>
        <w:rPr>
          <w:rFonts w:hint="eastAsia" w:ascii="宋体" w:hAnsi="宋体" w:eastAsia="宋体" w:cs="宋体"/>
          <w:color w:val="auto"/>
          <w:sz w:val="20"/>
          <w:szCs w:val="20"/>
          <w:highlight w:val="none"/>
        </w:rPr>
      </w:pPr>
    </w:p>
    <w:p w14:paraId="791E0BED">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14:paraId="45F34E8C">
      <w:pPr>
        <w:jc w:val="center"/>
        <w:rPr>
          <w:rFonts w:hint="eastAsia" w:ascii="宋体" w:hAnsi="宋体" w:eastAsia="宋体" w:cs="宋体"/>
          <w:color w:val="auto"/>
          <w:sz w:val="20"/>
          <w:szCs w:val="20"/>
          <w:highlight w:val="none"/>
        </w:rPr>
      </w:pPr>
    </w:p>
    <w:p w14:paraId="50287CAC">
      <w:pPr>
        <w:rPr>
          <w:rFonts w:hint="eastAsia" w:ascii="宋体" w:hAnsi="宋体" w:eastAsia="宋体" w:cs="宋体"/>
          <w:color w:val="auto"/>
          <w:sz w:val="20"/>
          <w:szCs w:val="20"/>
          <w:highlight w:val="none"/>
        </w:rPr>
      </w:pPr>
    </w:p>
    <w:p w14:paraId="2E8062D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14:paraId="0B5F275A">
      <w:pPr>
        <w:rPr>
          <w:rFonts w:hint="eastAsia" w:ascii="宋体" w:hAnsi="宋体" w:eastAsia="宋体" w:cs="宋体"/>
          <w:color w:val="auto"/>
          <w:sz w:val="28"/>
          <w:szCs w:val="28"/>
          <w:highlight w:val="none"/>
        </w:rPr>
      </w:pPr>
    </w:p>
    <w:p w14:paraId="324D4F06">
      <w:pPr>
        <w:rPr>
          <w:rFonts w:hint="eastAsia" w:ascii="宋体" w:hAnsi="宋体" w:eastAsia="宋体" w:cs="宋体"/>
          <w:color w:val="auto"/>
          <w:sz w:val="28"/>
          <w:szCs w:val="28"/>
          <w:highlight w:val="none"/>
        </w:rPr>
      </w:pPr>
    </w:p>
    <w:p w14:paraId="55124449">
      <w:pPr>
        <w:rPr>
          <w:rFonts w:hint="eastAsia" w:ascii="宋体" w:hAnsi="宋体" w:eastAsia="宋体" w:cs="宋体"/>
          <w:color w:val="auto"/>
          <w:sz w:val="28"/>
          <w:szCs w:val="28"/>
          <w:highlight w:val="none"/>
        </w:rPr>
      </w:pPr>
    </w:p>
    <w:p w14:paraId="2F057274">
      <w:pPr>
        <w:rPr>
          <w:rFonts w:hint="eastAsia" w:ascii="宋体" w:hAnsi="宋体" w:eastAsia="宋体" w:cs="宋体"/>
          <w:color w:val="auto"/>
          <w:sz w:val="28"/>
          <w:szCs w:val="28"/>
          <w:highlight w:val="none"/>
        </w:rPr>
      </w:pPr>
    </w:p>
    <w:p w14:paraId="3858D77E">
      <w:pPr>
        <w:rPr>
          <w:rFonts w:hint="eastAsia" w:ascii="宋体" w:hAnsi="宋体" w:eastAsia="宋体" w:cs="宋体"/>
          <w:color w:val="auto"/>
          <w:sz w:val="28"/>
          <w:szCs w:val="28"/>
          <w:highlight w:val="none"/>
        </w:rPr>
      </w:pPr>
    </w:p>
    <w:p w14:paraId="64BF9048">
      <w:pPr>
        <w:rPr>
          <w:rFonts w:hint="eastAsia" w:ascii="宋体" w:hAnsi="宋体" w:eastAsia="宋体" w:cs="宋体"/>
          <w:color w:val="auto"/>
          <w:sz w:val="28"/>
          <w:szCs w:val="28"/>
          <w:highlight w:val="none"/>
        </w:rPr>
      </w:pPr>
    </w:p>
    <w:p w14:paraId="249FC577">
      <w:pPr>
        <w:rPr>
          <w:rFonts w:hint="eastAsia" w:ascii="宋体" w:hAnsi="宋体" w:eastAsia="宋体" w:cs="宋体"/>
          <w:color w:val="auto"/>
          <w:sz w:val="28"/>
          <w:szCs w:val="28"/>
          <w:highlight w:val="none"/>
        </w:rPr>
      </w:pPr>
    </w:p>
    <w:p w14:paraId="3645D918">
      <w:pPr>
        <w:rPr>
          <w:rFonts w:hint="eastAsia" w:ascii="宋体" w:hAnsi="宋体" w:eastAsia="宋体" w:cs="宋体"/>
          <w:color w:val="auto"/>
          <w:sz w:val="28"/>
          <w:szCs w:val="28"/>
          <w:highlight w:val="none"/>
        </w:rPr>
      </w:pPr>
    </w:p>
    <w:p w14:paraId="311140B9">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14:paraId="0BC5100A">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14:paraId="5F9185F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14:paraId="06647A1F">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CDE4314">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14:paraId="1DBC52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14:paraId="71B31F57">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14:paraId="253BF473">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14:paraId="364411E5">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14:paraId="33D37901">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14:paraId="753F005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14:paraId="6FFA47B3">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我们的资格条件完全符合本次招标要求</w:t>
      </w:r>
      <w:r>
        <w:rPr>
          <w:rFonts w:hint="eastAsia" w:ascii="宋体" w:hAnsi="宋体" w:eastAsia="宋体" w:cs="宋体"/>
          <w:color w:val="auto"/>
          <w:kern w:val="0"/>
          <w:szCs w:val="21"/>
          <w:highlight w:val="none"/>
        </w:rPr>
        <w:t>，我们同意并向贵方提供了与投标有关的所有证据和资料。</w:t>
      </w:r>
    </w:p>
    <w:p w14:paraId="42EB58E2">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14:paraId="33B05594">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14:paraId="6AC743B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14:paraId="0A1DDC3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14:paraId="4C27700B">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14:paraId="19C9F2AD">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53D82F98">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14:paraId="42959D8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14:paraId="5107784F">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14:paraId="3E484CAA">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14:paraId="34E40DC7">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14:paraId="558290F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14:paraId="7B7EBE05">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41D5CB6">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14:paraId="6D856832">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14:paraId="1F4E5065">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14:paraId="10317668">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14:paraId="42AA3127">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14:paraId="594D629E">
      <w:pPr>
        <w:widowControl/>
        <w:shd w:val="clear" w:color="auto" w:fill="FFFFFF"/>
        <w:spacing w:line="360" w:lineRule="auto"/>
        <w:jc w:val="left"/>
        <w:rPr>
          <w:rFonts w:hint="eastAsia" w:ascii="宋体" w:hAnsi="宋体" w:eastAsia="宋体" w:cs="宋体"/>
          <w:color w:val="auto"/>
          <w:kern w:val="0"/>
          <w:szCs w:val="21"/>
          <w:highlight w:val="none"/>
        </w:rPr>
      </w:pPr>
    </w:p>
    <w:p w14:paraId="66E8B25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14:paraId="5CEF26B5">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14:paraId="4D3887E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14:paraId="1B93A50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14:paraId="06C5FB69">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14:paraId="0E84D7DF">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14:paraId="6DD20555">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0423642B">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14:paraId="79B4CA00">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14:paraId="12881BB0">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7AF023B">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D9708F9">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B7F49C6">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14:paraId="34E3F764">
      <w:pPr>
        <w:autoSpaceDE w:val="0"/>
        <w:autoSpaceDN w:val="0"/>
        <w:adjustRightInd w:val="0"/>
        <w:rPr>
          <w:rFonts w:hint="eastAsia" w:ascii="宋体" w:hAnsi="宋体" w:eastAsia="宋体" w:cs="宋体"/>
          <w:b/>
          <w:bCs/>
          <w:color w:val="auto"/>
          <w:highlight w:val="none"/>
          <w:lang w:val="zh-CN"/>
        </w:rPr>
      </w:pPr>
    </w:p>
    <w:p w14:paraId="4729DA2D">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14:paraId="19F212D4">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14:paraId="11BA94CD">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5868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6E8D12D">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14:paraId="34BE8C14">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14:paraId="7A7F26D8">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14:paraId="28F3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FD87D0E">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14:paraId="3717D835">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14:paraId="144E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07557225">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14:paraId="6590D68E">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14:paraId="6DB2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05343678">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14:paraId="464FCF54">
            <w:pPr>
              <w:pStyle w:val="15"/>
              <w:ind w:firstLine="474" w:firstLineChars="225"/>
              <w:jc w:val="center"/>
              <w:rPr>
                <w:rFonts w:hint="eastAsia" w:ascii="宋体" w:hAnsi="宋体" w:eastAsia="宋体" w:cs="宋体"/>
                <w:color w:val="auto"/>
                <w:sz w:val="21"/>
                <w:szCs w:val="21"/>
                <w:highlight w:val="none"/>
              </w:rPr>
            </w:pPr>
          </w:p>
        </w:tc>
      </w:tr>
    </w:tbl>
    <w:p w14:paraId="4B8E4DAF">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13A89D22">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14:paraId="2CFC5ED7">
      <w:pPr>
        <w:widowControl/>
        <w:shd w:val="clear" w:color="auto" w:fill="FFFFFF"/>
        <w:spacing w:line="360" w:lineRule="auto"/>
        <w:jc w:val="left"/>
        <w:rPr>
          <w:rFonts w:hint="eastAsia" w:ascii="宋体" w:hAnsi="宋体" w:eastAsia="宋体" w:cs="宋体"/>
          <w:color w:val="auto"/>
          <w:kern w:val="0"/>
          <w:szCs w:val="21"/>
          <w:highlight w:val="none"/>
        </w:rPr>
      </w:pPr>
    </w:p>
    <w:p w14:paraId="686DED9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BB6B6C5">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1140FBC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14:paraId="1DA864E1">
      <w:pPr>
        <w:widowControl/>
        <w:numPr>
          <w:ilvl w:val="0"/>
          <w:numId w:val="5"/>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14:paraId="6E0801E4">
      <w:pPr>
        <w:widowControl/>
        <w:adjustRightInd w:val="0"/>
        <w:spacing w:line="240" w:lineRule="atLeast"/>
        <w:jc w:val="left"/>
        <w:rPr>
          <w:rFonts w:hint="eastAsia" w:ascii="宋体" w:hAnsi="宋体" w:eastAsia="宋体" w:cs="宋体"/>
          <w:b/>
          <w:bCs/>
          <w:color w:val="auto"/>
          <w:kern w:val="0"/>
          <w:highlight w:val="none"/>
          <w:lang w:val="zh-CN"/>
        </w:rPr>
      </w:pPr>
    </w:p>
    <w:p w14:paraId="2D11793E">
      <w:pPr>
        <w:widowControl/>
        <w:shd w:val="clear" w:color="auto" w:fill="auto"/>
        <w:spacing w:line="240" w:lineRule="auto"/>
        <w:jc w:val="left"/>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br w:type="page"/>
      </w:r>
    </w:p>
    <w:p w14:paraId="1804BBBF">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14:paraId="1E2AA194">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14:paraId="7FE2D977">
      <w:pPr>
        <w:widowControl/>
        <w:shd w:val="clear" w:color="auto" w:fill="FFFFFF"/>
        <w:spacing w:line="360" w:lineRule="auto"/>
        <w:jc w:val="left"/>
        <w:rPr>
          <w:rFonts w:hint="eastAsia" w:ascii="宋体" w:hAnsi="宋体" w:eastAsia="宋体" w:cs="宋体"/>
          <w:color w:val="auto"/>
          <w:kern w:val="0"/>
          <w:highlight w:val="none"/>
        </w:rPr>
      </w:pPr>
    </w:p>
    <w:p w14:paraId="7F3F980B">
      <w:pPr>
        <w:widowControl/>
        <w:shd w:val="clear" w:color="auto" w:fill="FFFFFF"/>
        <w:spacing w:line="360" w:lineRule="auto"/>
        <w:jc w:val="left"/>
        <w:rPr>
          <w:rFonts w:hint="eastAsia" w:ascii="宋体" w:hAnsi="宋体" w:eastAsia="宋体" w:cs="宋体"/>
          <w:color w:val="auto"/>
          <w:kern w:val="0"/>
          <w:szCs w:val="21"/>
          <w:highlight w:val="none"/>
        </w:rPr>
      </w:pPr>
    </w:p>
    <w:p w14:paraId="2E38893F">
      <w:pPr>
        <w:widowControl/>
        <w:shd w:val="clear" w:color="auto" w:fill="FFFFFF"/>
        <w:spacing w:line="360" w:lineRule="auto"/>
        <w:jc w:val="left"/>
        <w:rPr>
          <w:rFonts w:hint="eastAsia" w:ascii="宋体" w:hAnsi="宋体" w:eastAsia="宋体" w:cs="宋体"/>
          <w:color w:val="auto"/>
          <w:kern w:val="0"/>
          <w:szCs w:val="21"/>
          <w:highlight w:val="none"/>
        </w:rPr>
      </w:pPr>
    </w:p>
    <w:p w14:paraId="01BFED68">
      <w:pPr>
        <w:widowControl/>
        <w:shd w:val="clear" w:color="auto" w:fill="FFFFFF"/>
        <w:spacing w:line="360" w:lineRule="auto"/>
        <w:jc w:val="left"/>
        <w:rPr>
          <w:rFonts w:hint="eastAsia" w:ascii="宋体" w:hAnsi="宋体" w:eastAsia="宋体" w:cs="宋体"/>
          <w:color w:val="auto"/>
          <w:kern w:val="0"/>
          <w:szCs w:val="21"/>
          <w:highlight w:val="none"/>
        </w:rPr>
      </w:pPr>
    </w:p>
    <w:p w14:paraId="1E3DD983">
      <w:pPr>
        <w:widowControl/>
        <w:shd w:val="clear" w:color="auto" w:fill="FFFFFF"/>
        <w:spacing w:line="360" w:lineRule="auto"/>
        <w:jc w:val="left"/>
        <w:rPr>
          <w:rFonts w:hint="eastAsia" w:ascii="宋体" w:hAnsi="宋体" w:eastAsia="宋体" w:cs="宋体"/>
          <w:color w:val="auto"/>
          <w:kern w:val="0"/>
          <w:szCs w:val="21"/>
          <w:highlight w:val="none"/>
        </w:rPr>
      </w:pPr>
    </w:p>
    <w:p w14:paraId="22F867D8">
      <w:pPr>
        <w:widowControl/>
        <w:shd w:val="clear" w:color="auto" w:fill="FFFFFF"/>
        <w:spacing w:line="360" w:lineRule="auto"/>
        <w:jc w:val="left"/>
        <w:rPr>
          <w:rFonts w:hint="eastAsia" w:ascii="宋体" w:hAnsi="宋体" w:eastAsia="宋体" w:cs="宋体"/>
          <w:color w:val="auto"/>
          <w:kern w:val="0"/>
          <w:szCs w:val="21"/>
          <w:highlight w:val="none"/>
        </w:rPr>
      </w:pPr>
    </w:p>
    <w:p w14:paraId="1913A52D">
      <w:pPr>
        <w:widowControl/>
        <w:shd w:val="clear" w:color="auto" w:fill="FFFFFF"/>
        <w:spacing w:line="360" w:lineRule="auto"/>
        <w:jc w:val="left"/>
        <w:rPr>
          <w:rFonts w:hint="eastAsia" w:ascii="宋体" w:hAnsi="宋体" w:eastAsia="宋体" w:cs="宋体"/>
          <w:color w:val="auto"/>
          <w:kern w:val="0"/>
          <w:szCs w:val="21"/>
          <w:highlight w:val="none"/>
        </w:rPr>
      </w:pPr>
    </w:p>
    <w:p w14:paraId="74C6742E">
      <w:pPr>
        <w:widowControl/>
        <w:shd w:val="clear" w:color="auto" w:fill="FFFFFF"/>
        <w:spacing w:line="360" w:lineRule="auto"/>
        <w:jc w:val="left"/>
        <w:rPr>
          <w:rFonts w:hint="eastAsia" w:ascii="宋体" w:hAnsi="宋体" w:eastAsia="宋体" w:cs="宋体"/>
          <w:color w:val="auto"/>
          <w:kern w:val="0"/>
          <w:szCs w:val="21"/>
          <w:highlight w:val="none"/>
        </w:rPr>
      </w:pPr>
    </w:p>
    <w:p w14:paraId="6346D9C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9791B6E">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4E8BBF70">
      <w:pPr>
        <w:widowControl/>
        <w:shd w:val="clear" w:color="auto" w:fill="FFFFFF"/>
        <w:spacing w:line="360" w:lineRule="auto"/>
        <w:jc w:val="left"/>
        <w:rPr>
          <w:rFonts w:hint="eastAsia" w:ascii="宋体" w:hAnsi="宋体" w:eastAsia="宋体" w:cs="宋体"/>
          <w:color w:val="auto"/>
          <w:kern w:val="0"/>
          <w:szCs w:val="21"/>
          <w:highlight w:val="none"/>
        </w:rPr>
      </w:pPr>
    </w:p>
    <w:p w14:paraId="74622BC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6B22F5B">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14:paraId="21CF34FC">
      <w:pPr>
        <w:widowControl/>
        <w:shd w:val="clear" w:color="auto" w:fill="FFFFFF"/>
        <w:spacing w:line="360" w:lineRule="auto"/>
        <w:jc w:val="left"/>
        <w:rPr>
          <w:rFonts w:hint="eastAsia" w:ascii="宋体" w:hAnsi="宋体" w:eastAsia="宋体" w:cs="宋体"/>
          <w:color w:val="auto"/>
          <w:kern w:val="0"/>
          <w:szCs w:val="21"/>
          <w:highlight w:val="none"/>
        </w:rPr>
      </w:pPr>
    </w:p>
    <w:p w14:paraId="564C473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CF73533">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0F3F78A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14:paraId="08BC6D95">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F19903E">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14:paraId="35354F4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A41F27E">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FE4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F3A5B64">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14:paraId="6AA4216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14:paraId="0788218E">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14:paraId="7CF97F1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14:paraId="4BD4F555">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05F4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65366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21DCCB5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3EFB0E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B9D404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14034D0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9F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C62AF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0763C15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41F0E85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449FB46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03A220F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3B7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51B599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14:paraId="778CF67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14:paraId="6DDE04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14:paraId="1D64CED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14:paraId="619B464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ED7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0AD4A23">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9DF7F5">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57CBDB9">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55532B1C">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11878D51">
            <w:pPr>
              <w:widowControl/>
              <w:spacing w:line="360" w:lineRule="auto"/>
              <w:jc w:val="center"/>
              <w:rPr>
                <w:rFonts w:hint="eastAsia" w:ascii="宋体" w:hAnsi="宋体" w:eastAsia="宋体" w:cs="宋体"/>
                <w:color w:val="auto"/>
                <w:kern w:val="0"/>
                <w:szCs w:val="21"/>
                <w:highlight w:val="none"/>
              </w:rPr>
            </w:pPr>
          </w:p>
        </w:tc>
      </w:tr>
      <w:tr w14:paraId="6158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560A6634">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4677CC3">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2EA32DB0">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26CFC6D8">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67F3680">
            <w:pPr>
              <w:widowControl/>
              <w:spacing w:line="360" w:lineRule="auto"/>
              <w:jc w:val="center"/>
              <w:rPr>
                <w:rFonts w:hint="eastAsia" w:ascii="宋体" w:hAnsi="宋体" w:eastAsia="宋体" w:cs="宋体"/>
                <w:color w:val="auto"/>
                <w:kern w:val="0"/>
                <w:szCs w:val="21"/>
                <w:highlight w:val="none"/>
              </w:rPr>
            </w:pPr>
          </w:p>
        </w:tc>
      </w:tr>
      <w:tr w14:paraId="2C45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966772A">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14:paraId="551898EF">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14:paraId="782FD363">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14:paraId="47F7551B">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14:paraId="4C5C9246">
            <w:pPr>
              <w:widowControl/>
              <w:spacing w:line="360" w:lineRule="auto"/>
              <w:jc w:val="center"/>
              <w:rPr>
                <w:rFonts w:hint="eastAsia" w:ascii="宋体" w:hAnsi="宋体" w:eastAsia="宋体" w:cs="宋体"/>
                <w:color w:val="auto"/>
                <w:kern w:val="0"/>
                <w:szCs w:val="21"/>
                <w:highlight w:val="none"/>
              </w:rPr>
            </w:pPr>
          </w:p>
        </w:tc>
      </w:tr>
    </w:tbl>
    <w:p w14:paraId="45330CA4">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4CAA8100">
      <w:pPr>
        <w:widowControl/>
        <w:shd w:val="clear" w:color="auto" w:fill="FFFFFF"/>
        <w:spacing w:line="360" w:lineRule="auto"/>
        <w:jc w:val="left"/>
        <w:rPr>
          <w:rFonts w:hint="eastAsia" w:ascii="宋体" w:hAnsi="宋体" w:eastAsia="宋体" w:cs="宋体"/>
          <w:color w:val="auto"/>
          <w:kern w:val="0"/>
          <w:szCs w:val="21"/>
          <w:highlight w:val="none"/>
        </w:rPr>
      </w:pPr>
    </w:p>
    <w:p w14:paraId="0FF7B4E1">
      <w:pPr>
        <w:widowControl/>
        <w:shd w:val="clear" w:color="auto" w:fill="FFFFFF"/>
        <w:spacing w:line="360" w:lineRule="auto"/>
        <w:jc w:val="left"/>
        <w:rPr>
          <w:rFonts w:hint="eastAsia" w:ascii="宋体" w:hAnsi="宋体" w:eastAsia="宋体" w:cs="宋体"/>
          <w:color w:val="auto"/>
          <w:kern w:val="0"/>
          <w:szCs w:val="21"/>
          <w:highlight w:val="none"/>
        </w:rPr>
      </w:pPr>
    </w:p>
    <w:p w14:paraId="4A46BDDF">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568C23F1">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3E074F13">
      <w:pPr>
        <w:widowControl/>
        <w:shd w:val="clear" w:color="auto" w:fill="FFFFFF"/>
        <w:spacing w:line="360" w:lineRule="auto"/>
        <w:jc w:val="left"/>
        <w:rPr>
          <w:rFonts w:hint="eastAsia" w:ascii="宋体" w:hAnsi="宋体" w:eastAsia="宋体" w:cs="宋体"/>
          <w:color w:val="auto"/>
          <w:kern w:val="0"/>
          <w:szCs w:val="21"/>
          <w:highlight w:val="none"/>
        </w:rPr>
      </w:pPr>
    </w:p>
    <w:p w14:paraId="12855096">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68DB3822">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2478506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4DABAA7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FD11895">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18AED5E0">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4F3BBF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14:paraId="20ABB91A">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7A6F6BD0">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14:paraId="29E33FFE">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14:paraId="05AEEFA5">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877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10AC9B3">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14:paraId="3A3288FC">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14:paraId="1ED50ED8">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14:paraId="1A045ABF">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14:paraId="11E930BD">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14:paraId="3A7F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71835E0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6DDC9DD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44E3CFB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1DBE4AE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0F8312B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A6D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247C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13FE90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50DF08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3657D9A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63AB019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DAE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1F6A38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CF1FD1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22F9DE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012A0F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70C290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943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4BD292E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4D8B5EF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074BDE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73545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59D1840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5E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82EFF7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14:paraId="517B5C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14:paraId="5BC7559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14:paraId="4A5CD88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14:paraId="2F33F5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F60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E3257E3">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C55E1DD">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0B07AF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0A79CB98">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199FA05D">
            <w:pPr>
              <w:widowControl/>
              <w:spacing w:line="360" w:lineRule="auto"/>
              <w:jc w:val="center"/>
              <w:rPr>
                <w:rFonts w:hint="eastAsia" w:ascii="宋体" w:hAnsi="宋体" w:eastAsia="宋体" w:cs="宋体"/>
                <w:color w:val="auto"/>
                <w:kern w:val="0"/>
                <w:szCs w:val="21"/>
                <w:highlight w:val="none"/>
              </w:rPr>
            </w:pPr>
          </w:p>
        </w:tc>
      </w:tr>
      <w:tr w14:paraId="6C2F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A766D67">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14:paraId="17391E70">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14:paraId="052BC8B5">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14:paraId="1DDF0071">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14:paraId="7B642FB6">
            <w:pPr>
              <w:widowControl/>
              <w:spacing w:line="360" w:lineRule="auto"/>
              <w:jc w:val="center"/>
              <w:rPr>
                <w:rFonts w:hint="eastAsia" w:ascii="宋体" w:hAnsi="宋体" w:eastAsia="宋体" w:cs="宋体"/>
                <w:color w:val="auto"/>
                <w:kern w:val="0"/>
                <w:szCs w:val="21"/>
                <w:highlight w:val="none"/>
              </w:rPr>
            </w:pPr>
          </w:p>
        </w:tc>
      </w:tr>
    </w:tbl>
    <w:p w14:paraId="3982417C">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14:paraId="104C98ED">
      <w:pPr>
        <w:widowControl/>
        <w:shd w:val="clear" w:color="auto" w:fill="FFFFFF"/>
        <w:spacing w:line="360" w:lineRule="auto"/>
        <w:jc w:val="left"/>
        <w:rPr>
          <w:rFonts w:hint="eastAsia" w:ascii="宋体" w:hAnsi="宋体" w:eastAsia="宋体" w:cs="宋体"/>
          <w:color w:val="auto"/>
          <w:kern w:val="0"/>
          <w:szCs w:val="21"/>
          <w:highlight w:val="none"/>
        </w:rPr>
      </w:pPr>
    </w:p>
    <w:p w14:paraId="0B74A415">
      <w:pPr>
        <w:widowControl/>
        <w:shd w:val="clear" w:color="auto" w:fill="FFFFFF"/>
        <w:spacing w:line="360" w:lineRule="auto"/>
        <w:jc w:val="left"/>
        <w:rPr>
          <w:rFonts w:hint="eastAsia" w:ascii="宋体" w:hAnsi="宋体" w:eastAsia="宋体" w:cs="宋体"/>
          <w:color w:val="auto"/>
          <w:kern w:val="0"/>
          <w:szCs w:val="21"/>
          <w:highlight w:val="none"/>
        </w:rPr>
      </w:pPr>
    </w:p>
    <w:p w14:paraId="753769E0">
      <w:pPr>
        <w:widowControl/>
        <w:shd w:val="clear" w:color="auto" w:fill="FFFFFF"/>
        <w:spacing w:line="360" w:lineRule="auto"/>
        <w:jc w:val="left"/>
        <w:rPr>
          <w:rFonts w:hint="eastAsia" w:ascii="宋体" w:hAnsi="宋体" w:eastAsia="宋体" w:cs="宋体"/>
          <w:color w:val="auto"/>
          <w:kern w:val="0"/>
          <w:szCs w:val="21"/>
          <w:highlight w:val="none"/>
        </w:rPr>
      </w:pPr>
    </w:p>
    <w:p w14:paraId="0B2FAD58">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7C4FC7FF">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7919A7C">
      <w:pPr>
        <w:widowControl/>
        <w:shd w:val="clear" w:color="auto" w:fill="FFFFFF"/>
        <w:spacing w:line="360" w:lineRule="auto"/>
        <w:jc w:val="left"/>
        <w:rPr>
          <w:rFonts w:hint="eastAsia" w:ascii="宋体" w:hAnsi="宋体" w:eastAsia="宋体" w:cs="宋体"/>
          <w:color w:val="auto"/>
          <w:kern w:val="0"/>
          <w:szCs w:val="21"/>
          <w:highlight w:val="none"/>
        </w:rPr>
      </w:pPr>
    </w:p>
    <w:p w14:paraId="60CB16DD">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092473B9">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14:paraId="5CD7FA29">
      <w:pPr>
        <w:widowControl/>
        <w:shd w:val="clear" w:color="auto" w:fill="FFFFFF"/>
        <w:spacing w:line="360" w:lineRule="auto"/>
        <w:jc w:val="left"/>
        <w:rPr>
          <w:rFonts w:hint="eastAsia" w:ascii="宋体" w:hAnsi="宋体" w:eastAsia="宋体" w:cs="宋体"/>
          <w:color w:val="auto"/>
          <w:kern w:val="0"/>
          <w:szCs w:val="21"/>
          <w:highlight w:val="none"/>
        </w:rPr>
      </w:pPr>
    </w:p>
    <w:p w14:paraId="6EE3BE0F">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14:paraId="3C23BA4C">
      <w:pPr>
        <w:widowControl/>
        <w:shd w:val="clear" w:color="auto" w:fill="FFFFFF"/>
        <w:spacing w:line="360" w:lineRule="auto"/>
        <w:jc w:val="left"/>
        <w:rPr>
          <w:rFonts w:hint="eastAsia" w:ascii="宋体" w:hAnsi="宋体" w:eastAsia="宋体" w:cs="宋体"/>
          <w:b/>
          <w:color w:val="auto"/>
          <w:szCs w:val="21"/>
          <w:highlight w:val="none"/>
          <w:lang w:val="zh-CN"/>
        </w:rPr>
      </w:pPr>
    </w:p>
    <w:p w14:paraId="5E4E6374">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14:paraId="74C8674F">
      <w:pPr>
        <w:pStyle w:val="183"/>
        <w:snapToGrid w:val="0"/>
        <w:spacing w:before="0" w:after="0"/>
        <w:ind w:firstLine="420" w:firstLineChars="200"/>
        <w:rPr>
          <w:rFonts w:hint="eastAsia" w:ascii="宋体" w:hAnsi="宋体" w:eastAsia="宋体" w:cs="宋体"/>
          <w:color w:val="auto"/>
          <w:kern w:val="2"/>
          <w:sz w:val="21"/>
          <w:szCs w:val="21"/>
          <w:highlight w:val="none"/>
        </w:rPr>
      </w:pPr>
    </w:p>
    <w:p w14:paraId="1D8A2F9B">
      <w:pPr>
        <w:widowControl/>
        <w:shd w:val="clear" w:color="auto" w:fill="FFFFFF"/>
        <w:spacing w:line="360" w:lineRule="auto"/>
        <w:jc w:val="left"/>
        <w:rPr>
          <w:rFonts w:hint="eastAsia" w:ascii="宋体" w:hAnsi="宋体" w:eastAsia="宋体" w:cs="宋体"/>
          <w:color w:val="auto"/>
          <w:kern w:val="0"/>
          <w:szCs w:val="21"/>
          <w:highlight w:val="none"/>
        </w:rPr>
      </w:pPr>
    </w:p>
    <w:p w14:paraId="2D3405D7">
      <w:pPr>
        <w:widowControl/>
        <w:shd w:val="clear" w:color="auto" w:fill="FFFFFF"/>
        <w:spacing w:line="360" w:lineRule="auto"/>
        <w:jc w:val="left"/>
        <w:rPr>
          <w:rFonts w:hint="eastAsia" w:ascii="宋体" w:hAnsi="宋体" w:eastAsia="宋体" w:cs="宋体"/>
          <w:color w:val="auto"/>
          <w:kern w:val="0"/>
          <w:szCs w:val="21"/>
          <w:highlight w:val="none"/>
        </w:rPr>
      </w:pPr>
    </w:p>
    <w:p w14:paraId="5D703A6A">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14:paraId="73E5E0E2">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14:paraId="3A83892D">
      <w:pPr>
        <w:widowControl/>
        <w:adjustRightInd w:val="0"/>
        <w:spacing w:line="460" w:lineRule="atLeast"/>
        <w:rPr>
          <w:rFonts w:hint="eastAsia" w:ascii="宋体" w:hAnsi="宋体" w:eastAsia="宋体" w:cs="宋体"/>
          <w:b/>
          <w:bCs/>
          <w:color w:val="auto"/>
          <w:kern w:val="0"/>
          <w:sz w:val="24"/>
          <w:highlight w:val="none"/>
        </w:rPr>
      </w:pPr>
    </w:p>
    <w:p w14:paraId="038D328A">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14:paraId="6BDE5B0D">
      <w:pPr>
        <w:widowControl/>
        <w:adjustRightInd w:val="0"/>
        <w:jc w:val="center"/>
        <w:rPr>
          <w:rFonts w:hint="eastAsia" w:ascii="宋体" w:hAnsi="宋体" w:eastAsia="宋体" w:cs="宋体"/>
          <w:b/>
          <w:bCs/>
          <w:color w:val="auto"/>
          <w:kern w:val="0"/>
          <w:sz w:val="24"/>
          <w:highlight w:val="none"/>
        </w:rPr>
      </w:pPr>
    </w:p>
    <w:p w14:paraId="62F88862">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0B528C6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53CF763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615606F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770DF01E">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712678F3">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3A204CCA">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3CF76C6B">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7157C3A8">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14:paraId="331340F6">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453DD46D">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25422ED7">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58C43CB9">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17D05AE1">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3495F04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83E5EC">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76ED38F">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7B7ADE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731FF05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33BBD0E">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0435AA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888A61F">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2C99947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DC4C670">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54F85D9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D5EF599">
            <w:pPr>
              <w:widowControl/>
              <w:adjustRightInd w:val="0"/>
              <w:rPr>
                <w:rFonts w:hint="eastAsia" w:ascii="宋体" w:hAnsi="宋体" w:eastAsia="宋体" w:cs="宋体"/>
                <w:color w:val="auto"/>
                <w:kern w:val="0"/>
                <w:szCs w:val="21"/>
                <w:highlight w:val="none"/>
              </w:rPr>
            </w:pPr>
          </w:p>
        </w:tc>
      </w:tr>
      <w:tr w14:paraId="3A1B795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31391F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1365C483">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66228BF4">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5D18FB27">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F9876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2666BCDA">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746BF1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7E5F8DD">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9EC1FA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4B6E771">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1FA8BB3">
            <w:pPr>
              <w:widowControl/>
              <w:adjustRightInd w:val="0"/>
              <w:rPr>
                <w:rFonts w:hint="eastAsia" w:ascii="宋体" w:hAnsi="宋体" w:eastAsia="宋体" w:cs="宋体"/>
                <w:color w:val="auto"/>
                <w:kern w:val="0"/>
                <w:szCs w:val="21"/>
                <w:highlight w:val="none"/>
              </w:rPr>
            </w:pPr>
          </w:p>
        </w:tc>
      </w:tr>
      <w:tr w14:paraId="36532BE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E0763B2">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4CC52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C03C568">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6139A33">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F63E5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6BCAAF79">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0DBF05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772B0B25">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58036A45">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6CFCCAD">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9197879">
            <w:pPr>
              <w:widowControl/>
              <w:adjustRightInd w:val="0"/>
              <w:rPr>
                <w:rFonts w:hint="eastAsia" w:ascii="宋体" w:hAnsi="宋体" w:eastAsia="宋体" w:cs="宋体"/>
                <w:color w:val="auto"/>
                <w:kern w:val="0"/>
                <w:szCs w:val="21"/>
                <w:highlight w:val="none"/>
              </w:rPr>
            </w:pPr>
          </w:p>
        </w:tc>
      </w:tr>
      <w:tr w14:paraId="6D9FD1B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62C0A25">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FDA21D0">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1F75C129">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8331D25">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E7F4E1C">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291147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80D1C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401C3736">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6753BDD">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162C1DD8">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20D71713">
            <w:pPr>
              <w:widowControl/>
              <w:adjustRightInd w:val="0"/>
              <w:rPr>
                <w:rFonts w:hint="eastAsia" w:ascii="宋体" w:hAnsi="宋体" w:eastAsia="宋体" w:cs="宋体"/>
                <w:color w:val="auto"/>
                <w:kern w:val="0"/>
                <w:szCs w:val="21"/>
                <w:highlight w:val="none"/>
              </w:rPr>
            </w:pPr>
          </w:p>
        </w:tc>
      </w:tr>
      <w:tr w14:paraId="456919D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046C538">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451DC704">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20E8EBF6">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9DFD90B">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4A3EF43">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39970B2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4DE163B">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1EA2B89E">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7E74B7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09957DDE">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5B1D42F9">
            <w:pPr>
              <w:widowControl/>
              <w:adjustRightInd w:val="0"/>
              <w:rPr>
                <w:rFonts w:hint="eastAsia" w:ascii="宋体" w:hAnsi="宋体" w:eastAsia="宋体" w:cs="宋体"/>
                <w:color w:val="auto"/>
                <w:kern w:val="0"/>
                <w:szCs w:val="21"/>
                <w:highlight w:val="none"/>
              </w:rPr>
            </w:pPr>
          </w:p>
        </w:tc>
      </w:tr>
      <w:tr w14:paraId="35C51CD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658A01E">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031BE5DD">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39734D33">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13AA2044">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911A8C2">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4CF98EB">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F20E08C">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3CC9">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6B9BE963">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7E9D57AC">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6C85DA72">
            <w:pPr>
              <w:widowControl/>
              <w:adjustRightInd w:val="0"/>
              <w:rPr>
                <w:rFonts w:hint="eastAsia" w:ascii="宋体" w:hAnsi="宋体" w:eastAsia="宋体" w:cs="宋体"/>
                <w:color w:val="auto"/>
                <w:kern w:val="0"/>
                <w:szCs w:val="21"/>
                <w:highlight w:val="none"/>
              </w:rPr>
            </w:pPr>
          </w:p>
        </w:tc>
      </w:tr>
      <w:tr w14:paraId="68DC923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173A7C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38051B07">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B5C9440">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04E99008">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2C527AD">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4B298DC7">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D250E73">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631A34D3">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139DB297">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50A1D40">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3D0FD48C">
            <w:pPr>
              <w:widowControl/>
              <w:adjustRightInd w:val="0"/>
              <w:rPr>
                <w:rFonts w:hint="eastAsia" w:ascii="宋体" w:hAnsi="宋体" w:eastAsia="宋体" w:cs="宋体"/>
                <w:color w:val="auto"/>
                <w:kern w:val="0"/>
                <w:szCs w:val="21"/>
                <w:highlight w:val="none"/>
              </w:rPr>
            </w:pPr>
          </w:p>
        </w:tc>
      </w:tr>
      <w:tr w14:paraId="0C95BC88">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4615D03">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14:paraId="28775B3C">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14:paraId="5A7CE2A7">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14:paraId="3702666F">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77E3895">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14:paraId="129065BC">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CA3229A">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14:paraId="3029BFF4">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14:paraId="353B062F">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14:paraId="699FF714">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14:paraId="78962F99">
            <w:pPr>
              <w:widowControl/>
              <w:adjustRightInd w:val="0"/>
              <w:rPr>
                <w:rFonts w:hint="eastAsia" w:ascii="宋体" w:hAnsi="宋体" w:eastAsia="宋体" w:cs="宋体"/>
                <w:color w:val="auto"/>
                <w:kern w:val="0"/>
                <w:szCs w:val="21"/>
                <w:highlight w:val="none"/>
              </w:rPr>
            </w:pPr>
          </w:p>
        </w:tc>
      </w:tr>
    </w:tbl>
    <w:p w14:paraId="1468DF47">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66881A6">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67298C68">
      <w:pPr>
        <w:widowControl/>
        <w:adjustRightInd w:val="0"/>
        <w:rPr>
          <w:rFonts w:hint="eastAsia" w:ascii="宋体" w:hAnsi="宋体" w:eastAsia="宋体" w:cs="宋体"/>
          <w:color w:val="auto"/>
          <w:kern w:val="0"/>
          <w:szCs w:val="21"/>
          <w:highlight w:val="none"/>
        </w:rPr>
      </w:pPr>
    </w:p>
    <w:p w14:paraId="5431F582">
      <w:pPr>
        <w:widowControl/>
        <w:adjustRightInd w:val="0"/>
        <w:rPr>
          <w:rFonts w:hint="eastAsia" w:ascii="宋体" w:hAnsi="宋体" w:eastAsia="宋体" w:cs="宋体"/>
          <w:b/>
          <w:bCs/>
          <w:color w:val="auto"/>
          <w:kern w:val="0"/>
          <w:szCs w:val="21"/>
          <w:highlight w:val="none"/>
        </w:rPr>
      </w:pPr>
    </w:p>
    <w:p w14:paraId="1F8681DB">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14:paraId="7EC8424D">
      <w:pPr>
        <w:widowControl/>
        <w:adjustRightInd w:val="0"/>
        <w:spacing w:line="360" w:lineRule="auto"/>
        <w:jc w:val="center"/>
        <w:rPr>
          <w:rFonts w:hint="eastAsia" w:ascii="宋体" w:hAnsi="宋体" w:eastAsia="宋体" w:cs="宋体"/>
          <w:b/>
          <w:bCs/>
          <w:color w:val="auto"/>
          <w:kern w:val="0"/>
          <w:sz w:val="24"/>
          <w:highlight w:val="none"/>
        </w:rPr>
      </w:pPr>
    </w:p>
    <w:p w14:paraId="5E591AA2">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2453C0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D08A502">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294D31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04AA144E">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3A817FB0">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14:paraId="37C19F65">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30F6579B">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14:paraId="173B9A84">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353909F3">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14:paraId="7AB3AA2A">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0FE2104F">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4B201439">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08CC6E9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35028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2691D9E">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4C19F26">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C5B42">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37DE76C">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1F15FC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7765E0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0C7F3D2">
            <w:pPr>
              <w:widowControl/>
              <w:spacing w:line="400" w:lineRule="atLeast"/>
              <w:jc w:val="center"/>
              <w:rPr>
                <w:rFonts w:hint="eastAsia" w:ascii="宋体" w:hAnsi="宋体" w:eastAsia="宋体" w:cs="宋体"/>
                <w:color w:val="auto"/>
                <w:kern w:val="0"/>
                <w:szCs w:val="21"/>
                <w:highlight w:val="none"/>
              </w:rPr>
            </w:pPr>
          </w:p>
        </w:tc>
      </w:tr>
      <w:tr w14:paraId="5FE2342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9777EA">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D23EFC7">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0E3D20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28C733F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123BED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0A6BAD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28D805D">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898164">
            <w:pPr>
              <w:widowControl/>
              <w:spacing w:line="400" w:lineRule="atLeast"/>
              <w:jc w:val="center"/>
              <w:rPr>
                <w:rFonts w:hint="eastAsia" w:ascii="宋体" w:hAnsi="宋体" w:eastAsia="宋体" w:cs="宋体"/>
                <w:color w:val="auto"/>
                <w:kern w:val="0"/>
                <w:szCs w:val="21"/>
                <w:highlight w:val="none"/>
              </w:rPr>
            </w:pPr>
          </w:p>
        </w:tc>
      </w:tr>
      <w:tr w14:paraId="67D2CF2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0E31B0C8">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2D3CA6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3D0DA50">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6C76993A">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8D8EC95">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C9910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8D6B56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B7C189">
            <w:pPr>
              <w:widowControl/>
              <w:spacing w:line="400" w:lineRule="atLeast"/>
              <w:jc w:val="center"/>
              <w:rPr>
                <w:rFonts w:hint="eastAsia" w:ascii="宋体" w:hAnsi="宋体" w:eastAsia="宋体" w:cs="宋体"/>
                <w:color w:val="auto"/>
                <w:kern w:val="0"/>
                <w:szCs w:val="21"/>
                <w:highlight w:val="none"/>
              </w:rPr>
            </w:pPr>
          </w:p>
        </w:tc>
      </w:tr>
      <w:tr w14:paraId="1F31E87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46A8129">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34C69D">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13F1C73">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D1DE9E5">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03DA9CC8">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91DA38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A5F32">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C7A9FD">
            <w:pPr>
              <w:widowControl/>
              <w:spacing w:line="400" w:lineRule="atLeast"/>
              <w:jc w:val="center"/>
              <w:rPr>
                <w:rFonts w:hint="eastAsia" w:ascii="宋体" w:hAnsi="宋体" w:eastAsia="宋体" w:cs="宋体"/>
                <w:color w:val="auto"/>
                <w:kern w:val="0"/>
                <w:szCs w:val="21"/>
                <w:highlight w:val="none"/>
              </w:rPr>
            </w:pPr>
          </w:p>
        </w:tc>
      </w:tr>
      <w:tr w14:paraId="76AB4D9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B8FD9E3">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126AD5">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0588CFE">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59F9AB0">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B132117">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03D55EB">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8E8A81C">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E04FB4">
            <w:pPr>
              <w:widowControl/>
              <w:spacing w:line="400" w:lineRule="atLeast"/>
              <w:jc w:val="center"/>
              <w:rPr>
                <w:rFonts w:hint="eastAsia" w:ascii="宋体" w:hAnsi="宋体" w:eastAsia="宋体" w:cs="宋体"/>
                <w:color w:val="auto"/>
                <w:kern w:val="0"/>
                <w:szCs w:val="21"/>
                <w:highlight w:val="none"/>
              </w:rPr>
            </w:pPr>
          </w:p>
        </w:tc>
      </w:tr>
      <w:tr w14:paraId="683FEE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642D8A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9AF2138">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8EE3644">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0BD28A3B">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052BA79">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EB09518">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C076155">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30411E1">
            <w:pPr>
              <w:widowControl/>
              <w:spacing w:line="400" w:lineRule="atLeast"/>
              <w:jc w:val="center"/>
              <w:rPr>
                <w:rFonts w:hint="eastAsia" w:ascii="宋体" w:hAnsi="宋体" w:eastAsia="宋体" w:cs="宋体"/>
                <w:color w:val="auto"/>
                <w:kern w:val="0"/>
                <w:szCs w:val="21"/>
                <w:highlight w:val="none"/>
              </w:rPr>
            </w:pPr>
          </w:p>
        </w:tc>
      </w:tr>
      <w:tr w14:paraId="1E54884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C2A2DBC">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3872502B">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B3747D">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10055AFE">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99D1B24">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56D91BA4">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D1F8966">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5CCCA3E">
            <w:pPr>
              <w:widowControl/>
              <w:spacing w:line="400" w:lineRule="atLeast"/>
              <w:jc w:val="center"/>
              <w:rPr>
                <w:rFonts w:hint="eastAsia" w:ascii="宋体" w:hAnsi="宋体" w:eastAsia="宋体" w:cs="宋体"/>
                <w:color w:val="auto"/>
                <w:kern w:val="0"/>
                <w:szCs w:val="21"/>
                <w:highlight w:val="none"/>
              </w:rPr>
            </w:pPr>
          </w:p>
        </w:tc>
      </w:tr>
      <w:tr w14:paraId="0C3789D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66B0E7F5">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7DC384A">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14:paraId="5EEA5ED8">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14:paraId="3AE6A65F">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87BA1FF">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14:paraId="37A39469">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F625A70">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ED82B6E">
            <w:pPr>
              <w:widowControl/>
              <w:spacing w:line="400" w:lineRule="atLeast"/>
              <w:jc w:val="center"/>
              <w:rPr>
                <w:rFonts w:hint="eastAsia" w:ascii="宋体" w:hAnsi="宋体" w:eastAsia="宋体" w:cs="宋体"/>
                <w:color w:val="auto"/>
                <w:kern w:val="0"/>
                <w:szCs w:val="21"/>
                <w:highlight w:val="none"/>
              </w:rPr>
            </w:pPr>
          </w:p>
        </w:tc>
      </w:tr>
    </w:tbl>
    <w:p w14:paraId="0226E813">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14:paraId="1B699A32">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14:paraId="72DB3AD3">
      <w:pPr>
        <w:widowControl/>
        <w:adjustRightInd w:val="0"/>
        <w:spacing w:line="360" w:lineRule="auto"/>
        <w:rPr>
          <w:rFonts w:hint="eastAsia" w:ascii="宋体" w:hAnsi="宋体" w:eastAsia="宋体" w:cs="宋体"/>
          <w:b/>
          <w:bCs/>
          <w:color w:val="auto"/>
          <w:kern w:val="0"/>
          <w:szCs w:val="21"/>
          <w:highlight w:val="none"/>
        </w:rPr>
      </w:pPr>
    </w:p>
    <w:p w14:paraId="503EC720">
      <w:pPr>
        <w:widowControl/>
        <w:adjustRightInd w:val="0"/>
        <w:spacing w:line="360" w:lineRule="auto"/>
        <w:rPr>
          <w:rFonts w:hint="eastAsia" w:ascii="宋体" w:hAnsi="宋体" w:eastAsia="宋体" w:cs="宋体"/>
          <w:b/>
          <w:bCs/>
          <w:color w:val="auto"/>
          <w:kern w:val="0"/>
          <w:szCs w:val="21"/>
          <w:highlight w:val="none"/>
        </w:rPr>
      </w:pPr>
    </w:p>
    <w:p w14:paraId="6F73FF70">
      <w:pPr>
        <w:spacing w:line="360" w:lineRule="auto"/>
        <w:rPr>
          <w:rFonts w:hint="eastAsia" w:ascii="宋体" w:hAnsi="宋体" w:eastAsia="宋体" w:cs="宋体"/>
          <w:color w:val="auto"/>
          <w:highlight w:val="none"/>
        </w:rPr>
      </w:pPr>
    </w:p>
    <w:p w14:paraId="0AC4C21E">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cs="宋体"/>
          <w:b/>
          <w:color w:val="auto"/>
          <w:highlight w:val="none"/>
          <w:lang w:val="en-US" w:eastAsia="zh-CN"/>
        </w:rPr>
        <w:t>、</w:t>
      </w:r>
      <w:r>
        <w:rPr>
          <w:rFonts w:hint="eastAsia" w:ascii="宋体" w:hAnsi="宋体" w:eastAsia="宋体" w:cs="宋体"/>
          <w:b/>
          <w:color w:val="auto"/>
          <w:highlight w:val="none"/>
        </w:rPr>
        <w:t>无重大违法记录声明格式</w:t>
      </w:r>
    </w:p>
    <w:p w14:paraId="55086804">
      <w:pPr>
        <w:spacing w:line="240" w:lineRule="atLeast"/>
        <w:jc w:val="center"/>
        <w:rPr>
          <w:rFonts w:hint="eastAsia" w:ascii="宋体" w:hAnsi="宋体" w:eastAsia="宋体" w:cs="宋体"/>
          <w:color w:val="auto"/>
          <w:sz w:val="28"/>
          <w:szCs w:val="36"/>
          <w:highlight w:val="none"/>
        </w:rPr>
      </w:pPr>
    </w:p>
    <w:p w14:paraId="4F613702">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14:paraId="1647BDB2">
      <w:pPr>
        <w:spacing w:line="360" w:lineRule="auto"/>
        <w:rPr>
          <w:rFonts w:hint="eastAsia" w:ascii="宋体" w:hAnsi="宋体" w:eastAsia="宋体" w:cs="宋体"/>
          <w:color w:val="auto"/>
          <w:szCs w:val="21"/>
          <w:highlight w:val="none"/>
        </w:rPr>
      </w:pPr>
    </w:p>
    <w:p w14:paraId="3D999CB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14:paraId="17E63D21">
      <w:pPr>
        <w:spacing w:line="360" w:lineRule="auto"/>
        <w:rPr>
          <w:rFonts w:hint="eastAsia" w:ascii="宋体" w:hAnsi="宋体" w:eastAsia="宋体" w:cs="宋体"/>
          <w:color w:val="auto"/>
          <w:highlight w:val="none"/>
        </w:rPr>
      </w:pPr>
    </w:p>
    <w:p w14:paraId="13C0DB49">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14:paraId="6D667EBD">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w:t>
      </w:r>
      <w:r>
        <w:rPr>
          <w:rFonts w:hint="eastAsia" w:ascii="宋体" w:hAnsi="宋体" w:cs="宋体"/>
          <w:b/>
          <w:color w:val="auto"/>
          <w:kern w:val="0"/>
          <w:szCs w:val="21"/>
          <w:highlight w:val="none"/>
          <w:lang w:eastAsia="zh-CN"/>
        </w:rPr>
        <w:t>重大税收违法失信主体</w:t>
      </w:r>
      <w:r>
        <w:rPr>
          <w:rFonts w:hint="eastAsia" w:ascii="宋体" w:hAnsi="宋体" w:eastAsia="宋体" w:cs="宋体"/>
          <w:b/>
          <w:color w:val="auto"/>
          <w:kern w:val="0"/>
          <w:szCs w:val="21"/>
          <w:highlight w:val="none"/>
        </w:rPr>
        <w:t>、政府采购严重违法失信行为记录名单的供应商。</w:t>
      </w:r>
    </w:p>
    <w:p w14:paraId="0F6B721F">
      <w:pPr>
        <w:spacing w:line="360" w:lineRule="auto"/>
        <w:ind w:firstLine="420" w:firstLineChars="200"/>
        <w:rPr>
          <w:rFonts w:hint="eastAsia" w:ascii="宋体" w:hAnsi="宋体" w:eastAsia="宋体" w:cs="宋体"/>
          <w:color w:val="auto"/>
          <w:highlight w:val="none"/>
        </w:rPr>
      </w:pPr>
    </w:p>
    <w:p w14:paraId="645C6B11">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（重大违法记录，是指供应商因违法经营受到刑事处罚或者责令停产停业、吊销许可证或者执照、较大数额罚款等行政处罚。）</w:t>
      </w:r>
    </w:p>
    <w:p w14:paraId="616BD46C">
      <w:pPr>
        <w:spacing w:line="360" w:lineRule="auto"/>
        <w:rPr>
          <w:rFonts w:hint="eastAsia" w:ascii="宋体" w:hAnsi="宋体" w:eastAsia="宋体" w:cs="宋体"/>
          <w:color w:val="auto"/>
          <w:highlight w:val="none"/>
        </w:rPr>
      </w:pPr>
    </w:p>
    <w:p w14:paraId="76450CC4">
      <w:pPr>
        <w:spacing w:line="360" w:lineRule="auto"/>
        <w:rPr>
          <w:rFonts w:hint="eastAsia" w:ascii="宋体" w:hAnsi="宋体" w:eastAsia="宋体" w:cs="宋体"/>
          <w:color w:val="auto"/>
          <w:highlight w:val="none"/>
        </w:rPr>
      </w:pPr>
    </w:p>
    <w:p w14:paraId="037BCA42">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14:paraId="3B080F7D">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14:paraId="5C5D3467">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 资格资信证明文件</w:t>
      </w:r>
    </w:p>
    <w:p w14:paraId="465CB084">
      <w:pPr>
        <w:autoSpaceDE w:val="0"/>
        <w:autoSpaceDN w:val="0"/>
        <w:adjustRightInd w:val="0"/>
        <w:spacing w:line="360" w:lineRule="auto"/>
        <w:rPr>
          <w:rFonts w:hint="eastAsia" w:ascii="宋体" w:hAnsi="宋体" w:eastAsia="宋体" w:cs="宋体"/>
          <w:b/>
          <w:color w:val="auto"/>
          <w:highlight w:val="none"/>
        </w:rPr>
      </w:pPr>
    </w:p>
    <w:p w14:paraId="24989324">
      <w:pPr>
        <w:autoSpaceDE w:val="0"/>
        <w:autoSpaceDN w:val="0"/>
        <w:adjustRightInd w:val="0"/>
        <w:spacing w:line="360" w:lineRule="auto"/>
        <w:rPr>
          <w:rFonts w:hint="eastAsia" w:ascii="宋体" w:hAnsi="宋体" w:eastAsia="宋体" w:cs="宋体"/>
          <w:b/>
          <w:color w:val="auto"/>
          <w:highlight w:val="none"/>
        </w:rPr>
      </w:pPr>
    </w:p>
    <w:p w14:paraId="7C87C2C6">
      <w:pPr>
        <w:autoSpaceDE w:val="0"/>
        <w:autoSpaceDN w:val="0"/>
        <w:adjustRightInd w:val="0"/>
        <w:spacing w:line="360" w:lineRule="auto"/>
        <w:rPr>
          <w:rFonts w:hint="eastAsia" w:ascii="宋体" w:hAnsi="宋体" w:eastAsia="宋体" w:cs="宋体"/>
          <w:b/>
          <w:color w:val="auto"/>
          <w:highlight w:val="none"/>
        </w:rPr>
      </w:pPr>
    </w:p>
    <w:p w14:paraId="78A06DDB">
      <w:pPr>
        <w:autoSpaceDE w:val="0"/>
        <w:autoSpaceDN w:val="0"/>
        <w:adjustRightInd w:val="0"/>
        <w:spacing w:line="360" w:lineRule="auto"/>
        <w:rPr>
          <w:rFonts w:hint="eastAsia" w:ascii="宋体" w:hAnsi="宋体" w:eastAsia="宋体" w:cs="宋体"/>
          <w:b/>
          <w:color w:val="auto"/>
          <w:highlight w:val="none"/>
        </w:rPr>
      </w:pPr>
    </w:p>
    <w:p w14:paraId="2B864416">
      <w:pPr>
        <w:autoSpaceDE w:val="0"/>
        <w:autoSpaceDN w:val="0"/>
        <w:adjustRightInd w:val="0"/>
        <w:spacing w:line="360" w:lineRule="auto"/>
        <w:rPr>
          <w:rFonts w:hint="eastAsia" w:ascii="宋体" w:hAnsi="宋体" w:eastAsia="宋体" w:cs="宋体"/>
          <w:b/>
          <w:color w:val="auto"/>
          <w:highlight w:val="none"/>
        </w:rPr>
      </w:pPr>
    </w:p>
    <w:p w14:paraId="6F2AA100">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一</w:t>
      </w:r>
      <w:r>
        <w:rPr>
          <w:rFonts w:hint="eastAsia" w:ascii="宋体" w:hAnsi="宋体" w:eastAsia="宋体" w:cs="宋体"/>
          <w:b/>
          <w:color w:val="auto"/>
          <w:highlight w:val="none"/>
        </w:rPr>
        <w:t>、 联合体协议及联合体授权委托书（如允许联合体）</w:t>
      </w:r>
    </w:p>
    <w:p w14:paraId="37EA73AC">
      <w:pPr>
        <w:autoSpaceDE w:val="0"/>
        <w:autoSpaceDN w:val="0"/>
        <w:adjustRightInd w:val="0"/>
        <w:spacing w:line="360" w:lineRule="auto"/>
        <w:rPr>
          <w:rFonts w:hint="eastAsia" w:ascii="宋体" w:hAnsi="宋体" w:eastAsia="宋体" w:cs="宋体"/>
          <w:b/>
          <w:color w:val="auto"/>
          <w:highlight w:val="none"/>
        </w:rPr>
      </w:pPr>
    </w:p>
    <w:p w14:paraId="0D3D2A2A">
      <w:pPr>
        <w:autoSpaceDE w:val="0"/>
        <w:autoSpaceDN w:val="0"/>
        <w:adjustRightInd w:val="0"/>
        <w:spacing w:line="360" w:lineRule="auto"/>
        <w:rPr>
          <w:rFonts w:hint="eastAsia" w:ascii="宋体" w:hAnsi="宋体" w:eastAsia="宋体" w:cs="宋体"/>
          <w:b/>
          <w:color w:val="auto"/>
          <w:highlight w:val="none"/>
        </w:rPr>
      </w:pPr>
    </w:p>
    <w:p w14:paraId="69A802BF">
      <w:pPr>
        <w:autoSpaceDE w:val="0"/>
        <w:autoSpaceDN w:val="0"/>
        <w:adjustRightInd w:val="0"/>
        <w:spacing w:line="360" w:lineRule="auto"/>
        <w:rPr>
          <w:rFonts w:hint="eastAsia" w:ascii="宋体" w:hAnsi="宋体" w:eastAsia="宋体" w:cs="宋体"/>
          <w:b/>
          <w:color w:val="auto"/>
          <w:highlight w:val="none"/>
        </w:rPr>
      </w:pPr>
    </w:p>
    <w:p w14:paraId="15469F4A">
      <w:pPr>
        <w:autoSpaceDE w:val="0"/>
        <w:autoSpaceDN w:val="0"/>
        <w:adjustRightInd w:val="0"/>
        <w:spacing w:line="360" w:lineRule="auto"/>
        <w:rPr>
          <w:rFonts w:hint="eastAsia" w:ascii="宋体" w:hAnsi="宋体" w:eastAsia="宋体" w:cs="宋体"/>
          <w:b/>
          <w:color w:val="auto"/>
          <w:highlight w:val="none"/>
        </w:rPr>
      </w:pPr>
    </w:p>
    <w:p w14:paraId="0C048DDE">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二</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14:paraId="6DA0891B">
      <w:pPr>
        <w:autoSpaceDE w:val="0"/>
        <w:autoSpaceDN w:val="0"/>
        <w:adjustRightInd w:val="0"/>
        <w:spacing w:line="360" w:lineRule="auto"/>
        <w:rPr>
          <w:rFonts w:hint="eastAsia" w:ascii="宋体" w:hAnsi="宋体" w:eastAsia="宋体" w:cs="宋体"/>
          <w:b/>
          <w:color w:val="auto"/>
          <w:highlight w:val="none"/>
        </w:rPr>
      </w:pPr>
    </w:p>
    <w:p w14:paraId="0A62E152">
      <w:pPr>
        <w:autoSpaceDE w:val="0"/>
        <w:autoSpaceDN w:val="0"/>
        <w:adjustRightInd w:val="0"/>
        <w:spacing w:line="360" w:lineRule="auto"/>
        <w:rPr>
          <w:rFonts w:hint="eastAsia" w:ascii="宋体" w:hAnsi="宋体" w:eastAsia="宋体" w:cs="宋体"/>
          <w:b/>
          <w:color w:val="auto"/>
          <w:highlight w:val="none"/>
        </w:rPr>
      </w:pPr>
    </w:p>
    <w:p w14:paraId="0ED23BD8">
      <w:pPr>
        <w:autoSpaceDE w:val="0"/>
        <w:autoSpaceDN w:val="0"/>
        <w:adjustRightInd w:val="0"/>
        <w:spacing w:line="360" w:lineRule="auto"/>
        <w:rPr>
          <w:rFonts w:hint="eastAsia" w:ascii="宋体" w:hAnsi="宋体" w:eastAsia="宋体" w:cs="宋体"/>
          <w:b/>
          <w:color w:val="auto"/>
          <w:highlight w:val="none"/>
        </w:rPr>
      </w:pPr>
    </w:p>
    <w:p w14:paraId="008E43DA">
      <w:pPr>
        <w:autoSpaceDE w:val="0"/>
        <w:autoSpaceDN w:val="0"/>
        <w:adjustRightInd w:val="0"/>
        <w:spacing w:line="360" w:lineRule="auto"/>
        <w:rPr>
          <w:rFonts w:hint="eastAsia" w:ascii="宋体" w:hAnsi="宋体" w:eastAsia="宋体" w:cs="宋体"/>
          <w:b/>
          <w:color w:val="auto"/>
          <w:highlight w:val="none"/>
        </w:rPr>
      </w:pPr>
    </w:p>
    <w:p w14:paraId="4264961F">
      <w:pPr>
        <w:autoSpaceDE w:val="0"/>
        <w:autoSpaceDN w:val="0"/>
        <w:adjustRightInd w:val="0"/>
        <w:spacing w:line="360" w:lineRule="auto"/>
        <w:rPr>
          <w:rFonts w:hint="eastAsia" w:ascii="宋体" w:hAnsi="宋体" w:eastAsia="宋体" w:cs="宋体"/>
          <w:b/>
          <w:color w:val="auto"/>
          <w:highlight w:val="none"/>
        </w:rPr>
      </w:pPr>
    </w:p>
    <w:p w14:paraId="529F4C82">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5C68B450">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14:paraId="1BFC532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7EAB3BB8">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14:paraId="12AD9A5F">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color w:val="auto"/>
          <w:highlight w:val="none"/>
          <w:lang w:val="en-US" w:eastAsia="zh-CN"/>
        </w:rPr>
      </w:pPr>
      <w:r>
        <w:rPr>
          <w:rFonts w:hint="eastAsia" w:ascii="宋体" w:hAnsi="宋体" w:cs="宋体"/>
          <w:color w:val="auto"/>
          <w:highlight w:val="none"/>
          <w:lang w:val="en-US" w:eastAsia="zh-CN"/>
        </w:rPr>
        <w:t>致中国医学科学院皮肤病医院：</w:t>
      </w:r>
    </w:p>
    <w:p w14:paraId="6B01BF6A">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根据招标文件的要求，我司承诺所提供的苯甲酸苄酯原辅料及供货服务、质保服务满足贵单位的要求。</w:t>
      </w:r>
    </w:p>
    <w:p w14:paraId="15BF9B39">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3CC9FB7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32BD3D1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61E8A070">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457AFD44">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1CFD51A1">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14:paraId="31BC59A5">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14:paraId="3C4D4928">
      <w:pPr>
        <w:widowControl w:val="0"/>
        <w:spacing w:line="360" w:lineRule="auto"/>
        <w:ind w:right="-510" w:firstLine="0" w:firstLineChars="0"/>
        <w:rPr>
          <w:rFonts w:hint="eastAsia" w:ascii="宋体" w:hAnsi="宋体" w:cs="宋体"/>
          <w:color w:val="auto"/>
          <w:highlight w:val="none"/>
          <w:lang w:val="en-US" w:eastAsia="zh-CN"/>
        </w:rPr>
      </w:pPr>
    </w:p>
    <w:p w14:paraId="46C73A81">
      <w:pPr>
        <w:widowControl w:val="0"/>
        <w:spacing w:line="360" w:lineRule="auto"/>
        <w:ind w:right="-510" w:firstLine="0" w:firstLineChars="0"/>
        <w:rPr>
          <w:rFonts w:hint="eastAsia" w:ascii="宋体" w:hAnsi="宋体" w:cs="宋体"/>
          <w:color w:val="auto"/>
          <w:highlight w:val="none"/>
          <w:lang w:val="en-US" w:eastAsia="zh-CN"/>
        </w:rPr>
      </w:pPr>
    </w:p>
    <w:p w14:paraId="392FAB47">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14:paraId="51CCE15F">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根据招标文件的要求，我司承诺具备向贵单位提供114kg/年苯甲酸苄酯原辅料的能力。</w:t>
      </w:r>
    </w:p>
    <w:p w14:paraId="0C6A0E2A">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14:paraId="472E71F5">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5393057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14:paraId="1BA83F3F">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14:paraId="51F1CD06">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14:paraId="6F8F92EA">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4EB7E06">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14:paraId="1AADC998">
      <w:pPr>
        <w:pStyle w:val="3"/>
        <w:rPr>
          <w:rFonts w:hint="eastAsia" w:ascii="Times New Roman" w:hAnsi="Times New Roman" w:cs="Times New Roman"/>
          <w:b/>
          <w:color w:val="auto"/>
          <w:highlight w:val="none"/>
          <w:lang w:val="en-US" w:eastAsia="zh-CN"/>
        </w:rPr>
      </w:pPr>
    </w:p>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C04B">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ABD77">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C638807">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A13B">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vF7+8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C8Xv7yQEAAJkDAAAOAAAAAAAAAAEAIAAAAB4BAABkcnMvZTJvRG9j&#10;LnhtbFBLBQYAAAAABgAGAFkBAABZBQAAAAA=&#10;">
              <v:fill on="f" focussize="0,0"/>
              <v:stroke on="f"/>
              <v:imagedata o:title=""/>
              <o:lock v:ext="edit" aspectratio="f"/>
              <v:textbox inset="0mm,0mm,0mm,0mm" style="mso-fit-shape-to-text:t;">
                <w:txbxContent>
                  <w:p w14:paraId="49E17003">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4766A">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UyEM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1TIQyQEAAJkDAAAOAAAAAAAAAAEAIAAAAB4BAABkcnMvZTJvRG9j&#10;LnhtbFBLBQYAAAAABgAGAFkBAABZBQAAAAA=&#10;">
              <v:fill on="f" focussize="0,0"/>
              <v:stroke on="f"/>
              <v:imagedata o:title=""/>
              <o:lock v:ext="edit" aspectratio="f"/>
              <v:textbox inset="0mm,0mm,0mm,0mm" style="mso-fit-shape-to-text:t;">
                <w:txbxContent>
                  <w:p w14:paraId="2117892E">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AEDC9">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TyRccBAACaAwAADgAAAGRycy9lMm9Eb2MueG1srVNNrtMwEN4jcQfL&#10;e+q0E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ITyRccBAACaAwAADgAAAAAAAAABACAAAAAeAQAAZHJzL2Uyb0RvYy54&#10;bWxQSwUGAAAAAAYABgBZAQAAVwUAAAAA&#10;">
              <v:fill on="f" focussize="0,0"/>
              <v:stroke on="f"/>
              <v:imagedata o:title=""/>
              <o:lock v:ext="edit" aspectratio="f"/>
              <v:textbox inset="0mm,0mm,0mm,0mm" style="mso-fit-shape-to-text:t;">
                <w:txbxContent>
                  <w:p w14:paraId="46FEFDE4">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57F89">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4A709">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4F4FC6"/>
    <w:rsid w:val="07504429"/>
    <w:rsid w:val="07612720"/>
    <w:rsid w:val="076A60B4"/>
    <w:rsid w:val="07792B42"/>
    <w:rsid w:val="077C2846"/>
    <w:rsid w:val="077E3D0B"/>
    <w:rsid w:val="078C511B"/>
    <w:rsid w:val="078D2D8A"/>
    <w:rsid w:val="07B6742A"/>
    <w:rsid w:val="07BE2A34"/>
    <w:rsid w:val="07C14048"/>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8FA3336"/>
    <w:rsid w:val="09072AF5"/>
    <w:rsid w:val="090D78C9"/>
    <w:rsid w:val="09101FB3"/>
    <w:rsid w:val="09296C06"/>
    <w:rsid w:val="09501A0A"/>
    <w:rsid w:val="09611413"/>
    <w:rsid w:val="098274FD"/>
    <w:rsid w:val="09F8752F"/>
    <w:rsid w:val="0A0D439F"/>
    <w:rsid w:val="0A0F0D09"/>
    <w:rsid w:val="0A1D4600"/>
    <w:rsid w:val="0A1F68B2"/>
    <w:rsid w:val="0A210F95"/>
    <w:rsid w:val="0A2836E0"/>
    <w:rsid w:val="0A29194C"/>
    <w:rsid w:val="0A593073"/>
    <w:rsid w:val="0A8E5529"/>
    <w:rsid w:val="0AB44EF5"/>
    <w:rsid w:val="0ABF5F59"/>
    <w:rsid w:val="0AC159A6"/>
    <w:rsid w:val="0ADE169A"/>
    <w:rsid w:val="0AE34BB1"/>
    <w:rsid w:val="0AED0B6E"/>
    <w:rsid w:val="0B301291"/>
    <w:rsid w:val="0B4B7099"/>
    <w:rsid w:val="0B747542"/>
    <w:rsid w:val="0B9E1A60"/>
    <w:rsid w:val="0BAD70EA"/>
    <w:rsid w:val="0BBF43C3"/>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4AA5"/>
    <w:rsid w:val="0F7B5DFB"/>
    <w:rsid w:val="0FF37EF3"/>
    <w:rsid w:val="0FFE4C46"/>
    <w:rsid w:val="10003697"/>
    <w:rsid w:val="10064480"/>
    <w:rsid w:val="100930B7"/>
    <w:rsid w:val="10156FD1"/>
    <w:rsid w:val="10371F2F"/>
    <w:rsid w:val="1057473E"/>
    <w:rsid w:val="105A6D80"/>
    <w:rsid w:val="107B23CF"/>
    <w:rsid w:val="107E1871"/>
    <w:rsid w:val="10824E25"/>
    <w:rsid w:val="109C495A"/>
    <w:rsid w:val="10BD5626"/>
    <w:rsid w:val="10C85301"/>
    <w:rsid w:val="10F5099F"/>
    <w:rsid w:val="11046680"/>
    <w:rsid w:val="11302F10"/>
    <w:rsid w:val="11342DC2"/>
    <w:rsid w:val="11423CF0"/>
    <w:rsid w:val="11443554"/>
    <w:rsid w:val="1159255C"/>
    <w:rsid w:val="115D038D"/>
    <w:rsid w:val="116741A8"/>
    <w:rsid w:val="116D139B"/>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EE3B40"/>
    <w:rsid w:val="14FE6E45"/>
    <w:rsid w:val="15030DD2"/>
    <w:rsid w:val="150E2439"/>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B2138"/>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34488"/>
    <w:rsid w:val="1BFB746E"/>
    <w:rsid w:val="1C1C144E"/>
    <w:rsid w:val="1C2663BF"/>
    <w:rsid w:val="1C36433C"/>
    <w:rsid w:val="1C376E21"/>
    <w:rsid w:val="1C607E4F"/>
    <w:rsid w:val="1C721035"/>
    <w:rsid w:val="1C887DF5"/>
    <w:rsid w:val="1C89288A"/>
    <w:rsid w:val="1C9B1370"/>
    <w:rsid w:val="1CA47846"/>
    <w:rsid w:val="1CCF4A59"/>
    <w:rsid w:val="1CD565D5"/>
    <w:rsid w:val="1CDF6675"/>
    <w:rsid w:val="1CEF14EF"/>
    <w:rsid w:val="1CF43006"/>
    <w:rsid w:val="1D077570"/>
    <w:rsid w:val="1D2077D5"/>
    <w:rsid w:val="1D325942"/>
    <w:rsid w:val="1D3E15B7"/>
    <w:rsid w:val="1D672B1F"/>
    <w:rsid w:val="1D8B3670"/>
    <w:rsid w:val="1DA73124"/>
    <w:rsid w:val="1DAE0556"/>
    <w:rsid w:val="1DB1270C"/>
    <w:rsid w:val="1DB67C12"/>
    <w:rsid w:val="1DBF66B6"/>
    <w:rsid w:val="1DD36D46"/>
    <w:rsid w:val="1DD50B1E"/>
    <w:rsid w:val="1E060554"/>
    <w:rsid w:val="1E0F6E32"/>
    <w:rsid w:val="1E10660A"/>
    <w:rsid w:val="1E415560"/>
    <w:rsid w:val="1E534E56"/>
    <w:rsid w:val="1E5D18EA"/>
    <w:rsid w:val="1E604A81"/>
    <w:rsid w:val="1E706AC5"/>
    <w:rsid w:val="1E706D9C"/>
    <w:rsid w:val="1E71495E"/>
    <w:rsid w:val="1E841A5F"/>
    <w:rsid w:val="1EA33881"/>
    <w:rsid w:val="1EA40105"/>
    <w:rsid w:val="1EA972F9"/>
    <w:rsid w:val="1EAC07D7"/>
    <w:rsid w:val="1EBC7CC4"/>
    <w:rsid w:val="1EC665E8"/>
    <w:rsid w:val="1EDC6093"/>
    <w:rsid w:val="1F14468F"/>
    <w:rsid w:val="1F1704FD"/>
    <w:rsid w:val="1F524DE1"/>
    <w:rsid w:val="1F69585D"/>
    <w:rsid w:val="1F6B38B0"/>
    <w:rsid w:val="1F6C4503"/>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B5A06"/>
    <w:rsid w:val="21DF24FF"/>
    <w:rsid w:val="21EC4C94"/>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427059"/>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57A6A"/>
    <w:rsid w:val="268E2249"/>
    <w:rsid w:val="268E3ECA"/>
    <w:rsid w:val="26995566"/>
    <w:rsid w:val="26A67D94"/>
    <w:rsid w:val="26C52C94"/>
    <w:rsid w:val="26E51871"/>
    <w:rsid w:val="26EC52C4"/>
    <w:rsid w:val="26FD1062"/>
    <w:rsid w:val="27092AF8"/>
    <w:rsid w:val="27224B0F"/>
    <w:rsid w:val="272F1E9F"/>
    <w:rsid w:val="274E1A68"/>
    <w:rsid w:val="2764417B"/>
    <w:rsid w:val="27795A37"/>
    <w:rsid w:val="278476CC"/>
    <w:rsid w:val="27965B02"/>
    <w:rsid w:val="27F710A0"/>
    <w:rsid w:val="28192E5C"/>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CC2562"/>
    <w:rsid w:val="29D250A3"/>
    <w:rsid w:val="29D257CF"/>
    <w:rsid w:val="29D97152"/>
    <w:rsid w:val="29EA6773"/>
    <w:rsid w:val="2A2622F9"/>
    <w:rsid w:val="2A2E7A7E"/>
    <w:rsid w:val="2A4735A8"/>
    <w:rsid w:val="2A5F40B6"/>
    <w:rsid w:val="2A714859"/>
    <w:rsid w:val="2A843301"/>
    <w:rsid w:val="2A884588"/>
    <w:rsid w:val="2B1A174A"/>
    <w:rsid w:val="2B262B75"/>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D836AE"/>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2F12144"/>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051BF"/>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0544F"/>
    <w:rsid w:val="36460B81"/>
    <w:rsid w:val="36495886"/>
    <w:rsid w:val="365D14F2"/>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1C7BFB"/>
    <w:rsid w:val="392B1828"/>
    <w:rsid w:val="394D58E5"/>
    <w:rsid w:val="3969249D"/>
    <w:rsid w:val="39846488"/>
    <w:rsid w:val="39933B19"/>
    <w:rsid w:val="39A33CED"/>
    <w:rsid w:val="39B16FCF"/>
    <w:rsid w:val="39B63F14"/>
    <w:rsid w:val="39BB11C0"/>
    <w:rsid w:val="39CE52D4"/>
    <w:rsid w:val="39D03EEA"/>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07713"/>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4702B"/>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37788F"/>
    <w:rsid w:val="40491F46"/>
    <w:rsid w:val="406A5FB3"/>
    <w:rsid w:val="40A86353"/>
    <w:rsid w:val="40CC47B9"/>
    <w:rsid w:val="40E41DEF"/>
    <w:rsid w:val="40F17FA1"/>
    <w:rsid w:val="40F2485A"/>
    <w:rsid w:val="40FC47E1"/>
    <w:rsid w:val="412F5FB2"/>
    <w:rsid w:val="41345493"/>
    <w:rsid w:val="4138297C"/>
    <w:rsid w:val="41474664"/>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883CE8"/>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3B55B4"/>
    <w:rsid w:val="45605D73"/>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22D21"/>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9FE3A5F"/>
    <w:rsid w:val="4A0A5017"/>
    <w:rsid w:val="4A152F65"/>
    <w:rsid w:val="4A3E0914"/>
    <w:rsid w:val="4A3F1207"/>
    <w:rsid w:val="4A57472F"/>
    <w:rsid w:val="4A5F69CD"/>
    <w:rsid w:val="4A715E3D"/>
    <w:rsid w:val="4AB72982"/>
    <w:rsid w:val="4AD3012C"/>
    <w:rsid w:val="4B1B2082"/>
    <w:rsid w:val="4B464664"/>
    <w:rsid w:val="4B635F8B"/>
    <w:rsid w:val="4B65032C"/>
    <w:rsid w:val="4B712A43"/>
    <w:rsid w:val="4B82202B"/>
    <w:rsid w:val="4B971D44"/>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32738D"/>
    <w:rsid w:val="4E5E12F1"/>
    <w:rsid w:val="4E62045F"/>
    <w:rsid w:val="4E783F31"/>
    <w:rsid w:val="4EAC689C"/>
    <w:rsid w:val="4EB25AA5"/>
    <w:rsid w:val="4EB91C18"/>
    <w:rsid w:val="4EBB2F96"/>
    <w:rsid w:val="4EDD2691"/>
    <w:rsid w:val="4EDE154D"/>
    <w:rsid w:val="4EE65CA1"/>
    <w:rsid w:val="4EE859FD"/>
    <w:rsid w:val="4EF911E3"/>
    <w:rsid w:val="4EF94046"/>
    <w:rsid w:val="4F0048E8"/>
    <w:rsid w:val="4F075FBA"/>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6416B"/>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25786"/>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AF6350"/>
    <w:rsid w:val="54B72A99"/>
    <w:rsid w:val="54BC49A0"/>
    <w:rsid w:val="54EE39DB"/>
    <w:rsid w:val="55022976"/>
    <w:rsid w:val="551C096F"/>
    <w:rsid w:val="55240097"/>
    <w:rsid w:val="552C3D46"/>
    <w:rsid w:val="553245F5"/>
    <w:rsid w:val="554D13EE"/>
    <w:rsid w:val="55850C4A"/>
    <w:rsid w:val="559341A6"/>
    <w:rsid w:val="55C57ADE"/>
    <w:rsid w:val="55CE22F2"/>
    <w:rsid w:val="55F21123"/>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97E9B"/>
    <w:rsid w:val="57FD673B"/>
    <w:rsid w:val="583A7FA8"/>
    <w:rsid w:val="58544955"/>
    <w:rsid w:val="58566AE7"/>
    <w:rsid w:val="585962B5"/>
    <w:rsid w:val="585F5B75"/>
    <w:rsid w:val="587A4269"/>
    <w:rsid w:val="587D3274"/>
    <w:rsid w:val="588F3D82"/>
    <w:rsid w:val="589A5A5F"/>
    <w:rsid w:val="58B94375"/>
    <w:rsid w:val="58BA4A70"/>
    <w:rsid w:val="58C96F1E"/>
    <w:rsid w:val="58EA0A67"/>
    <w:rsid w:val="5902444F"/>
    <w:rsid w:val="591B5CBF"/>
    <w:rsid w:val="591D3DD9"/>
    <w:rsid w:val="5927514C"/>
    <w:rsid w:val="594F610B"/>
    <w:rsid w:val="59600EE5"/>
    <w:rsid w:val="59634BDC"/>
    <w:rsid w:val="59941B20"/>
    <w:rsid w:val="599A4004"/>
    <w:rsid w:val="599B086D"/>
    <w:rsid w:val="59B927ED"/>
    <w:rsid w:val="59BF5C8E"/>
    <w:rsid w:val="59D97EC2"/>
    <w:rsid w:val="59DB3743"/>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34000"/>
    <w:rsid w:val="5B8859A0"/>
    <w:rsid w:val="5B9F7743"/>
    <w:rsid w:val="5BB522B5"/>
    <w:rsid w:val="5BBA4618"/>
    <w:rsid w:val="5BBD5FF5"/>
    <w:rsid w:val="5BF250F3"/>
    <w:rsid w:val="5BF84DDB"/>
    <w:rsid w:val="5C111338"/>
    <w:rsid w:val="5C1B076F"/>
    <w:rsid w:val="5C5B500F"/>
    <w:rsid w:val="5C691941"/>
    <w:rsid w:val="5C727BE4"/>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7C7D70"/>
    <w:rsid w:val="5D985E61"/>
    <w:rsid w:val="5D987A13"/>
    <w:rsid w:val="5D9B0E6A"/>
    <w:rsid w:val="5D9E1AED"/>
    <w:rsid w:val="5D9E4E16"/>
    <w:rsid w:val="5DBA0135"/>
    <w:rsid w:val="5DCD5DE5"/>
    <w:rsid w:val="5DD437EF"/>
    <w:rsid w:val="5DF16302"/>
    <w:rsid w:val="5DFF4B46"/>
    <w:rsid w:val="5E047F45"/>
    <w:rsid w:val="5E3646E2"/>
    <w:rsid w:val="5E373C74"/>
    <w:rsid w:val="5E3B0A10"/>
    <w:rsid w:val="5E424B71"/>
    <w:rsid w:val="5E4479EA"/>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97415"/>
    <w:rsid w:val="603B021E"/>
    <w:rsid w:val="60545911"/>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276791"/>
    <w:rsid w:val="62295B5D"/>
    <w:rsid w:val="62577A2F"/>
    <w:rsid w:val="626D5F91"/>
    <w:rsid w:val="627E7D9D"/>
    <w:rsid w:val="628407FE"/>
    <w:rsid w:val="62880405"/>
    <w:rsid w:val="629073C4"/>
    <w:rsid w:val="62996318"/>
    <w:rsid w:val="62AA6D2C"/>
    <w:rsid w:val="62B0179B"/>
    <w:rsid w:val="62CC094F"/>
    <w:rsid w:val="62F95075"/>
    <w:rsid w:val="630334E9"/>
    <w:rsid w:val="630737FB"/>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2D3963"/>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CF75D5"/>
    <w:rsid w:val="66DA6749"/>
    <w:rsid w:val="67051D14"/>
    <w:rsid w:val="671A2875"/>
    <w:rsid w:val="671D37E1"/>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4F66C4"/>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45E48"/>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290842"/>
    <w:rsid w:val="6D2F6BF2"/>
    <w:rsid w:val="6D301BA0"/>
    <w:rsid w:val="6D31162C"/>
    <w:rsid w:val="6D64252E"/>
    <w:rsid w:val="6D680792"/>
    <w:rsid w:val="6DA429A2"/>
    <w:rsid w:val="6DAB0FE0"/>
    <w:rsid w:val="6DC1708A"/>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6FF944CB"/>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70CB1"/>
    <w:rsid w:val="710C4547"/>
    <w:rsid w:val="71146B3B"/>
    <w:rsid w:val="711E1A75"/>
    <w:rsid w:val="714C662E"/>
    <w:rsid w:val="714E6105"/>
    <w:rsid w:val="715E5257"/>
    <w:rsid w:val="716071A7"/>
    <w:rsid w:val="718176C8"/>
    <w:rsid w:val="718C0F76"/>
    <w:rsid w:val="71BB1264"/>
    <w:rsid w:val="71C14470"/>
    <w:rsid w:val="71DD01AD"/>
    <w:rsid w:val="71E01DDD"/>
    <w:rsid w:val="71F77BAB"/>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858FB"/>
    <w:rsid w:val="742C5E27"/>
    <w:rsid w:val="743B4434"/>
    <w:rsid w:val="74551D23"/>
    <w:rsid w:val="745D7B18"/>
    <w:rsid w:val="745F299C"/>
    <w:rsid w:val="7466617E"/>
    <w:rsid w:val="746E000B"/>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DB5219"/>
    <w:rsid w:val="75F8009A"/>
    <w:rsid w:val="762B22A9"/>
    <w:rsid w:val="763A3819"/>
    <w:rsid w:val="76471DE8"/>
    <w:rsid w:val="764C1D57"/>
    <w:rsid w:val="766C2B27"/>
    <w:rsid w:val="76701D3D"/>
    <w:rsid w:val="76951140"/>
    <w:rsid w:val="76974BD9"/>
    <w:rsid w:val="76977026"/>
    <w:rsid w:val="76A70C95"/>
    <w:rsid w:val="76A825E3"/>
    <w:rsid w:val="76D15D09"/>
    <w:rsid w:val="76D4359C"/>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86213"/>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EC03C0"/>
    <w:rsid w:val="79F17680"/>
    <w:rsid w:val="7A127C03"/>
    <w:rsid w:val="7A1B476E"/>
    <w:rsid w:val="7A50702E"/>
    <w:rsid w:val="7A9722EA"/>
    <w:rsid w:val="7AA274F5"/>
    <w:rsid w:val="7AF27BF0"/>
    <w:rsid w:val="7AFE49DB"/>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EB7AE5"/>
    <w:rsid w:val="7BFB4DEF"/>
    <w:rsid w:val="7BFC639E"/>
    <w:rsid w:val="7C1060A4"/>
    <w:rsid w:val="7C212B16"/>
    <w:rsid w:val="7C2944A2"/>
    <w:rsid w:val="7C344D27"/>
    <w:rsid w:val="7C361FB4"/>
    <w:rsid w:val="7C6034EF"/>
    <w:rsid w:val="7C6F4E08"/>
    <w:rsid w:val="7C8F3841"/>
    <w:rsid w:val="7C927737"/>
    <w:rsid w:val="7CD42FCF"/>
    <w:rsid w:val="7CE055BA"/>
    <w:rsid w:val="7CEF1DCF"/>
    <w:rsid w:val="7CFC1051"/>
    <w:rsid w:val="7D116CC8"/>
    <w:rsid w:val="7D15058B"/>
    <w:rsid w:val="7D157DA1"/>
    <w:rsid w:val="7D1E04AA"/>
    <w:rsid w:val="7D213138"/>
    <w:rsid w:val="7D2521B2"/>
    <w:rsid w:val="7D317598"/>
    <w:rsid w:val="7D3230DC"/>
    <w:rsid w:val="7D4D08D5"/>
    <w:rsid w:val="7D551F58"/>
    <w:rsid w:val="7D6A282B"/>
    <w:rsid w:val="7D6B68D8"/>
    <w:rsid w:val="7D7004C3"/>
    <w:rsid w:val="7D83095D"/>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49</Pages>
  <Words>22334</Words>
  <Characters>23275</Characters>
  <Lines>149</Lines>
  <Paragraphs>42</Paragraphs>
  <TotalTime>0</TotalTime>
  <ScaleCrop>false</ScaleCrop>
  <LinksUpToDate>false</LinksUpToDate>
  <CharactersWithSpaces>25139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2026-06-25T07:21:17Z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31186FCC87564462A33EB82E8805853E_13</vt:lpwstr>
  </property>
  <property fmtid="{D5CDD505-2E9C-101B-9397-08002B2CF9AE}" pid="4" name="KSOTemplateDocerSaveRecord">
    <vt:lpwstr>eyJoZGlkIjoiMzEwNTM5NzYwMDRjMzkwZTVkZjY2ODkwMGIxNGU0OTUiLCJ1c2VySWQiOiI0NDk3Mzg1MDUifQ==</vt:lpwstr>
  </property>
</Properties>
</file>