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eastAsia" w:ascii="宋体" w:hAnsi="宋体" w:eastAsia="宋体" w:cs="宋体"/>
          <w:b/>
          <w:color w:val="auto"/>
          <w:kern w:val="0"/>
          <w:sz w:val="48"/>
          <w:szCs w:val="48"/>
          <w:highlight w:val="none"/>
          <w:lang w:val="en-US" w:eastAsia="zh-CN"/>
        </w:rPr>
      </w:pPr>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中国医学科学院皮肤病医院醋酸曲安奈德采购项目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DL066026H3ZC00534</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2026年04月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11866"/>
      <w:bookmarkStart w:id="2" w:name="_Toc30327"/>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中国医学科学院皮肤病医院醋酸曲安奈德采购项目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2026年05月18日9点30分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DL066026H3ZC00534</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中国医学科学院皮肤病医院醋酸曲安奈德采购项目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75万元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75万元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（2）具有良好的商业信誉和健全的财务会计制度（</w:t>
      </w:r>
      <w:r>
        <w:rPr>
          <w:rFonts w:hint="eastAsia" w:ascii="宋体" w:hAnsi="宋体" w:cs="宋体"/>
          <w:bCs/>
          <w:color w:val="auto"/>
          <w:szCs w:val="21"/>
          <w:highlight w:val="none"/>
          <w:lang w:eastAsia="zh-CN"/>
        </w:rPr>
        <w:t>提供2023年度</w:t>
      </w:r>
      <w:r>
        <w:rPr>
          <w:rFonts w:hint="eastAsia" w:ascii="宋体" w:hAnsi="宋体" w:cs="宋体"/>
          <w:bCs/>
          <w:color w:val="auto"/>
          <w:szCs w:val="21"/>
          <w:highlight w:val="none"/>
          <w:lang w:val="en-US" w:eastAsia="zh-CN"/>
        </w:rPr>
        <w:t>或2024年度</w:t>
      </w:r>
      <w:r>
        <w:rPr>
          <w:rFonts w:hint="eastAsia" w:ascii="宋体" w:hAnsi="宋体" w:cs="宋体"/>
          <w:bCs/>
          <w:color w:val="auto"/>
          <w:szCs w:val="21"/>
          <w:highlight w:val="none"/>
          <w:lang w:eastAsia="zh-CN"/>
        </w:rPr>
        <w:t>经审计</w:t>
      </w:r>
      <w:r>
        <w:rPr>
          <w:rFonts w:hint="eastAsia" w:ascii="宋体" w:hAnsi="宋体" w:eastAsia="宋体" w:cs="宋体"/>
          <w:color w:val="auto"/>
          <w:highlight w:val="none"/>
        </w:rPr>
        <w:t>的财</w:t>
      </w:r>
      <w:r>
        <w:rPr>
          <w:rFonts w:hint="eastAsia" w:ascii="宋体" w:hAnsi="宋体" w:eastAsia="宋体" w:cs="宋体"/>
          <w:bCs/>
          <w:color w:val="auto"/>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（4）有依法缴纳税收和社会保障资金的良好记录（提供参加本次采购活动前半年内至少一个月缴纳增值税，或企业所得税的凭据；并提供缴纳社会保险的凭据）；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4040A5AB">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lang w:eastAsia="zh-CN"/>
        </w:rPr>
      </w:pPr>
      <w:r>
        <w:rPr>
          <w:rFonts w:hint="eastAsia" w:ascii="宋体" w:hAnsi="宋体" w:eastAsia="宋体" w:cs="宋体"/>
          <w:b/>
          <w:color w:val="auto"/>
          <w:spacing w:val="8"/>
          <w:kern w:val="0"/>
          <w:szCs w:val="21"/>
          <w:highlight w:val="none"/>
        </w:rPr>
        <w:t>(1)供应商所投产品需在国家药品监督管理局药品审评中心与制剂共同审评审批结果为A</w:t>
      </w:r>
      <w:r>
        <w:rPr>
          <w:rFonts w:hint="eastAsia" w:ascii="宋体" w:hAnsi="宋体" w:cs="宋体"/>
          <w:b/>
          <w:color w:val="auto"/>
          <w:spacing w:val="8"/>
          <w:kern w:val="0"/>
          <w:szCs w:val="21"/>
          <w:highlight w:val="none"/>
          <w:lang w:eastAsia="zh-CN"/>
        </w:rPr>
        <w:t>。</w:t>
      </w:r>
      <w:r>
        <w:rPr>
          <w:rFonts w:hint="eastAsia" w:ascii="宋体" w:hAnsi="宋体" w:eastAsia="宋体" w:cs="宋体"/>
          <w:b/>
          <w:color w:val="auto"/>
          <w:spacing w:val="8"/>
          <w:kern w:val="0"/>
          <w:szCs w:val="21"/>
          <w:highlight w:val="none"/>
        </w:rPr>
        <w:t>（须提供相关证明材料并加盖公章）</w:t>
      </w:r>
    </w:p>
    <w:p w14:paraId="15788556">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(2)供应商为药品经营企业的，须具备有效的《药品经营许可证》(提供证书复印件并加盖公章)</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(3)供应商为药品生产企业的，须具备有效的《药品生产许可证》(提供证书复印件并加盖公章)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w:t>
      </w:r>
      <w:r>
        <w:rPr>
          <w:rFonts w:hint="eastAsia" w:ascii="宋体" w:hAnsi="宋体" w:cs="宋体"/>
          <w:bCs/>
          <w:color w:val="auto"/>
          <w:szCs w:val="21"/>
          <w:highlight w:val="none"/>
          <w:lang w:eastAsia="zh-CN"/>
        </w:rPr>
        <w:t>重大税收违法失信主体</w:t>
      </w:r>
      <w:r>
        <w:rPr>
          <w:rFonts w:hint="eastAsia" w:ascii="宋体" w:hAnsi="宋体" w:eastAsia="宋体" w:cs="宋体"/>
          <w:bCs/>
          <w:color w:val="auto"/>
          <w:szCs w:val="21"/>
          <w:highlight w:val="none"/>
        </w:rPr>
        <w:t>、政府采购严重违法失信行为记录名单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2026年0</w:t>
      </w:r>
      <w:r>
        <w:rPr>
          <w:rFonts w:hint="eastAsia" w:ascii="宋体" w:hAnsi="宋体" w:cs="宋体"/>
          <w:color w:val="auto"/>
          <w:spacing w:val="8"/>
          <w:kern w:val="0"/>
          <w:szCs w:val="21"/>
          <w:highlight w:val="none"/>
          <w:lang w:val="en-US" w:eastAsia="zh-CN"/>
        </w:rPr>
        <w:t>4</w:t>
      </w:r>
      <w:r>
        <w:rPr>
          <w:rFonts w:hint="eastAsia" w:ascii="宋体" w:hAnsi="宋体" w:cs="宋体"/>
          <w:color w:val="auto"/>
          <w:spacing w:val="8"/>
          <w:kern w:val="0"/>
          <w:szCs w:val="21"/>
          <w:highlight w:val="none"/>
          <w:lang w:eastAsia="zh-CN"/>
        </w:rPr>
        <w:t>月27日</w:t>
      </w:r>
      <w:r>
        <w:rPr>
          <w:rFonts w:hint="eastAsia" w:ascii="宋体" w:hAnsi="宋体" w:cs="宋体"/>
          <w:color w:val="auto"/>
          <w:spacing w:val="8"/>
          <w:kern w:val="0"/>
          <w:szCs w:val="21"/>
          <w:highlight w:val="none"/>
          <w:lang w:val="en-US" w:eastAsia="zh-CN"/>
        </w:rPr>
        <w:t>08</w:t>
      </w:r>
      <w:r>
        <w:rPr>
          <w:rFonts w:hint="eastAsia" w:ascii="宋体" w:hAnsi="宋体" w:cs="宋体"/>
          <w:color w:val="auto"/>
          <w:spacing w:val="8"/>
          <w:kern w:val="0"/>
          <w:szCs w:val="21"/>
          <w:highlight w:val="none"/>
          <w:lang w:eastAsia="zh-CN"/>
        </w:rPr>
        <w:t>时30至2026年0</w:t>
      </w:r>
      <w:r>
        <w:rPr>
          <w:rFonts w:hint="eastAsia" w:ascii="宋体" w:hAnsi="宋体" w:cs="宋体"/>
          <w:color w:val="auto"/>
          <w:spacing w:val="8"/>
          <w:kern w:val="0"/>
          <w:szCs w:val="21"/>
          <w:highlight w:val="none"/>
          <w:lang w:val="en-US" w:eastAsia="zh-CN"/>
        </w:rPr>
        <w:t>5</w:t>
      </w:r>
      <w:r>
        <w:rPr>
          <w:rFonts w:hint="eastAsia" w:ascii="宋体" w:hAnsi="宋体" w:cs="宋体"/>
          <w:color w:val="auto"/>
          <w:spacing w:val="8"/>
          <w:kern w:val="0"/>
          <w:szCs w:val="21"/>
          <w:highlight w:val="none"/>
          <w:lang w:eastAsia="zh-CN"/>
        </w:rPr>
        <w:t>月15日17时30分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2026年05月18日9点30分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36B3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中国医学科学院皮肤病医院官网、中国招标投标公共服务平台</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bookmarkStart w:id="9" w:name="_Toc15491"/>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686A473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jc w:val="right"/>
        <w:textAlignment w:val="auto"/>
        <w:rPr>
          <w:rFonts w:hint="eastAsia" w:ascii="宋体" w:hAnsi="宋体" w:eastAsia="宋体" w:cs="宋体"/>
          <w:color w:val="auto"/>
          <w:spacing w:val="8"/>
          <w:kern w:val="0"/>
          <w:szCs w:val="20"/>
          <w:highlight w:val="none"/>
        </w:rPr>
      </w:pPr>
      <w:r>
        <w:rPr>
          <w:rFonts w:hint="eastAsia" w:ascii="宋体" w:hAnsi="宋体" w:eastAsia="宋体" w:cs="宋体"/>
          <w:color w:val="auto"/>
          <w:spacing w:val="8"/>
          <w:kern w:val="0"/>
          <w:szCs w:val="20"/>
          <w:highlight w:val="none"/>
        </w:rPr>
        <w:t>采购代理机构：江苏省设备成套股份有限公司</w:t>
      </w:r>
    </w:p>
    <w:p w14:paraId="6C16021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jc w:val="right"/>
        <w:textAlignment w:val="auto"/>
        <w:rPr>
          <w:rFonts w:hint="eastAsia" w:ascii="宋体" w:hAnsi="宋体" w:eastAsia="宋体" w:cs="宋体"/>
          <w:color w:val="auto"/>
          <w:spacing w:val="8"/>
          <w:kern w:val="0"/>
          <w:szCs w:val="20"/>
          <w:highlight w:val="none"/>
        </w:rPr>
      </w:pPr>
      <w:r>
        <w:rPr>
          <w:rFonts w:hint="eastAsia" w:ascii="宋体" w:hAnsi="宋体" w:cs="宋体"/>
          <w:color w:val="auto"/>
          <w:spacing w:val="8"/>
          <w:kern w:val="0"/>
          <w:szCs w:val="20"/>
          <w:highlight w:val="none"/>
          <w:lang w:val="en-US" w:eastAsia="zh-CN"/>
        </w:rPr>
        <w:t>2026年04月27日</w:t>
      </w: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bookmarkStart w:id="35" w:name="_GoBack"/>
      <w:bookmarkEnd w:id="35"/>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30B860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6C22A50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30C7B6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3970BE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0EB2CF0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7CBCF8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20F5BA1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33B4A00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1F6E18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33BFA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4205AA0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BEF66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43E290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0C533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79DFE4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48377A6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招标代理服务费：本次招标，中标人参照《招标代理服务费管理暂行办法》（国家发展计划委员会计价格【2002】1980号）代理</w:t>
      </w:r>
      <w:r>
        <w:rPr>
          <w:rFonts w:hint="eastAsia" w:ascii="宋体" w:hAnsi="宋体" w:cs="宋体"/>
          <w:b/>
          <w:color w:val="auto"/>
          <w:kern w:val="0"/>
          <w:szCs w:val="21"/>
          <w:highlight w:val="none"/>
          <w:u w:val="single"/>
        </w:rPr>
        <w:t>服务</w:t>
      </w:r>
      <w:r>
        <w:rPr>
          <w:rFonts w:hint="eastAsia" w:ascii="宋体" w:hAnsi="宋体" w:cs="宋体"/>
          <w:b/>
          <w:color w:val="auto"/>
          <w:kern w:val="0"/>
          <w:szCs w:val="21"/>
          <w:highlight w:val="none"/>
        </w:rPr>
        <w:t>招标收费基准费率</w:t>
      </w:r>
      <w:r>
        <w:rPr>
          <w:rFonts w:hint="eastAsia" w:ascii="宋体" w:hAnsi="宋体" w:cs="宋体"/>
          <w:b/>
          <w:color w:val="auto"/>
          <w:kern w:val="0"/>
          <w:szCs w:val="21"/>
          <w:highlight w:val="none"/>
          <w:u w:val="single"/>
        </w:rPr>
        <w:t>60</w:t>
      </w:r>
      <w:r>
        <w:rPr>
          <w:rFonts w:hint="eastAsia" w:ascii="宋体" w:hAnsi="宋体" w:cs="宋体"/>
          <w:b/>
          <w:color w:val="auto"/>
          <w:kern w:val="0"/>
          <w:szCs w:val="21"/>
          <w:highlight w:val="none"/>
        </w:rPr>
        <w:t>%计算，在领取中标通知书前向采购代理机构支付招标服务费。本项费用无需在投标报价表中单列。</w:t>
      </w:r>
    </w:p>
    <w:p w14:paraId="5DF247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32A03C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5A59D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226DFE5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53D491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0D3F9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5F0DD8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21、开标</w:t>
      </w:r>
    </w:p>
    <w:p w14:paraId="314408E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21.1 采购代理机构将在招标文件确定的时间和地点进行公开开标。投标人应委派代表准时参加，参加开标的代表须签名报到以证明其出席。</w:t>
      </w:r>
    </w:p>
    <w:p w14:paraId="1A1704C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21.2开标时，应当由投标人或者其推选的代表检查投标文件的密封情况；经确认无误后，由采购人或者采购代理机构工作人员当众拆封，宣布投标人名称、投标价格和招标文件规定的需要宣布的其他内容。</w:t>
      </w:r>
    </w:p>
    <w:p w14:paraId="001E0A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21.3投标人不足3家的，不得开标。</w:t>
      </w:r>
    </w:p>
    <w:p w14:paraId="1B80C97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21.4开标过程由采购代理机构负责记录，由参加开标的各投标人代表和相关工作人员签字确认后随招标文件一并存档。</w:t>
      </w:r>
    </w:p>
    <w:p w14:paraId="36BC88E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79DC1AF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21.5投标人未参加开标的，视同认可开标结果。</w:t>
      </w:r>
    </w:p>
    <w:p w14:paraId="214450AE">
      <w:pPr>
        <w:spacing w:line="360" w:lineRule="auto"/>
        <w:ind w:firstLine="420" w:firstLineChars="200"/>
        <w:rPr>
          <w:rFonts w:hint="eastAsia"/>
        </w:rPr>
      </w:pPr>
      <w:r>
        <w:rPr>
          <w:rFonts w:hint="eastAsia" w:ascii="宋体" w:hAnsi="宋体" w:cs="宋体"/>
          <w:color w:val="auto"/>
          <w:highlight w:val="none"/>
        </w:rPr>
        <w:t>21.6本次采购已进行过两次或以上公开采购，如投标文件递交截止时间止只有2家或1家单位递交文件，则不进行公开唱标。如投标文件递交截止时间止只有2家单位递交文件或通过符合性审查单位只有2家，则可以按文件评审办法进行磋商采购（也可终止采购），如投标文件递交截止时间止仅有1家单位递交文件或通过符合性审查单位仅有1家，则采购人可以与该单位进行谈判采购（也可终止采购）。</w:t>
      </w:r>
    </w:p>
    <w:p w14:paraId="0C047AC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22E641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66475E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color w:val="auto"/>
          <w:kern w:val="0"/>
          <w:szCs w:val="21"/>
          <w:highlight w:val="none"/>
        </w:rPr>
      </w:pPr>
      <w:r>
        <w:rPr>
          <w:rFonts w:hint="eastAsia" w:ascii="宋体" w:hAnsi="宋体" w:cs="宋体"/>
          <w:b/>
          <w:strike w:val="0"/>
          <w:color w:val="auto"/>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423118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07FEB02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22.2.4</w:t>
      </w:r>
      <w:r>
        <w:rPr>
          <w:rFonts w:hint="eastAsia" w:ascii="宋体" w:hAnsi="宋体" w:cs="宋体"/>
          <w:bCs/>
          <w:color w:val="auto"/>
          <w:kern w:val="0"/>
          <w:szCs w:val="21"/>
          <w:highlight w:val="none"/>
        </w:rPr>
        <w:t>比较与评价。</w:t>
      </w:r>
      <w:r>
        <w:rPr>
          <w:rFonts w:hint="eastAsia" w:ascii="宋体" w:hAnsi="宋体" w:cs="宋体"/>
          <w:color w:val="auto"/>
          <w:kern w:val="0"/>
          <w:szCs w:val="21"/>
          <w:highlight w:val="none"/>
        </w:rPr>
        <w:t>评标委员会应当按照招标文件中规定的评标方法和标准，对符合性审查合格的投标文件进行商务和技术评估，综合评审与评价。</w:t>
      </w:r>
    </w:p>
    <w:p w14:paraId="7B7330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22.2.5相同品牌产品的投标</w:t>
      </w:r>
    </w:p>
    <w:p w14:paraId="2529504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4EDA351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71162FA8">
      <w:pPr>
        <w:widowControl/>
        <w:shd w:val="clear" w:color="auto" w:fill="FFFFFF"/>
        <w:spacing w:line="360" w:lineRule="auto"/>
        <w:ind w:firstLine="420"/>
        <w:jc w:val="left"/>
        <w:rPr>
          <w:rFonts w:hint="eastAsia" w:ascii="宋体" w:hAnsi="宋体" w:cs="宋体"/>
          <w:b/>
          <w:bCs/>
          <w:color w:val="auto"/>
          <w:kern w:val="0"/>
          <w:szCs w:val="21"/>
          <w:highlight w:val="none"/>
        </w:rPr>
      </w:pPr>
      <w:r>
        <w:rPr>
          <w:rFonts w:hint="eastAsia" w:ascii="宋体" w:hAnsi="宋体" w:cs="宋体"/>
          <w:color w:val="auto"/>
          <w:kern w:val="0"/>
          <w:szCs w:val="21"/>
          <w:highlight w:val="none"/>
        </w:rPr>
        <w:t>非单一产品采购项目，确定核心产品的方法在招标文件技术需求中载明。多家投标人提供的核心产品品牌相同的，按前两款规定处理。</w:t>
      </w:r>
    </w:p>
    <w:p w14:paraId="50C52DE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027164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7C4832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7BCA013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F9E8CC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2F0C39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030E8D7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605648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20113634">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4F592F5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9507E63">
      <w:pPr>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投标人</w:t>
            </w:r>
            <w:r>
              <w:rPr>
                <w:rFonts w:hint="eastAsia" w:ascii="宋体" w:hAnsi="宋体" w:eastAsia="宋体" w:cs="宋体"/>
                <w:color w:val="auto"/>
                <w:spacing w:val="-3"/>
                <w:sz w:val="21"/>
                <w:szCs w:val="21"/>
                <w:highlight w:val="none"/>
              </w:rPr>
              <w:t>的总得分包括</w:t>
            </w:r>
            <w:r>
              <w:rPr>
                <w:rFonts w:hint="eastAsia" w:ascii="宋体" w:hAnsi="宋体" w:eastAsia="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rPr>
              <w:t>、技术部分、商务</w:t>
            </w:r>
            <w:r>
              <w:rPr>
                <w:rFonts w:hint="eastAsia" w:ascii="宋体" w:hAnsi="宋体" w:eastAsia="宋体" w:cs="宋体"/>
                <w:color w:val="auto"/>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投标报价</w:t>
            </w:r>
            <w:r>
              <w:rPr>
                <w:rFonts w:hint="eastAsia" w:ascii="宋体" w:hAnsi="宋体" w:eastAsia="宋体" w:cs="宋体"/>
                <w:color w:val="auto"/>
                <w:spacing w:val="-7"/>
                <w:sz w:val="21"/>
                <w:szCs w:val="21"/>
                <w:highlight w:val="none"/>
              </w:rPr>
              <w:t>：</w:t>
            </w:r>
            <w:r>
              <w:rPr>
                <w:rFonts w:hint="eastAsia" w:ascii="宋体" w:hAnsi="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分；商务</w:t>
            </w:r>
            <w:r>
              <w:rPr>
                <w:rFonts w:hint="eastAsia" w:ascii="宋体" w:hAnsi="宋体" w:eastAsia="宋体" w:cs="宋体"/>
                <w:color w:val="auto"/>
                <w:spacing w:val="-7"/>
                <w:sz w:val="21"/>
                <w:szCs w:val="21"/>
                <w:highlight w:val="none"/>
                <w:lang w:val="en-US" w:eastAsia="zh-CN"/>
              </w:rPr>
              <w:t>部分</w:t>
            </w:r>
            <w:r>
              <w:rPr>
                <w:rFonts w:hint="eastAsia" w:ascii="宋体" w:hAnsi="宋体" w:cs="宋体"/>
                <w:color w:val="auto"/>
                <w:spacing w:val="-7"/>
                <w:sz w:val="21"/>
                <w:szCs w:val="21"/>
                <w:highlight w:val="none"/>
                <w:lang w:val="en-US" w:eastAsia="zh-CN"/>
              </w:rPr>
              <w:t>14</w:t>
            </w:r>
            <w:r>
              <w:rPr>
                <w:rFonts w:hint="eastAsia" w:ascii="宋体" w:hAnsi="宋体" w:eastAsia="宋体" w:cs="宋体"/>
                <w:color w:val="auto"/>
                <w:spacing w:val="-7"/>
                <w:sz w:val="21"/>
                <w:szCs w:val="21"/>
                <w:highlight w:val="none"/>
                <w:lang w:val="en-US" w:eastAsia="zh-CN"/>
              </w:rPr>
              <w:t>分</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技术部分：</w:t>
            </w:r>
            <w:r>
              <w:rPr>
                <w:rFonts w:hint="eastAsia" w:ascii="宋体" w:hAnsi="宋体" w:cs="宋体"/>
                <w:color w:val="auto"/>
                <w:spacing w:val="-7"/>
                <w:sz w:val="21"/>
                <w:szCs w:val="21"/>
                <w:highlight w:val="none"/>
                <w:lang w:val="en-US" w:eastAsia="zh-CN"/>
              </w:rPr>
              <w:t>56</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0</w:t>
            </w:r>
            <w:r>
              <w:rPr>
                <w:rFonts w:hint="eastAsia" w:ascii="宋体" w:hAnsi="宋体" w:eastAsia="宋体" w:cs="宋体"/>
                <w:b/>
                <w:bCs/>
                <w:color w:val="auto"/>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采用低价优先法计算，即满足采购文件要求且价格最低的投标报价为投标基准价，其价格分为满分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0分。其他投标人的价格分统一按照下列公式计算：投标报价得分=(投标基准价／投标报价)×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14</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10</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cs="宋体"/>
                <w:color w:val="auto"/>
                <w:sz w:val="21"/>
                <w:szCs w:val="21"/>
                <w:highlight w:val="none"/>
                <w:lang w:val="en-US" w:eastAsia="zh-CN"/>
              </w:rPr>
              <w:t>至招标公告发布日期前（不含当天）</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与所招标的标的内容相同的</w:t>
            </w:r>
            <w:r>
              <w:rPr>
                <w:rFonts w:hint="eastAsia" w:ascii="宋体" w:hAnsi="宋体" w:eastAsia="宋体" w:cs="宋体"/>
                <w:color w:val="auto"/>
                <w:sz w:val="21"/>
                <w:szCs w:val="21"/>
                <w:highlight w:val="none"/>
                <w:lang w:val="en-US" w:eastAsia="zh-CN"/>
              </w:rPr>
              <w:t>服务业绩</w:t>
            </w:r>
            <w:r>
              <w:rPr>
                <w:rFonts w:hint="eastAsia" w:ascii="宋体" w:hAnsi="宋体" w:cs="宋体"/>
                <w:color w:val="auto"/>
                <w:sz w:val="21"/>
                <w:szCs w:val="21"/>
                <w:highlight w:val="none"/>
                <w:lang w:val="en-US" w:eastAsia="zh-CN"/>
              </w:rPr>
              <w:t>，且所供货单位须为</w:t>
            </w:r>
            <w:r>
              <w:rPr>
                <w:rFonts w:hint="eastAsia" w:ascii="宋体" w:hAnsi="宋体" w:cs="宋体"/>
                <w:b/>
                <w:bCs/>
                <w:color w:val="auto"/>
                <w:sz w:val="21"/>
                <w:szCs w:val="21"/>
                <w:highlight w:val="none"/>
                <w:lang w:val="en-US" w:eastAsia="zh-CN"/>
              </w:rPr>
              <w:t>医院</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药厂</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生产企业</w:t>
            </w: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color w:val="auto"/>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产品优势</w:t>
            </w:r>
          </w:p>
          <w:p w14:paraId="47F4068F">
            <w:pPr>
              <w:pStyle w:val="2"/>
              <w:rPr>
                <w:rFonts w:hint="default"/>
                <w:color w:val="auto"/>
                <w:highlight w:val="none"/>
                <w:lang w:val="en-US" w:eastAsia="zh-CN"/>
              </w:rPr>
            </w:pPr>
            <w:r>
              <w:rPr>
                <w:rFonts w:hint="eastAsia" w:ascii="宋体" w:hAnsi="宋体" w:cs="宋体"/>
                <w:b/>
                <w:bCs/>
                <w:color w:val="auto"/>
                <w:spacing w:val="-3"/>
                <w:sz w:val="21"/>
                <w:szCs w:val="21"/>
                <w:highlight w:val="none"/>
                <w:lang w:val="en-US" w:eastAsia="zh-CN"/>
              </w:rPr>
              <w:t>（4分）</w:t>
            </w:r>
          </w:p>
        </w:tc>
        <w:tc>
          <w:tcPr>
            <w:tcW w:w="8393" w:type="dxa"/>
            <w:noWrap w:val="0"/>
            <w:vAlign w:val="center"/>
          </w:tcPr>
          <w:p w14:paraId="32A945FC">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1.生产企业具有GMP认证证书的，得2分：</w:t>
            </w:r>
          </w:p>
          <w:p w14:paraId="12D71978">
            <w:pPr>
              <w:numPr>
                <w:ilvl w:val="0"/>
                <w:numId w:val="0"/>
              </w:num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2.投标人拟提供的产品具有连续三批次稳定性报告的得2分。</w:t>
            </w:r>
          </w:p>
          <w:p w14:paraId="1FBFC5E9">
            <w:pPr>
              <w:numPr>
                <w:ilvl w:val="0"/>
                <w:numId w:val="0"/>
              </w:numPr>
              <w:spacing w:line="360" w:lineRule="auto"/>
              <w:ind w:firstLineChars="200"/>
              <w:rPr>
                <w:rFonts w:hint="default"/>
                <w:color w:val="auto"/>
                <w:highlight w:val="none"/>
                <w:lang w:val="en-US" w:eastAsia="zh-CN"/>
              </w:rPr>
            </w:pPr>
            <w:r>
              <w:rPr>
                <w:rFonts w:hint="eastAsia" w:ascii="宋体" w:hAnsi="宋体" w:cs="宋体"/>
                <w:color w:val="auto"/>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56</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设备齐全、安全性一般、先进性一般的得4分；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设备可完成生产需要，安全性和先进性差得2分。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提供的制度和程序完整合理符合规范，且可行性强的得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提供的制度和程序基本合理规范有缺陷、可行性一般的得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提供的制度和程序不完整，有多处不规范、可行性较差的得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FD2CC56">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36A6CC87">
            <w:pPr>
              <w:widowControl/>
              <w:spacing w:line="360" w:lineRule="auto"/>
              <w:jc w:val="center"/>
              <w:rPr>
                <w:rFonts w:hint="eastAsia"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6</w:t>
            </w:r>
            <w:r>
              <w:rPr>
                <w:rFonts w:hint="eastAsia" w:ascii="宋体" w:hAnsi="宋体" w:cs="宋体"/>
                <w:b/>
                <w:bCs/>
                <w:color w:val="auto"/>
                <w:spacing w:val="-3"/>
                <w:szCs w:val="21"/>
                <w:highlight w:val="none"/>
              </w:rPr>
              <w:t>分）</w:t>
            </w:r>
          </w:p>
        </w:tc>
        <w:tc>
          <w:tcPr>
            <w:tcW w:w="8393" w:type="dxa"/>
            <w:noWrap w:val="0"/>
            <w:vAlign w:val="center"/>
          </w:tcPr>
          <w:p w14:paraId="5C29F9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70988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FC256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方案合理有缺陷、可行性一般的得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7192F2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51A0C9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8</w:t>
            </w:r>
            <w:r>
              <w:rPr>
                <w:rFonts w:hint="eastAsia" w:ascii="宋体" w:hAnsi="宋体" w:eastAsia="宋体" w:cs="宋体"/>
                <w:b/>
                <w:bCs/>
                <w:color w:val="auto"/>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21CC69E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535C955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11B2B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7FF21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251332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方案合理有缺陷、可行性一般的得3分；</w:t>
            </w:r>
          </w:p>
          <w:p w14:paraId="391BD6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7D6E0D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7894A6C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7C15D2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9A2937E">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4A4D2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退换货速度较快，方案合理有缺陷、可行性一般的得3分；</w:t>
            </w:r>
          </w:p>
          <w:p w14:paraId="36F715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5AE220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投标人为生产厂商，提供自有或租赁</w:t>
            </w:r>
            <w:r>
              <w:rPr>
                <w:rFonts w:hint="eastAsia" w:ascii="宋体" w:hAnsi="宋体" w:eastAsia="宋体" w:cs="宋体"/>
                <w:color w:val="auto"/>
                <w:sz w:val="21"/>
                <w:szCs w:val="21"/>
                <w:highlight w:val="none"/>
                <w:lang w:val="en-US" w:eastAsia="zh-CN"/>
              </w:rPr>
              <w:t>原辅料</w:t>
            </w:r>
            <w:r>
              <w:rPr>
                <w:rFonts w:hint="eastAsia" w:ascii="宋体" w:hAnsi="宋体" w:eastAsia="宋体" w:cs="宋体"/>
                <w:color w:val="auto"/>
                <w:sz w:val="21"/>
                <w:szCs w:val="21"/>
                <w:highlight w:val="none"/>
              </w:rPr>
              <w:t>仓库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投标人为</w:t>
            </w:r>
            <w:r>
              <w:rPr>
                <w:rFonts w:hint="eastAsia" w:ascii="宋体" w:hAnsi="宋体" w:cs="宋体"/>
                <w:color w:val="auto"/>
                <w:sz w:val="21"/>
                <w:szCs w:val="21"/>
                <w:highlight w:val="none"/>
                <w:lang w:val="en-US" w:eastAsia="zh-CN"/>
              </w:rPr>
              <w:t>代理商的，提供</w:t>
            </w:r>
            <w:r>
              <w:rPr>
                <w:rFonts w:hint="eastAsia" w:ascii="宋体" w:hAnsi="宋体" w:eastAsia="宋体" w:cs="宋体"/>
                <w:color w:val="auto"/>
                <w:sz w:val="21"/>
                <w:szCs w:val="21"/>
                <w:highlight w:val="none"/>
              </w:rPr>
              <w:t>自有或租赁</w:t>
            </w:r>
            <w:r>
              <w:rPr>
                <w:rFonts w:hint="eastAsia" w:ascii="宋体" w:hAnsi="宋体" w:cs="宋体"/>
                <w:color w:val="auto"/>
                <w:sz w:val="21"/>
                <w:szCs w:val="21"/>
                <w:highlight w:val="none"/>
                <w:lang w:val="en-US" w:eastAsia="zh-CN"/>
              </w:rPr>
              <w:t>原辅料仓库的得3分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、具有原辅料仓储质量保证管理制度及规范，制度与记录最</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基本的制度与记录的得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投标人自有配送车队</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辆车辆对产品进行配送的得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须提供行驶证等相关证明材料</w:t>
            </w:r>
            <w:r>
              <w:rPr>
                <w:rFonts w:hint="eastAsia" w:ascii="宋体" w:hAnsi="宋体" w:cs="宋体"/>
                <w:color w:val="auto"/>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投标人委托固定的第三方配送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不低于顺丰、京东、EMS同等条件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两者均无的不得分，不重复叠加给分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根据所有投标人提供的增值服务进行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，根据增值服务的可行性、实用性及合作展望进行评价（可提供以往合作案例或服务承诺等材料），针对性强、内容完整合理，得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基本合理，内容完整得4分；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根据投标人</w:t>
            </w:r>
            <w:r>
              <w:rPr>
                <w:rFonts w:hint="eastAsia" w:ascii="宋体" w:hAnsi="宋体" w:cs="宋体"/>
                <w:color w:val="auto"/>
                <w:sz w:val="21"/>
                <w:szCs w:val="21"/>
                <w:highlight w:val="none"/>
                <w:lang w:val="en-US" w:eastAsia="zh-CN"/>
              </w:rPr>
              <w:t>对所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产品的现场述标及评委问答情况</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lang w:val="en-US" w:eastAsia="zh-CN"/>
              </w:rPr>
              <w:t>述标内容包括但不限于产品优势、包装优缺点、物流配送保障等</w:t>
            </w:r>
            <w:r>
              <w:rPr>
                <w:rFonts w:hint="eastAsia" w:ascii="宋体" w:hAnsi="宋体" w:eastAsia="宋体" w:cs="宋体"/>
                <w:color w:val="auto"/>
                <w:sz w:val="21"/>
                <w:szCs w:val="21"/>
                <w:highlight w:val="none"/>
              </w:rPr>
              <w:t>），针对性强、内容完整合理，得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基本合理，内容完整得2分；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tc>
      </w:tr>
    </w:tbl>
    <w:p w14:paraId="23BA824D">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23380"/>
      <w:bookmarkStart w:id="25" w:name="_Toc30587"/>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醋酸曲安奈德</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lang w:val="en-US" w:eastAsia="zh-CN"/>
        </w:rPr>
        <w:t>中国医学科学院皮肤病医院醋酸曲安奈德采购项目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预算金额：</w:t>
      </w:r>
      <w:r>
        <w:rPr>
          <w:rFonts w:hint="eastAsia" w:ascii="宋体" w:hAnsi="宋体" w:cs="宋体"/>
          <w:color w:val="auto"/>
          <w:spacing w:val="-4"/>
          <w:sz w:val="21"/>
          <w:szCs w:val="21"/>
          <w:highlight w:val="none"/>
          <w:lang w:val="en-US" w:eastAsia="zh-CN"/>
        </w:rPr>
        <w:t>75万元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★单价限价：</w:t>
      </w:r>
      <w:r>
        <w:rPr>
          <w:rFonts w:hint="eastAsia" w:ascii="宋体" w:hAnsi="宋体" w:cs="宋体"/>
          <w:color w:val="auto"/>
          <w:spacing w:val="-4"/>
          <w:sz w:val="21"/>
          <w:szCs w:val="21"/>
          <w:highlight w:val="none"/>
          <w:lang w:val="en-US" w:eastAsia="zh-CN"/>
        </w:rPr>
        <w:t>25000 元/kg</w:t>
      </w:r>
    </w:p>
    <w:p w14:paraId="07EB3E3D">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rPr>
      </w:pPr>
      <w:r>
        <w:rPr>
          <w:rFonts w:hint="eastAsia" w:ascii="宋体" w:hAnsi="宋体" w:eastAsia="宋体" w:cs="宋体"/>
          <w:color w:val="auto"/>
          <w:spacing w:val="-4"/>
          <w:sz w:val="21"/>
          <w:szCs w:val="21"/>
          <w:highlight w:val="none"/>
          <w:lang w:val="en-US" w:eastAsia="zh-CN"/>
        </w:rPr>
        <w:t>规格：</w:t>
      </w:r>
      <w:r>
        <w:rPr>
          <w:rFonts w:hint="eastAsia" w:ascii="宋体" w:hAnsi="宋体" w:cs="宋体"/>
          <w:color w:val="auto"/>
          <w:spacing w:val="-4"/>
          <w:sz w:val="21"/>
          <w:szCs w:val="21"/>
          <w:highlight w:val="none"/>
          <w:lang w:val="en-US" w:eastAsia="zh-CN"/>
        </w:rPr>
        <w:t xml:space="preserve"> </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Cs w:val="21"/>
          <w:highlight w:val="none"/>
          <w:lang w:val="en-US" w:eastAsia="zh-CN"/>
        </w:rPr>
      </w:pPr>
      <w:r>
        <w:rPr>
          <w:rFonts w:hint="eastAsia" w:ascii="宋体" w:hAnsi="宋体" w:eastAsia="宋体" w:cs="宋体"/>
          <w:color w:val="auto"/>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醋酸曲安奈德</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30kg</w:t>
            </w:r>
            <w:r>
              <w:rPr>
                <w:rFonts w:hint="eastAsia" w:ascii="宋体" w:hAnsi="宋体" w:eastAsia="宋体" w:cs="宋体"/>
                <w:color w:val="auto"/>
                <w:kern w:val="0"/>
                <w:sz w:val="22"/>
                <w:highlight w:val="none"/>
                <w:lang w:val="en-US" w:eastAsia="zh-CN" w:bidi="ar"/>
              </w:rPr>
              <w:t>/年</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cs="宋体"/>
          <w:b/>
          <w:bCs/>
          <w:color w:val="auto"/>
          <w:sz w:val="21"/>
          <w:szCs w:val="21"/>
          <w:highlight w:val="none"/>
          <w:lang w:val="en-US" w:eastAsia="zh-CN"/>
        </w:rPr>
        <w:t>质保</w:t>
      </w:r>
      <w:r>
        <w:rPr>
          <w:rFonts w:hint="eastAsia" w:ascii="宋体" w:hAnsi="宋体" w:eastAsia="宋体" w:cs="宋体"/>
          <w:b/>
          <w:bCs/>
          <w:color w:val="auto"/>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1.质保期</w:t>
      </w:r>
      <w:r>
        <w:rPr>
          <w:rFonts w:hint="eastAsia" w:ascii="宋体" w:hAnsi="宋体" w:eastAsia="宋体" w:cs="宋体"/>
          <w:color w:val="auto"/>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2.供货商接业主通知后</w:t>
      </w:r>
      <w:r>
        <w:rPr>
          <w:rFonts w:hint="eastAsia" w:ascii="宋体" w:hAnsi="宋体" w:eastAsia="宋体" w:cs="宋体"/>
          <w:color w:val="auto"/>
          <w:spacing w:val="-4"/>
          <w:sz w:val="21"/>
          <w:szCs w:val="21"/>
          <w:highlight w:val="none"/>
          <w:lang w:val="en-US" w:eastAsia="zh-CN"/>
        </w:rPr>
        <w:t>一周内</w:t>
      </w:r>
      <w:r>
        <w:rPr>
          <w:rFonts w:hint="eastAsia" w:ascii="宋体" w:hAnsi="宋体" w:cs="宋体"/>
          <w:color w:val="auto"/>
          <w:spacing w:val="-4"/>
          <w:sz w:val="21"/>
          <w:szCs w:val="21"/>
          <w:highlight w:val="none"/>
          <w:lang w:val="en-US" w:eastAsia="zh-CN"/>
        </w:rPr>
        <w:t>完成</w:t>
      </w:r>
      <w:r>
        <w:rPr>
          <w:rFonts w:hint="eastAsia" w:ascii="宋体" w:hAnsi="宋体" w:eastAsia="宋体" w:cs="宋体"/>
          <w:color w:val="auto"/>
          <w:spacing w:val="-4"/>
          <w:sz w:val="21"/>
          <w:szCs w:val="21"/>
          <w:highlight w:val="none"/>
          <w:lang w:val="en-US" w:eastAsia="zh-CN"/>
        </w:rPr>
        <w:t>对质保期内出现</w:t>
      </w:r>
      <w:r>
        <w:rPr>
          <w:rFonts w:hint="default" w:ascii="宋体" w:hAnsi="宋体" w:eastAsia="宋体" w:cs="宋体"/>
          <w:color w:val="auto"/>
          <w:spacing w:val="-4"/>
          <w:sz w:val="21"/>
          <w:szCs w:val="21"/>
          <w:highlight w:val="none"/>
          <w:lang w:val="en-US" w:eastAsia="zh-CN"/>
        </w:rPr>
        <w:t>问题</w:t>
      </w:r>
      <w:r>
        <w:rPr>
          <w:rFonts w:hint="eastAsia" w:ascii="宋体" w:hAnsi="宋体" w:eastAsia="宋体" w:cs="宋体"/>
          <w:color w:val="auto"/>
          <w:spacing w:val="-4"/>
          <w:sz w:val="21"/>
          <w:szCs w:val="21"/>
          <w:highlight w:val="none"/>
          <w:lang w:val="en-US" w:eastAsia="zh-CN"/>
        </w:rPr>
        <w:t>的原辅料</w:t>
      </w:r>
      <w:r>
        <w:rPr>
          <w:rFonts w:hint="eastAsia" w:ascii="宋体" w:hAnsi="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cs="Times New Roman"/>
          <w:color w:val="auto"/>
          <w:szCs w:val="21"/>
          <w:highlight w:val="none"/>
          <w:lang w:val="zh-CN"/>
        </w:rPr>
        <w:t>验收合格后开票，采购人在收到供应商开具的正规有效发票后1个月内支付，详见合同条款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11EDC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A7593EA">
      <w:pPr>
        <w:pStyle w:val="136"/>
        <w:adjustRightInd w:val="0"/>
        <w:snapToGrid w:val="0"/>
        <w:jc w:val="center"/>
        <w:rPr>
          <w:rStyle w:val="47"/>
          <w:rFonts w:ascii="黑体" w:hAnsi="华文中宋" w:eastAsia="黑体" w:cs="Times New Roman"/>
          <w:color w:val="auto"/>
          <w:sz w:val="28"/>
          <w:szCs w:val="28"/>
          <w:highlight w:val="none"/>
        </w:rPr>
      </w:pPr>
      <w:bookmarkStart w:id="28" w:name="_Toc256000040"/>
      <w:bookmarkStart w:id="29" w:name="_Toc29913945"/>
      <w:r>
        <w:rPr>
          <w:rStyle w:val="47"/>
          <w:rFonts w:hint="eastAsia" w:ascii="黑体" w:hAnsi="华文中宋" w:eastAsia="黑体" w:cs="Times New Roman"/>
          <w:color w:val="auto"/>
          <w:sz w:val="28"/>
          <w:szCs w:val="28"/>
          <w:highlight w:val="none"/>
        </w:rPr>
        <w:t>第一节 政府采购合同协议书</w:t>
      </w:r>
      <w:bookmarkEnd w:id="28"/>
      <w:bookmarkEnd w:id="29"/>
    </w:p>
    <w:p w14:paraId="2C98A8B7">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367CE665">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1460E64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0758AB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2D864D3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7E6D0126">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444A13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783AEC5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281DC87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D95A4F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580F4EE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42E1BAF">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49B9D6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A9F7AA0">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7DEC8C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8270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3F027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0E1F7DE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5CDC902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5C08E0C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6682C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）以甲方确认的实际供货数量为准进行结算。</w:t>
      </w:r>
    </w:p>
    <w:p w14:paraId="3AA6BEF9">
      <w:pPr>
        <w:spacing w:line="360" w:lineRule="auto"/>
        <w:ind w:firstLine="420" w:firstLineChars="200"/>
        <w:rPr>
          <w:rStyle w:val="47"/>
          <w:rFonts w:hint="eastAsia" w:ascii="宋体" w:hAnsi="宋体" w:eastAsia="宋体" w:cs="Times New Roman"/>
          <w:bCs/>
          <w:color w:val="auto"/>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 xml:space="preserve">）验收合格后开票，采购人在收到供应商开具的正规有效发票后1个月内支付。 </w:t>
      </w: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7673F5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B8AFD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1FDF8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53B1C5C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3A2719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2F21A8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6A1849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A6A429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2D0F2AA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52EA02A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56A7CFF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6CE2D79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522560F">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772EC2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5493234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2C38600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4E8A3ED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9C7775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636E9E5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2261325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法定代表人：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法定代表人：</w:t>
      </w:r>
      <w:r>
        <w:rPr>
          <w:rStyle w:val="47"/>
          <w:rFonts w:hint="eastAsia" w:ascii="宋体" w:hAnsi="宋体" w:eastAsia="宋体" w:cs="Times New Roman"/>
          <w:color w:val="auto"/>
          <w:szCs w:val="21"/>
          <w:highlight w:val="none"/>
          <w:u w:val="single"/>
        </w:rPr>
        <w:t xml:space="preserve">                   </w:t>
      </w:r>
    </w:p>
    <w:p w14:paraId="7DC4F39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委托代理人：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委托代理人：</w:t>
      </w:r>
      <w:r>
        <w:rPr>
          <w:rStyle w:val="47"/>
          <w:rFonts w:hint="eastAsia" w:ascii="宋体" w:hAnsi="宋体" w:eastAsia="宋体" w:cs="Times New Roman"/>
          <w:color w:val="auto"/>
          <w:szCs w:val="21"/>
          <w:highlight w:val="none"/>
          <w:u w:val="single"/>
        </w:rPr>
        <w:t xml:space="preserve">                   </w:t>
      </w:r>
    </w:p>
    <w:p w14:paraId="678F21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2BA779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0BC42D9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883E8EF">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帐       号：</w:t>
      </w:r>
      <w:r>
        <w:rPr>
          <w:rStyle w:val="47"/>
          <w:rFonts w:hint="eastAsia" w:ascii="宋体" w:hAnsi="宋体" w:eastAsia="宋体" w:cs="Times New Roman"/>
          <w:color w:val="auto"/>
          <w:szCs w:val="21"/>
          <w:highlight w:val="none"/>
          <w:u w:val="single"/>
        </w:rPr>
        <w:t xml:space="preserve">                 </w:t>
      </w:r>
    </w:p>
    <w:p w14:paraId="4CF8E672">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9913946"/>
      <w:bookmarkStart w:id="31" w:name="_Toc256000041"/>
      <w:r>
        <w:rPr>
          <w:rStyle w:val="47"/>
          <w:rFonts w:hint="eastAsia" w:ascii="黑体" w:hAnsi="黑体" w:eastAsia="黑体" w:cs="Times New Roman"/>
          <w:color w:val="auto"/>
          <w:sz w:val="28"/>
          <w:szCs w:val="28"/>
          <w:highlight w:val="none"/>
        </w:rPr>
        <w:t>第二节 政府采购合同通用条款</w:t>
      </w:r>
      <w:bookmarkEnd w:id="30"/>
      <w:bookmarkEnd w:id="31"/>
    </w:p>
    <w:p w14:paraId="6FB4F29D">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4A5A08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5E9878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2FEB6D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63C8519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64B2821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77E24323">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2CCB2A57">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4011979B">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3C6EA54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01DD129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3C78E09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2B2087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0A1FAE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0E8BC81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6FD777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2AF0FDB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22B9235F">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05FEE805">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6D40CD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156D22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1F40CDE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743EE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70DFD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C5F61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225F6D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2F5A9990">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7630DB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6148B4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6CC98EC6">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39A3CA7F">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13C7BA2E">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25E5EA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4A6FF00F">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72536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2A3407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3B31841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216504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2A29415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1C7FDA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0FEB5456">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77A0231B">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19DC0DE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2A461EA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5745F9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0C43EDAE">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1CB8A0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3D7588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3054AE8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82899D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5DF70466">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8C7DBD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5682BABA">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11ACF1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0CCEE3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0EC3E44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27C68423">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07741F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3FEDD4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083461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339BC0E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7A93CF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20DB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E18387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723915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30570A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4C1F17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129F505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6B109291">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D14C5CF">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F19C5A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7E9C76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01E6044">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34181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EE04C6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3BECF1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0C1D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29701D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49EBBC95">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24E8D4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78506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B7DBA9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66A6BB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3FEA23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21F5E06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E4F6E1C">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4CE60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5E49C0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DE0FB3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7A2E42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162CAC7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72C69D0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70A1597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7E43A807">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386B185E">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091F473D">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7AAF983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65AAB947">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23C88ED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59208F30">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354BBA66">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56000042"/>
      <w:bookmarkStart w:id="33" w:name="_Toc29913947"/>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09528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2A1B881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CC55E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1E249537">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7B78A518">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2AE59FE5">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015E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04D306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239F6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000F23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8DC03C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786F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EBC77B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A1F056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2A2774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28B4DC33">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4238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4DEBA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22873BA">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CF8D43">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F437583">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D748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B2FC4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5FA5EEB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7196E2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CA371CC">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72B4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14657D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12D67BA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D6F95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AE56CBC">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4DFA4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7D5100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32CD6E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2C9CAA5">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8D0BD30">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36A9C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FB43F68">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971E3E8">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C0782AC">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498A09F">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6135E01">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5513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6ECA2ED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449AEFE">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6A92E46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5D4834A">
            <w:pPr>
              <w:pStyle w:val="203"/>
              <w:adjustRightInd w:val="0"/>
              <w:snapToGrid w:val="0"/>
              <w:spacing w:line="360" w:lineRule="auto"/>
              <w:jc w:val="left"/>
              <w:rPr>
                <w:rStyle w:val="47"/>
                <w:rFonts w:ascii="宋体" w:hAnsi="宋体"/>
                <w:color w:val="auto"/>
                <w:szCs w:val="21"/>
                <w:highlight w:val="none"/>
                <w:u w:val="single"/>
              </w:rPr>
            </w:pPr>
          </w:p>
        </w:tc>
      </w:tr>
    </w:tbl>
    <w:p w14:paraId="3FDE5F2C">
      <w:pPr>
        <w:rPr>
          <w:color w:val="auto"/>
          <w:highlight w:val="none"/>
        </w:rPr>
      </w:pPr>
    </w:p>
    <w:p w14:paraId="519E20BE">
      <w:pPr>
        <w:rPr>
          <w:rFonts w:hint="eastAsia" w:ascii="宋体" w:hAnsi="宋体" w:eastAsia="宋体" w:cs="宋体"/>
          <w:color w:val="auto"/>
          <w:sz w:val="32"/>
          <w:szCs w:val="32"/>
          <w:highlight w:val="none"/>
        </w:rPr>
      </w:pPr>
    </w:p>
    <w:p w14:paraId="3B9F7F2F">
      <w:pPr>
        <w:rPr>
          <w:rFonts w:hint="eastAsia" w:ascii="宋体" w:hAnsi="宋体" w:eastAsia="宋体" w:cs="宋体"/>
          <w:color w:val="auto"/>
          <w:sz w:val="32"/>
          <w:szCs w:val="32"/>
          <w:highlight w:val="none"/>
        </w:rPr>
      </w:pPr>
    </w:p>
    <w:p w14:paraId="06C1659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16CA01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2FE4AA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2A177C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D3AC5E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00A2DF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4C38E0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7456EF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3571CD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EFDA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65EC2C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5B465E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664473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77E31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546754C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573CEC71">
      <w:pPr>
        <w:rPr>
          <w:rFonts w:hint="eastAsia" w:ascii="宋体" w:hAnsi="宋体" w:eastAsia="宋体" w:cs="宋体"/>
          <w:color w:val="auto"/>
          <w:sz w:val="32"/>
          <w:szCs w:val="32"/>
          <w:highlight w:val="none"/>
        </w:rPr>
      </w:pPr>
    </w:p>
    <w:p w14:paraId="4D903A55">
      <w:pPr>
        <w:pStyle w:val="2"/>
        <w:rPr>
          <w:rFonts w:hint="eastAsia"/>
          <w:color w:val="auto"/>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5"/>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w:t>
      </w:r>
      <w:r>
        <w:rPr>
          <w:rFonts w:hint="eastAsia" w:ascii="宋体" w:hAnsi="宋体" w:cs="宋体"/>
          <w:b/>
          <w:color w:val="auto"/>
          <w:kern w:val="0"/>
          <w:szCs w:val="21"/>
          <w:highlight w:val="none"/>
          <w:lang w:eastAsia="zh-CN"/>
        </w:rPr>
        <w:t>重大税收违法失信主体</w:t>
      </w:r>
      <w:r>
        <w:rPr>
          <w:rFonts w:hint="eastAsia" w:ascii="宋体" w:hAnsi="宋体" w:eastAsia="宋体" w:cs="宋体"/>
          <w:b/>
          <w:color w:val="auto"/>
          <w:kern w:val="0"/>
          <w:szCs w:val="21"/>
          <w:highlight w:val="none"/>
        </w:rPr>
        <w:t>、政府采购严重违法失信行为记录名单的供应商。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color w:val="auto"/>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根据招标文件的要求，我司承诺所提供的醋酸曲安奈德原辅料及供货服务、质保服务满足贵单位的要求。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根据招标文件的要求，我司承诺具备向贵单位提供30kg/年醋酸曲安奈德原辅料的能力。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color w:val="auto"/>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5652"/>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4F4FC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15753"/>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501A0A"/>
    <w:rsid w:val="098274FD"/>
    <w:rsid w:val="09F8752F"/>
    <w:rsid w:val="0A0D439F"/>
    <w:rsid w:val="0A0F0D09"/>
    <w:rsid w:val="0A1D4600"/>
    <w:rsid w:val="0A1F68B2"/>
    <w:rsid w:val="0A210F95"/>
    <w:rsid w:val="0A2836E0"/>
    <w:rsid w:val="0A29194C"/>
    <w:rsid w:val="0A593073"/>
    <w:rsid w:val="0A8E5529"/>
    <w:rsid w:val="0AB44EF5"/>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11349"/>
    <w:rsid w:val="0D0A7F77"/>
    <w:rsid w:val="0D141A4E"/>
    <w:rsid w:val="0D4D0748"/>
    <w:rsid w:val="0D5F5515"/>
    <w:rsid w:val="0D7D1E20"/>
    <w:rsid w:val="0D8943DC"/>
    <w:rsid w:val="0D8A04E4"/>
    <w:rsid w:val="0D932BB8"/>
    <w:rsid w:val="0D98461B"/>
    <w:rsid w:val="0DB904D9"/>
    <w:rsid w:val="0DBB0918"/>
    <w:rsid w:val="0DCD13EA"/>
    <w:rsid w:val="0DDF797E"/>
    <w:rsid w:val="0DE25782"/>
    <w:rsid w:val="0DEE271A"/>
    <w:rsid w:val="0DF148E8"/>
    <w:rsid w:val="0E210D90"/>
    <w:rsid w:val="0E280BF1"/>
    <w:rsid w:val="0E2A2732"/>
    <w:rsid w:val="0E2E40B0"/>
    <w:rsid w:val="0E2F7B01"/>
    <w:rsid w:val="0E4B5699"/>
    <w:rsid w:val="0E512E80"/>
    <w:rsid w:val="0E6E1A32"/>
    <w:rsid w:val="0E915BD0"/>
    <w:rsid w:val="0EC175A1"/>
    <w:rsid w:val="0ECB3A00"/>
    <w:rsid w:val="0ECD4128"/>
    <w:rsid w:val="0EF05635"/>
    <w:rsid w:val="0F0913A4"/>
    <w:rsid w:val="0F1E0DA7"/>
    <w:rsid w:val="0F360DD3"/>
    <w:rsid w:val="0F3B1568"/>
    <w:rsid w:val="0F6B1793"/>
    <w:rsid w:val="0F7B5DFB"/>
    <w:rsid w:val="0FF37EF3"/>
    <w:rsid w:val="0FFE4C46"/>
    <w:rsid w:val="10003697"/>
    <w:rsid w:val="10064480"/>
    <w:rsid w:val="100930B7"/>
    <w:rsid w:val="10156FD1"/>
    <w:rsid w:val="10371F2F"/>
    <w:rsid w:val="1057473E"/>
    <w:rsid w:val="105A6D80"/>
    <w:rsid w:val="107B23CF"/>
    <w:rsid w:val="107E1871"/>
    <w:rsid w:val="10824E25"/>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0C7C36"/>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F2067"/>
    <w:rsid w:val="17174321"/>
    <w:rsid w:val="172D5F9D"/>
    <w:rsid w:val="17382C6C"/>
    <w:rsid w:val="17441AAD"/>
    <w:rsid w:val="174F3343"/>
    <w:rsid w:val="1759528C"/>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64D6F"/>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34488"/>
    <w:rsid w:val="1BFB746E"/>
    <w:rsid w:val="1C1C144E"/>
    <w:rsid w:val="1C2663BF"/>
    <w:rsid w:val="1C36433C"/>
    <w:rsid w:val="1C376E21"/>
    <w:rsid w:val="1C607E4F"/>
    <w:rsid w:val="1C721035"/>
    <w:rsid w:val="1C887DF5"/>
    <w:rsid w:val="1C89288A"/>
    <w:rsid w:val="1C9B1370"/>
    <w:rsid w:val="1CA47846"/>
    <w:rsid w:val="1CCF4A59"/>
    <w:rsid w:val="1CD565D5"/>
    <w:rsid w:val="1CDF6675"/>
    <w:rsid w:val="1CEF14EF"/>
    <w:rsid w:val="1CF43006"/>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34E56"/>
    <w:rsid w:val="1E5D18EA"/>
    <w:rsid w:val="1E604A81"/>
    <w:rsid w:val="1E706AC5"/>
    <w:rsid w:val="1E706D9C"/>
    <w:rsid w:val="1E71495E"/>
    <w:rsid w:val="1E841A5F"/>
    <w:rsid w:val="1EA33881"/>
    <w:rsid w:val="1EA40105"/>
    <w:rsid w:val="1EA972F9"/>
    <w:rsid w:val="1EBC7CC4"/>
    <w:rsid w:val="1EC665E8"/>
    <w:rsid w:val="1EDC6093"/>
    <w:rsid w:val="1F14468F"/>
    <w:rsid w:val="1F1704FD"/>
    <w:rsid w:val="1F524DE1"/>
    <w:rsid w:val="1F69585D"/>
    <w:rsid w:val="1F6B38B0"/>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200D8"/>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427059"/>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57A6A"/>
    <w:rsid w:val="268E2249"/>
    <w:rsid w:val="268E3ECA"/>
    <w:rsid w:val="26995566"/>
    <w:rsid w:val="26A67D94"/>
    <w:rsid w:val="26C52C94"/>
    <w:rsid w:val="26E51871"/>
    <w:rsid w:val="26EC52C4"/>
    <w:rsid w:val="26FD1062"/>
    <w:rsid w:val="27092AF8"/>
    <w:rsid w:val="27224B0F"/>
    <w:rsid w:val="272F1E9F"/>
    <w:rsid w:val="274E1A68"/>
    <w:rsid w:val="2764417B"/>
    <w:rsid w:val="2766254E"/>
    <w:rsid w:val="27795A37"/>
    <w:rsid w:val="278476CC"/>
    <w:rsid w:val="27965B02"/>
    <w:rsid w:val="27F710A0"/>
    <w:rsid w:val="28192E5C"/>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0B0FC2"/>
    <w:rsid w:val="291433AE"/>
    <w:rsid w:val="292274D8"/>
    <w:rsid w:val="29432A42"/>
    <w:rsid w:val="294F62D4"/>
    <w:rsid w:val="2976043F"/>
    <w:rsid w:val="29834CA6"/>
    <w:rsid w:val="298429E5"/>
    <w:rsid w:val="29AA7F26"/>
    <w:rsid w:val="29B710E8"/>
    <w:rsid w:val="29CC2562"/>
    <w:rsid w:val="29D250A3"/>
    <w:rsid w:val="29D257CF"/>
    <w:rsid w:val="29D97152"/>
    <w:rsid w:val="29EA6773"/>
    <w:rsid w:val="29FA1323"/>
    <w:rsid w:val="2A2622F9"/>
    <w:rsid w:val="2A2E7A7E"/>
    <w:rsid w:val="2A4735A8"/>
    <w:rsid w:val="2A5F40B6"/>
    <w:rsid w:val="2A714859"/>
    <w:rsid w:val="2A843301"/>
    <w:rsid w:val="2B1A174A"/>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68444C"/>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0086A"/>
    <w:rsid w:val="308C1183"/>
    <w:rsid w:val="309713C6"/>
    <w:rsid w:val="30A232E4"/>
    <w:rsid w:val="30C50C66"/>
    <w:rsid w:val="30D836AE"/>
    <w:rsid w:val="30ED1711"/>
    <w:rsid w:val="31167200"/>
    <w:rsid w:val="312C69BA"/>
    <w:rsid w:val="312F14C4"/>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2F12144"/>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04B26"/>
    <w:rsid w:val="39933B19"/>
    <w:rsid w:val="39A33CED"/>
    <w:rsid w:val="39B16FCF"/>
    <w:rsid w:val="39B63F14"/>
    <w:rsid w:val="39BB11C0"/>
    <w:rsid w:val="39CE52D4"/>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491F46"/>
    <w:rsid w:val="406A5FB3"/>
    <w:rsid w:val="40A86353"/>
    <w:rsid w:val="40CC47B9"/>
    <w:rsid w:val="40E41DEF"/>
    <w:rsid w:val="40F17FA1"/>
    <w:rsid w:val="40F2485A"/>
    <w:rsid w:val="40FC47E1"/>
    <w:rsid w:val="412F5FB2"/>
    <w:rsid w:val="41345493"/>
    <w:rsid w:val="4138297C"/>
    <w:rsid w:val="41474664"/>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817701"/>
    <w:rsid w:val="42A65106"/>
    <w:rsid w:val="42BB2A5D"/>
    <w:rsid w:val="42CB6444"/>
    <w:rsid w:val="42F27836"/>
    <w:rsid w:val="430A6E5A"/>
    <w:rsid w:val="432F0910"/>
    <w:rsid w:val="4330416F"/>
    <w:rsid w:val="4332163E"/>
    <w:rsid w:val="433E2AAC"/>
    <w:rsid w:val="434271E2"/>
    <w:rsid w:val="434F7A62"/>
    <w:rsid w:val="436752A6"/>
    <w:rsid w:val="43804E58"/>
    <w:rsid w:val="43843FDD"/>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AF4D11"/>
    <w:rsid w:val="47B2336A"/>
    <w:rsid w:val="47BA4F6E"/>
    <w:rsid w:val="47D7366E"/>
    <w:rsid w:val="47E12DA0"/>
    <w:rsid w:val="47E413E0"/>
    <w:rsid w:val="47F243FC"/>
    <w:rsid w:val="486C3D94"/>
    <w:rsid w:val="487121A4"/>
    <w:rsid w:val="48722D21"/>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5F69CD"/>
    <w:rsid w:val="4A715E3D"/>
    <w:rsid w:val="4AB72982"/>
    <w:rsid w:val="4B1B2082"/>
    <w:rsid w:val="4B464664"/>
    <w:rsid w:val="4B635F8B"/>
    <w:rsid w:val="4B65032C"/>
    <w:rsid w:val="4B712A43"/>
    <w:rsid w:val="4B82202B"/>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DC79CC"/>
    <w:rsid w:val="4DF4626D"/>
    <w:rsid w:val="4DFC20A2"/>
    <w:rsid w:val="4DFF1B97"/>
    <w:rsid w:val="4E020B1B"/>
    <w:rsid w:val="4E043535"/>
    <w:rsid w:val="4E0D12D5"/>
    <w:rsid w:val="4E1362FB"/>
    <w:rsid w:val="4E25360E"/>
    <w:rsid w:val="4E2719FC"/>
    <w:rsid w:val="4E32738D"/>
    <w:rsid w:val="4E5E12F1"/>
    <w:rsid w:val="4E62045F"/>
    <w:rsid w:val="4E6A6F3F"/>
    <w:rsid w:val="4E783F31"/>
    <w:rsid w:val="4EAC689C"/>
    <w:rsid w:val="4EB25AA5"/>
    <w:rsid w:val="4EB91C18"/>
    <w:rsid w:val="4EDD2691"/>
    <w:rsid w:val="4EDE154D"/>
    <w:rsid w:val="4EE65CA1"/>
    <w:rsid w:val="4EE859FD"/>
    <w:rsid w:val="4EF911E3"/>
    <w:rsid w:val="4EF94046"/>
    <w:rsid w:val="4F0048E8"/>
    <w:rsid w:val="4F075FBA"/>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76008"/>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7222D"/>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AF6350"/>
    <w:rsid w:val="54B72A99"/>
    <w:rsid w:val="54BC49A0"/>
    <w:rsid w:val="54EE39DB"/>
    <w:rsid w:val="55022976"/>
    <w:rsid w:val="551C096F"/>
    <w:rsid w:val="55240097"/>
    <w:rsid w:val="552C3D46"/>
    <w:rsid w:val="553245F5"/>
    <w:rsid w:val="554D13EE"/>
    <w:rsid w:val="55850C4A"/>
    <w:rsid w:val="559341A6"/>
    <w:rsid w:val="55C57ADE"/>
    <w:rsid w:val="55CE22F2"/>
    <w:rsid w:val="560403F4"/>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8EA0A67"/>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34000"/>
    <w:rsid w:val="5B8859A0"/>
    <w:rsid w:val="5B9F7743"/>
    <w:rsid w:val="5BB522B5"/>
    <w:rsid w:val="5BBA4618"/>
    <w:rsid w:val="5BBD5FF5"/>
    <w:rsid w:val="5BF250F3"/>
    <w:rsid w:val="5BF84DDB"/>
    <w:rsid w:val="5C111338"/>
    <w:rsid w:val="5C1B076F"/>
    <w:rsid w:val="5C5B500F"/>
    <w:rsid w:val="5C691941"/>
    <w:rsid w:val="5C727BE4"/>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7C7D70"/>
    <w:rsid w:val="5D987A13"/>
    <w:rsid w:val="5D9B0E6A"/>
    <w:rsid w:val="5D9E1AED"/>
    <w:rsid w:val="5D9E4E16"/>
    <w:rsid w:val="5DBA0135"/>
    <w:rsid w:val="5DCD5DE5"/>
    <w:rsid w:val="5DD437EF"/>
    <w:rsid w:val="5DF16302"/>
    <w:rsid w:val="5DFF4B46"/>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45911"/>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577A2F"/>
    <w:rsid w:val="626D5F91"/>
    <w:rsid w:val="627E7D9D"/>
    <w:rsid w:val="628407FE"/>
    <w:rsid w:val="62880405"/>
    <w:rsid w:val="629073C4"/>
    <w:rsid w:val="62996318"/>
    <w:rsid w:val="62AA6D2C"/>
    <w:rsid w:val="62B0179B"/>
    <w:rsid w:val="62CC094F"/>
    <w:rsid w:val="62F95075"/>
    <w:rsid w:val="630334E9"/>
    <w:rsid w:val="630737FB"/>
    <w:rsid w:val="631331C2"/>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0C04E7"/>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CF75D5"/>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6FF944CB"/>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8C0F76"/>
    <w:rsid w:val="71BB1264"/>
    <w:rsid w:val="71C14470"/>
    <w:rsid w:val="71DD01AD"/>
    <w:rsid w:val="71E01DDD"/>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DB5219"/>
    <w:rsid w:val="75F8009A"/>
    <w:rsid w:val="762B22A9"/>
    <w:rsid w:val="763A3819"/>
    <w:rsid w:val="76471DE8"/>
    <w:rsid w:val="764C1D57"/>
    <w:rsid w:val="766C2B27"/>
    <w:rsid w:val="76701D3D"/>
    <w:rsid w:val="76951140"/>
    <w:rsid w:val="76974BD9"/>
    <w:rsid w:val="76977026"/>
    <w:rsid w:val="76A70C95"/>
    <w:rsid w:val="76A825E3"/>
    <w:rsid w:val="76D15D09"/>
    <w:rsid w:val="76D4359C"/>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86213"/>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607369"/>
    <w:rsid w:val="79820F11"/>
    <w:rsid w:val="79A81252"/>
    <w:rsid w:val="79AC037E"/>
    <w:rsid w:val="79B4594A"/>
    <w:rsid w:val="79B978EA"/>
    <w:rsid w:val="79BA0342"/>
    <w:rsid w:val="79BC708D"/>
    <w:rsid w:val="79EB1C7D"/>
    <w:rsid w:val="79F17680"/>
    <w:rsid w:val="7A127C03"/>
    <w:rsid w:val="7A1B476E"/>
    <w:rsid w:val="7A50702E"/>
    <w:rsid w:val="7A9722EA"/>
    <w:rsid w:val="7AA274F5"/>
    <w:rsid w:val="7AF27BF0"/>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EB7AE5"/>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1E04AA"/>
    <w:rsid w:val="7D213138"/>
    <w:rsid w:val="7D2521B2"/>
    <w:rsid w:val="7D317598"/>
    <w:rsid w:val="7D3230DC"/>
    <w:rsid w:val="7D4D08D5"/>
    <w:rsid w:val="7D551F58"/>
    <w:rsid w:val="7D6A282B"/>
    <w:rsid w:val="7D6B68D8"/>
    <w:rsid w:val="7D7004C3"/>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49</Pages>
  <Words>22383</Words>
  <Characters>23284</Characters>
  <Lines>149</Lines>
  <Paragraphs>42</Paragraphs>
  <TotalTime>1</TotalTime>
  <ScaleCrop>false</ScaleCrop>
  <LinksUpToDate>false</LinksUpToDate>
  <CharactersWithSpaces>25174</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2026-04-27T07:33:23Z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eyJoZGlkIjoiMzEwNTM5NzYwMDRjMzkwZTVkZjY2ODkwMGIxNGU0OTUiLCJ1c2VySWQiOiI0NDk3Mzg1MDUifQ==</vt:lpwstr>
  </property>
</Properties>
</file>