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156B9">
      <w:pPr>
        <w:widowControl/>
        <w:shd w:val="clear" w:color="auto" w:fill="FFFFFF"/>
        <w:spacing w:line="440" w:lineRule="exact"/>
        <w:rPr>
          <w:rFonts w:hint="eastAsia" w:ascii="宋体" w:hAnsi="宋体" w:eastAsia="宋体" w:cs="宋体"/>
          <w:b/>
          <w:color w:val="auto"/>
          <w:kern w:val="0"/>
          <w:sz w:val="48"/>
          <w:szCs w:val="48"/>
          <w:highlight w:val="none"/>
        </w:rPr>
      </w:pPr>
    </w:p>
    <w:p w14:paraId="4638CA62">
      <w:pPr>
        <w:widowControl/>
        <w:shd w:val="clear" w:color="auto" w:fill="FFFFFF"/>
        <w:spacing w:line="440" w:lineRule="exact"/>
        <w:rPr>
          <w:rFonts w:hint="eastAsia" w:ascii="宋体" w:hAnsi="宋体" w:eastAsia="宋体" w:cs="宋体"/>
          <w:b/>
          <w:color w:val="auto"/>
          <w:kern w:val="0"/>
          <w:sz w:val="48"/>
          <w:szCs w:val="48"/>
          <w:highlight w:val="none"/>
        </w:rPr>
      </w:pPr>
    </w:p>
    <w:p w14:paraId="456FA8C4">
      <w:pPr>
        <w:pStyle w:val="10"/>
        <w:ind w:left="0" w:leftChars="0" w:firstLine="0" w:firstLineChars="0"/>
        <w:jc w:val="center"/>
        <w:rPr>
          <w:rFonts w:hint="eastAsia" w:ascii="宋体" w:hAnsi="宋体" w:eastAsia="宋体" w:cs="宋体"/>
          <w:color w:val="auto"/>
          <w:highlight w:val="none"/>
          <w:lang w:val="en-US" w:eastAsia="zh-CN"/>
        </w:rPr>
      </w:pPr>
      <w:r>
        <w:rPr>
          <w:rFonts w:hint="eastAsia" w:ascii="宋体" w:hAnsi="宋体" w:cs="宋体"/>
          <w:b/>
          <w:bCs/>
          <w:color w:val="auto"/>
          <w:sz w:val="36"/>
          <w:szCs w:val="36"/>
          <w:highlight w:val="none"/>
          <w:lang w:eastAsia="zh-CN"/>
        </w:rPr>
        <w:t>中国医学科学院皮肤病医院多组学检测技术服务采购项目</w:t>
      </w:r>
    </w:p>
    <w:p w14:paraId="09850D80">
      <w:pPr>
        <w:widowControl/>
        <w:spacing w:line="440" w:lineRule="exact"/>
        <w:rPr>
          <w:rFonts w:hint="eastAsia" w:ascii="宋体" w:hAnsi="宋体" w:eastAsia="宋体" w:cs="宋体"/>
          <w:b/>
          <w:color w:val="auto"/>
          <w:kern w:val="0"/>
          <w:sz w:val="72"/>
          <w:szCs w:val="72"/>
          <w:highlight w:val="none"/>
        </w:rPr>
      </w:pPr>
    </w:p>
    <w:p w14:paraId="1815FFD9">
      <w:pPr>
        <w:pStyle w:val="13"/>
        <w:spacing w:line="440" w:lineRule="exact"/>
        <w:rPr>
          <w:rFonts w:hint="eastAsia" w:ascii="宋体" w:hAnsi="宋体" w:eastAsia="宋体" w:cs="宋体"/>
          <w:color w:val="auto"/>
          <w:highlight w:val="none"/>
        </w:rPr>
      </w:pPr>
    </w:p>
    <w:p w14:paraId="1A5D730C">
      <w:pPr>
        <w:pStyle w:val="13"/>
        <w:spacing w:line="440" w:lineRule="exact"/>
        <w:rPr>
          <w:rFonts w:hint="eastAsia" w:ascii="宋体" w:hAnsi="宋体" w:eastAsia="宋体" w:cs="宋体"/>
          <w:color w:val="auto"/>
          <w:highlight w:val="none"/>
        </w:rPr>
      </w:pPr>
    </w:p>
    <w:p w14:paraId="5BD713D5">
      <w:pPr>
        <w:widowControl/>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竞争性磋商文件</w:t>
      </w:r>
    </w:p>
    <w:p w14:paraId="4D9F159F">
      <w:pPr>
        <w:widowControl/>
        <w:spacing w:line="360" w:lineRule="auto"/>
        <w:jc w:val="center"/>
        <w:rPr>
          <w:rFonts w:hint="eastAsia" w:ascii="宋体" w:hAnsi="宋体" w:eastAsia="宋体" w:cs="宋体"/>
          <w:b/>
          <w:bCs/>
          <w:color w:val="auto"/>
          <w:sz w:val="36"/>
          <w:szCs w:val="36"/>
          <w:highlight w:val="none"/>
        </w:rPr>
      </w:pPr>
    </w:p>
    <w:p w14:paraId="1BBC877B">
      <w:pPr>
        <w:widowControl/>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采购编号：</w:t>
      </w:r>
      <w:r>
        <w:rPr>
          <w:rFonts w:hint="eastAsia" w:ascii="宋体" w:hAnsi="宋体" w:cs="宋体"/>
          <w:b/>
          <w:bCs/>
          <w:color w:val="auto"/>
          <w:sz w:val="36"/>
          <w:szCs w:val="36"/>
          <w:highlight w:val="none"/>
          <w:lang w:eastAsia="zh-CN"/>
        </w:rPr>
        <w:t>DL066026H3ZC04013</w:t>
      </w:r>
      <w:r>
        <w:rPr>
          <w:rFonts w:hint="eastAsia" w:ascii="宋体" w:hAnsi="宋体" w:eastAsia="宋体" w:cs="宋体"/>
          <w:b/>
          <w:bCs/>
          <w:color w:val="auto"/>
          <w:sz w:val="36"/>
          <w:szCs w:val="36"/>
          <w:highlight w:val="none"/>
        </w:rPr>
        <w:t xml:space="preserve"> </w:t>
      </w:r>
    </w:p>
    <w:p w14:paraId="15C887CB">
      <w:pPr>
        <w:pStyle w:val="13"/>
        <w:spacing w:line="440" w:lineRule="exact"/>
        <w:rPr>
          <w:rFonts w:hint="eastAsia" w:ascii="宋体" w:hAnsi="宋体" w:eastAsia="宋体" w:cs="宋体"/>
          <w:color w:val="auto"/>
          <w:highlight w:val="none"/>
        </w:rPr>
      </w:pPr>
    </w:p>
    <w:p w14:paraId="56CC0716">
      <w:pPr>
        <w:pStyle w:val="13"/>
        <w:spacing w:line="440" w:lineRule="exact"/>
        <w:rPr>
          <w:rFonts w:hint="eastAsia" w:ascii="宋体" w:hAnsi="宋体" w:eastAsia="宋体" w:cs="宋体"/>
          <w:color w:val="auto"/>
          <w:highlight w:val="none"/>
        </w:rPr>
      </w:pPr>
    </w:p>
    <w:p w14:paraId="40D09215">
      <w:pPr>
        <w:pStyle w:val="13"/>
        <w:spacing w:line="440" w:lineRule="exact"/>
        <w:rPr>
          <w:rFonts w:hint="eastAsia" w:ascii="宋体" w:hAnsi="宋体" w:eastAsia="宋体" w:cs="宋体"/>
          <w:color w:val="auto"/>
          <w:highlight w:val="none"/>
        </w:rPr>
      </w:pPr>
    </w:p>
    <w:p w14:paraId="68BEE34F">
      <w:pPr>
        <w:pStyle w:val="13"/>
        <w:spacing w:line="440" w:lineRule="exact"/>
        <w:rPr>
          <w:rFonts w:hint="eastAsia" w:ascii="宋体" w:hAnsi="宋体" w:eastAsia="宋体" w:cs="宋体"/>
          <w:color w:val="auto"/>
          <w:highlight w:val="none"/>
        </w:rPr>
      </w:pPr>
    </w:p>
    <w:p w14:paraId="3E1E2F9C">
      <w:pPr>
        <w:pStyle w:val="13"/>
        <w:spacing w:line="440" w:lineRule="exact"/>
        <w:rPr>
          <w:rFonts w:hint="eastAsia" w:ascii="宋体" w:hAnsi="宋体" w:eastAsia="宋体" w:cs="宋体"/>
          <w:color w:val="auto"/>
          <w:highlight w:val="none"/>
        </w:rPr>
      </w:pPr>
    </w:p>
    <w:p w14:paraId="77A06C35">
      <w:pPr>
        <w:pStyle w:val="13"/>
        <w:spacing w:line="440" w:lineRule="exact"/>
        <w:rPr>
          <w:rFonts w:hint="eastAsia" w:ascii="宋体" w:hAnsi="宋体" w:eastAsia="宋体" w:cs="宋体"/>
          <w:color w:val="auto"/>
          <w:highlight w:val="none"/>
        </w:rPr>
      </w:pPr>
    </w:p>
    <w:p w14:paraId="3F1A4F11">
      <w:pPr>
        <w:pStyle w:val="13"/>
        <w:spacing w:line="440" w:lineRule="exact"/>
        <w:rPr>
          <w:rFonts w:hint="eastAsia" w:ascii="宋体" w:hAnsi="宋体" w:eastAsia="宋体" w:cs="宋体"/>
          <w:color w:val="auto"/>
          <w:highlight w:val="none"/>
        </w:rPr>
      </w:pPr>
    </w:p>
    <w:p w14:paraId="06A68EC7">
      <w:pPr>
        <w:pStyle w:val="13"/>
        <w:spacing w:line="440" w:lineRule="exact"/>
        <w:rPr>
          <w:rFonts w:hint="eastAsia" w:ascii="宋体" w:hAnsi="宋体" w:eastAsia="宋体" w:cs="宋体"/>
          <w:color w:val="auto"/>
          <w:highlight w:val="none"/>
        </w:rPr>
      </w:pPr>
    </w:p>
    <w:p w14:paraId="3FBED50B">
      <w:pPr>
        <w:pStyle w:val="13"/>
        <w:spacing w:line="440" w:lineRule="exact"/>
        <w:rPr>
          <w:rFonts w:hint="eastAsia" w:ascii="宋体" w:hAnsi="宋体" w:eastAsia="宋体" w:cs="宋体"/>
          <w:color w:val="auto"/>
          <w:highlight w:val="none"/>
        </w:rPr>
      </w:pPr>
    </w:p>
    <w:p w14:paraId="6CDA78B2">
      <w:pPr>
        <w:pStyle w:val="13"/>
        <w:spacing w:line="440" w:lineRule="exact"/>
        <w:rPr>
          <w:rFonts w:hint="eastAsia" w:ascii="宋体" w:hAnsi="宋体" w:eastAsia="宋体" w:cs="宋体"/>
          <w:color w:val="auto"/>
          <w:highlight w:val="none"/>
        </w:rPr>
      </w:pPr>
    </w:p>
    <w:p w14:paraId="58C5F801">
      <w:pPr>
        <w:pStyle w:val="13"/>
        <w:spacing w:line="440" w:lineRule="exact"/>
        <w:rPr>
          <w:rFonts w:hint="eastAsia" w:ascii="宋体" w:hAnsi="宋体" w:eastAsia="宋体" w:cs="宋体"/>
          <w:color w:val="auto"/>
          <w:highlight w:val="none"/>
        </w:rPr>
      </w:pPr>
    </w:p>
    <w:p w14:paraId="4803AAD4">
      <w:pPr>
        <w:pStyle w:val="13"/>
        <w:spacing w:line="440" w:lineRule="exact"/>
        <w:rPr>
          <w:rFonts w:hint="eastAsia" w:ascii="宋体" w:hAnsi="宋体" w:eastAsia="宋体" w:cs="宋体"/>
          <w:color w:val="auto"/>
          <w:highlight w:val="none"/>
        </w:rPr>
      </w:pPr>
    </w:p>
    <w:p w14:paraId="712FA433">
      <w:pPr>
        <w:pStyle w:val="13"/>
        <w:spacing w:line="440" w:lineRule="exact"/>
        <w:rPr>
          <w:rFonts w:hint="eastAsia" w:ascii="宋体" w:hAnsi="宋体" w:eastAsia="宋体" w:cs="宋体"/>
          <w:color w:val="auto"/>
          <w:highlight w:val="none"/>
        </w:rPr>
      </w:pPr>
    </w:p>
    <w:p w14:paraId="0E67ABE5">
      <w:pPr>
        <w:widowControl/>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采购人：中国医学科学院皮肤病医院</w:t>
      </w:r>
    </w:p>
    <w:p w14:paraId="52903BA8">
      <w:pPr>
        <w:widowControl/>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采购代理机构：江苏省设备成套股份有限公司</w:t>
      </w:r>
    </w:p>
    <w:p w14:paraId="622F7ED5">
      <w:pPr>
        <w:widowControl/>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cs="宋体"/>
          <w:b/>
          <w:bCs/>
          <w:color w:val="auto"/>
          <w:sz w:val="36"/>
          <w:szCs w:val="36"/>
          <w:highlight w:val="none"/>
          <w:lang w:eastAsia="zh-CN"/>
        </w:rPr>
        <w:t>2026年10月</w:t>
      </w:r>
    </w:p>
    <w:p w14:paraId="0E643CB1">
      <w:pPr>
        <w:spacing w:line="440" w:lineRule="exact"/>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p>
    <w:p w14:paraId="0A6BC846">
      <w:pPr>
        <w:spacing w:line="44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36"/>
          <w:szCs w:val="36"/>
          <w:highlight w:val="none"/>
          <w:lang w:val="zh-CN"/>
        </w:rPr>
        <w:t>目录</w:t>
      </w:r>
    </w:p>
    <w:p w14:paraId="750C57BD">
      <w:pPr>
        <w:spacing w:line="360" w:lineRule="auto"/>
        <w:rPr>
          <w:rFonts w:hint="eastAsia" w:ascii="宋体" w:hAnsi="宋体" w:eastAsia="宋体" w:cs="宋体"/>
          <w:color w:val="auto"/>
          <w:sz w:val="28"/>
          <w:szCs w:val="28"/>
          <w:highlight w:val="none"/>
        </w:rPr>
      </w:pPr>
    </w:p>
    <w:p w14:paraId="2650892E">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第一章  竞争性磋商公告</w:t>
      </w:r>
    </w:p>
    <w:p w14:paraId="4228B228">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第二章  竞争性磋商须知</w:t>
      </w:r>
    </w:p>
    <w:p w14:paraId="052A6FC0">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第三章  评标方法及标准</w:t>
      </w:r>
    </w:p>
    <w:p w14:paraId="7247E189">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第四章  采购需求</w:t>
      </w:r>
    </w:p>
    <w:p w14:paraId="6CBA9B79">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第五章  合同范本</w:t>
      </w:r>
    </w:p>
    <w:p w14:paraId="4F57ED23">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第六章  磋商响应文件格式</w:t>
      </w:r>
    </w:p>
    <w:p w14:paraId="25E4BA8D">
      <w:pPr>
        <w:widowControl/>
        <w:shd w:val="clear" w:color="auto" w:fill="FFFFFF"/>
        <w:spacing w:line="440" w:lineRule="exact"/>
        <w:jc w:val="center"/>
        <w:rPr>
          <w:rFonts w:hint="eastAsia" w:ascii="宋体" w:hAnsi="宋体" w:eastAsia="宋体" w:cs="宋体"/>
          <w:b/>
          <w:color w:val="auto"/>
          <w:kern w:val="0"/>
          <w:sz w:val="36"/>
          <w:szCs w:val="36"/>
          <w:highlight w:val="none"/>
        </w:rPr>
      </w:pPr>
    </w:p>
    <w:p w14:paraId="08F51DF8">
      <w:pPr>
        <w:pStyle w:val="3"/>
        <w:pageBreakBefore w:val="0"/>
        <w:kinsoku/>
        <w:overflowPunct/>
        <w:autoSpaceDE/>
        <w:autoSpaceDN/>
        <w:bidi w:val="0"/>
        <w:spacing w:before="0" w:after="0" w:line="360" w:lineRule="auto"/>
        <w:ind w:left="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 w:val="36"/>
          <w:szCs w:val="36"/>
          <w:highlight w:val="none"/>
          <w:shd w:val="clear" w:color="auto" w:fill="FFFFFF"/>
        </w:rPr>
        <w:br w:type="page"/>
      </w:r>
      <w:r>
        <w:rPr>
          <w:rFonts w:hint="eastAsia" w:ascii="宋体" w:hAnsi="宋体" w:eastAsia="宋体" w:cs="宋体"/>
          <w:color w:val="auto"/>
          <w:kern w:val="0"/>
          <w:sz w:val="36"/>
          <w:szCs w:val="36"/>
          <w:highlight w:val="none"/>
          <w:shd w:val="clear" w:color="auto" w:fill="FFFFFF"/>
          <w:lang w:val="en-US" w:eastAsia="zh-CN"/>
        </w:rPr>
        <w:t xml:space="preserve"> </w:t>
      </w:r>
      <w:r>
        <w:rPr>
          <w:rFonts w:hint="eastAsia" w:ascii="宋体" w:hAnsi="宋体" w:eastAsia="宋体" w:cs="宋体"/>
          <w:color w:val="auto"/>
          <w:highlight w:val="none"/>
        </w:rPr>
        <w:t>磋商公告</w:t>
      </w:r>
    </w:p>
    <w:p w14:paraId="4CB6D783">
      <w:pPr>
        <w:keepNext w:val="0"/>
        <w:keepLines w:val="0"/>
        <w:pageBreakBefore w:val="0"/>
        <w:widowControl/>
        <w:shd w:val="clear" w:color="auto" w:fill="FFFFFF"/>
        <w:kinsoku/>
        <w:wordWrap w:val="0"/>
        <w:overflowPunct/>
        <w:topLinePunct/>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rPr>
      </w:pPr>
      <w:bookmarkStart w:id="0" w:name="_Hlk76117161"/>
      <w:bookmarkStart w:id="1" w:name="_Hlk71291501"/>
      <w:r>
        <w:rPr>
          <w:rFonts w:hint="eastAsia" w:ascii="宋体" w:hAnsi="宋体" w:eastAsia="宋体" w:cs="宋体"/>
          <w:color w:val="auto"/>
          <w:spacing w:val="8"/>
          <w:kern w:val="0"/>
          <w:szCs w:val="21"/>
          <w:highlight w:val="none"/>
        </w:rPr>
        <w:t>江苏省设备成套股份有限公司受中国医学科学院皮肤病医院委托就</w:t>
      </w:r>
      <w:r>
        <w:rPr>
          <w:rFonts w:hint="eastAsia" w:ascii="宋体" w:hAnsi="宋体" w:cs="宋体"/>
          <w:color w:val="auto"/>
          <w:spacing w:val="8"/>
          <w:kern w:val="0"/>
          <w:szCs w:val="21"/>
          <w:highlight w:val="none"/>
          <w:lang w:eastAsia="zh-CN"/>
        </w:rPr>
        <w:t>中国医学科学院皮肤病医院多组学检测技术服务采购项目</w:t>
      </w:r>
      <w:r>
        <w:rPr>
          <w:rFonts w:hint="eastAsia" w:ascii="宋体" w:hAnsi="宋体" w:eastAsia="宋体" w:cs="宋体"/>
          <w:color w:val="auto"/>
          <w:spacing w:val="8"/>
          <w:kern w:val="0"/>
          <w:szCs w:val="21"/>
          <w:highlight w:val="none"/>
        </w:rPr>
        <w:t>进行竞争性磋商采购，项目所需资金已落实，现欢迎符合相关条件的供应商参加磋商。</w:t>
      </w:r>
    </w:p>
    <w:p w14:paraId="65B988A8">
      <w:pPr>
        <w:keepNext w:val="0"/>
        <w:keepLines w:val="0"/>
        <w:pageBreakBefore w:val="0"/>
        <w:widowControl/>
        <w:shd w:val="clear" w:color="auto" w:fill="FFFFFF"/>
        <w:kinsoku/>
        <w:overflowPunct/>
        <w:autoSpaceDE/>
        <w:autoSpaceDN/>
        <w:bidi w:val="0"/>
        <w:spacing w:line="360" w:lineRule="auto"/>
        <w:ind w:left="0" w:firstLine="512" w:firstLineChars="200"/>
        <w:textAlignment w:val="auto"/>
        <w:rPr>
          <w:rFonts w:hint="eastAsia" w:ascii="宋体" w:hAnsi="宋体" w:eastAsia="宋体" w:cs="宋体"/>
          <w:b/>
          <w:color w:val="auto"/>
          <w:spacing w:val="8"/>
          <w:kern w:val="0"/>
          <w:sz w:val="24"/>
          <w:highlight w:val="none"/>
        </w:rPr>
      </w:pPr>
      <w:r>
        <w:rPr>
          <w:rFonts w:hint="eastAsia" w:ascii="宋体" w:hAnsi="宋体" w:eastAsia="宋体" w:cs="宋体"/>
          <w:color w:val="auto"/>
          <w:spacing w:val="8"/>
          <w:kern w:val="0"/>
          <w:sz w:val="24"/>
          <w:highlight w:val="none"/>
        </w:rPr>
        <w:t> </w:t>
      </w:r>
      <w:r>
        <w:rPr>
          <w:rFonts w:hint="eastAsia" w:ascii="宋体" w:hAnsi="宋体" w:eastAsia="宋体" w:cs="宋体"/>
          <w:b/>
          <w:color w:val="auto"/>
          <w:spacing w:val="8"/>
          <w:kern w:val="0"/>
          <w:sz w:val="24"/>
          <w:highlight w:val="none"/>
        </w:rPr>
        <w:t>一、项目基本情况</w:t>
      </w:r>
    </w:p>
    <w:p w14:paraId="6010F853">
      <w:pPr>
        <w:keepNext w:val="0"/>
        <w:keepLines w:val="0"/>
        <w:pageBreakBefore w:val="0"/>
        <w:widowControl/>
        <w:shd w:val="clear" w:color="auto" w:fill="FFFFFF"/>
        <w:kinsoku/>
        <w:overflowPunct/>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1.1项目编号：</w:t>
      </w:r>
      <w:r>
        <w:rPr>
          <w:rFonts w:hint="eastAsia" w:ascii="宋体" w:hAnsi="宋体" w:cs="宋体"/>
          <w:color w:val="auto"/>
          <w:spacing w:val="8"/>
          <w:kern w:val="0"/>
          <w:szCs w:val="21"/>
          <w:highlight w:val="none"/>
          <w:lang w:eastAsia="zh-CN"/>
        </w:rPr>
        <w:t>DL066026H3ZC04013</w:t>
      </w:r>
      <w:r>
        <w:rPr>
          <w:rFonts w:hint="eastAsia" w:ascii="宋体" w:hAnsi="宋体" w:eastAsia="宋体" w:cs="宋体"/>
          <w:color w:val="auto"/>
          <w:spacing w:val="8"/>
          <w:kern w:val="0"/>
          <w:szCs w:val="21"/>
          <w:highlight w:val="none"/>
        </w:rPr>
        <w:t xml:space="preserve"> </w:t>
      </w:r>
    </w:p>
    <w:p w14:paraId="192C4C10">
      <w:pPr>
        <w:keepNext w:val="0"/>
        <w:keepLines w:val="0"/>
        <w:pageBreakBefore w:val="0"/>
        <w:widowControl/>
        <w:shd w:val="clear" w:color="auto" w:fill="FFFFFF"/>
        <w:kinsoku/>
        <w:overflowPunct/>
        <w:autoSpaceDE/>
        <w:autoSpaceDN/>
        <w:bidi w:val="0"/>
        <w:spacing w:line="360" w:lineRule="auto"/>
        <w:ind w:left="0" w:firstLine="452" w:firstLineChars="200"/>
        <w:textAlignment w:val="auto"/>
        <w:rPr>
          <w:rFonts w:hint="eastAsia" w:ascii="宋体" w:hAnsi="宋体" w:eastAsia="宋体" w:cs="宋体"/>
          <w:b/>
          <w:bCs/>
          <w:color w:val="auto"/>
          <w:spacing w:val="8"/>
          <w:kern w:val="0"/>
          <w:szCs w:val="21"/>
          <w:highlight w:val="none"/>
          <w:lang w:eastAsia="zh-CN"/>
        </w:rPr>
      </w:pPr>
      <w:r>
        <w:rPr>
          <w:rFonts w:hint="eastAsia" w:ascii="宋体" w:hAnsi="宋体" w:eastAsia="宋体" w:cs="宋体"/>
          <w:color w:val="auto"/>
          <w:spacing w:val="8"/>
          <w:kern w:val="0"/>
          <w:szCs w:val="21"/>
          <w:highlight w:val="none"/>
        </w:rPr>
        <w:t>1.2项目名称：</w:t>
      </w:r>
      <w:r>
        <w:rPr>
          <w:rFonts w:hint="eastAsia" w:ascii="宋体" w:hAnsi="宋体" w:cs="宋体"/>
          <w:color w:val="auto"/>
          <w:spacing w:val="8"/>
          <w:kern w:val="0"/>
          <w:szCs w:val="21"/>
          <w:highlight w:val="none"/>
          <w:lang w:eastAsia="zh-CN"/>
        </w:rPr>
        <w:t>中国医学科学院皮肤病医院多组学检测技术服务采购项目</w:t>
      </w:r>
    </w:p>
    <w:p w14:paraId="472402A9">
      <w:pPr>
        <w:keepNext w:val="0"/>
        <w:keepLines w:val="0"/>
        <w:pageBreakBefore w:val="0"/>
        <w:widowControl/>
        <w:shd w:val="clear" w:color="auto" w:fill="FFFFFF"/>
        <w:kinsoku/>
        <w:overflowPunct/>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lang w:eastAsia="zh-CN"/>
        </w:rPr>
      </w:pPr>
      <w:r>
        <w:rPr>
          <w:rFonts w:hint="eastAsia" w:ascii="宋体" w:hAnsi="宋体" w:eastAsia="宋体" w:cs="宋体"/>
          <w:color w:val="auto"/>
          <w:spacing w:val="8"/>
          <w:kern w:val="0"/>
          <w:szCs w:val="21"/>
          <w:highlight w:val="none"/>
        </w:rPr>
        <w:t>1.3预算金额：</w:t>
      </w:r>
      <w:r>
        <w:rPr>
          <w:rFonts w:hint="eastAsia" w:ascii="宋体" w:hAnsi="宋体" w:cs="宋体"/>
          <w:color w:val="auto"/>
          <w:spacing w:val="8"/>
          <w:kern w:val="0"/>
          <w:szCs w:val="21"/>
          <w:highlight w:val="none"/>
          <w:lang w:val="en-US" w:eastAsia="zh-CN"/>
        </w:rPr>
        <w:t>95</w:t>
      </w:r>
      <w:r>
        <w:rPr>
          <w:rFonts w:hint="eastAsia" w:ascii="宋体" w:hAnsi="宋体" w:cs="宋体"/>
          <w:color w:val="auto"/>
          <w:spacing w:val="8"/>
          <w:kern w:val="0"/>
          <w:szCs w:val="21"/>
          <w:highlight w:val="none"/>
          <w:lang w:eastAsia="zh-CN"/>
        </w:rPr>
        <w:t>万元</w:t>
      </w:r>
    </w:p>
    <w:p w14:paraId="059048BC">
      <w:pPr>
        <w:keepNext w:val="0"/>
        <w:keepLines w:val="0"/>
        <w:pageBreakBefore w:val="0"/>
        <w:widowControl/>
        <w:shd w:val="clear" w:color="auto" w:fill="FFFFFF"/>
        <w:kinsoku/>
        <w:overflowPunct/>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lang w:eastAsia="zh-CN"/>
        </w:rPr>
      </w:pPr>
      <w:r>
        <w:rPr>
          <w:rFonts w:hint="eastAsia" w:ascii="宋体" w:hAnsi="宋体" w:eastAsia="宋体" w:cs="宋体"/>
          <w:color w:val="auto"/>
          <w:spacing w:val="8"/>
          <w:kern w:val="0"/>
          <w:szCs w:val="21"/>
          <w:highlight w:val="none"/>
        </w:rPr>
        <w:t>1.4最高限价：</w:t>
      </w:r>
      <w:r>
        <w:rPr>
          <w:rFonts w:hint="eastAsia" w:ascii="宋体" w:hAnsi="宋体" w:cs="宋体"/>
          <w:color w:val="auto"/>
          <w:spacing w:val="8"/>
          <w:kern w:val="0"/>
          <w:szCs w:val="21"/>
          <w:highlight w:val="none"/>
          <w:lang w:val="en-US" w:eastAsia="zh-CN"/>
        </w:rPr>
        <w:t>95</w:t>
      </w:r>
      <w:r>
        <w:rPr>
          <w:rFonts w:hint="eastAsia" w:ascii="宋体" w:hAnsi="宋体" w:cs="宋体"/>
          <w:color w:val="auto"/>
          <w:spacing w:val="8"/>
          <w:kern w:val="0"/>
          <w:szCs w:val="21"/>
          <w:highlight w:val="none"/>
          <w:lang w:eastAsia="zh-CN"/>
        </w:rPr>
        <w:t>万元</w:t>
      </w:r>
    </w:p>
    <w:p w14:paraId="739A7988">
      <w:pPr>
        <w:keepNext w:val="0"/>
        <w:keepLines w:val="0"/>
        <w:pageBreakBefore w:val="0"/>
        <w:widowControl/>
        <w:kinsoku/>
        <w:wordWrap/>
        <w:overflowPunct/>
        <w:topLinePunct w:val="0"/>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1.5采购需求：详见服务要求。</w:t>
      </w:r>
    </w:p>
    <w:p w14:paraId="47259CF2">
      <w:pPr>
        <w:keepNext w:val="0"/>
        <w:keepLines w:val="0"/>
        <w:pageBreakBefore w:val="0"/>
        <w:widowControl/>
        <w:kinsoku/>
        <w:wordWrap/>
        <w:overflowPunct/>
        <w:topLinePunct w:val="0"/>
        <w:autoSpaceDE/>
        <w:autoSpaceDN/>
        <w:bidi w:val="0"/>
        <w:spacing w:line="360" w:lineRule="auto"/>
        <w:ind w:left="0" w:firstLine="452" w:firstLineChars="200"/>
        <w:textAlignment w:val="auto"/>
        <w:rPr>
          <w:rFonts w:hint="eastAsia" w:ascii="宋体" w:hAnsi="宋体" w:eastAsia="宋体" w:cs="宋体"/>
          <w:color w:val="auto"/>
          <w:spacing w:val="8"/>
          <w:kern w:val="0"/>
          <w:szCs w:val="21"/>
          <w:highlight w:val="none"/>
          <w:lang w:val="en-US" w:eastAsia="zh-CN"/>
        </w:rPr>
      </w:pPr>
      <w:r>
        <w:rPr>
          <w:rFonts w:hint="eastAsia" w:ascii="宋体" w:hAnsi="宋体" w:eastAsia="宋体" w:cs="宋体"/>
          <w:color w:val="auto"/>
          <w:spacing w:val="8"/>
          <w:kern w:val="0"/>
          <w:szCs w:val="21"/>
          <w:highlight w:val="none"/>
        </w:rPr>
        <w:t>1.6服务时间：</w:t>
      </w:r>
      <w:r>
        <w:rPr>
          <w:rFonts w:hint="eastAsia" w:ascii="宋体" w:hAnsi="宋体" w:cs="宋体"/>
          <w:color w:val="auto"/>
          <w:spacing w:val="8"/>
          <w:kern w:val="0"/>
          <w:szCs w:val="21"/>
          <w:highlight w:val="none"/>
          <w:lang w:val="en-US" w:eastAsia="zh-CN"/>
        </w:rPr>
        <w:t>合同签订后一年</w:t>
      </w:r>
      <w:r>
        <w:rPr>
          <w:rFonts w:hint="eastAsia"/>
          <w:color w:val="auto"/>
          <w:highlight w:val="none"/>
          <w:lang w:eastAsia="zh-CN"/>
        </w:rPr>
        <w:t>。</w:t>
      </w:r>
    </w:p>
    <w:p w14:paraId="3FE5F71E">
      <w:pPr>
        <w:keepNext w:val="0"/>
        <w:keepLines w:val="0"/>
        <w:pageBreakBefore w:val="0"/>
        <w:widowControl/>
        <w:shd w:val="clear" w:color="auto" w:fill="FFFFFF"/>
        <w:kinsoku/>
        <w:wordWrap/>
        <w:overflowPunct/>
        <w:topLinePunct w:val="0"/>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二、申请人的资格要求：</w:t>
      </w:r>
    </w:p>
    <w:p w14:paraId="7459B494">
      <w:pPr>
        <w:keepNext w:val="0"/>
        <w:keepLines w:val="0"/>
        <w:pageBreakBefore w:val="0"/>
        <w:widowControl/>
        <w:shd w:val="clear" w:color="auto" w:fill="FFFFFF"/>
        <w:kinsoku/>
        <w:wordWrap/>
        <w:overflowPunct/>
        <w:topLinePunct w:val="0"/>
        <w:autoSpaceDE/>
        <w:autoSpaceDN/>
        <w:bidi w:val="0"/>
        <w:spacing w:line="360" w:lineRule="auto"/>
        <w:ind w:left="0" w:firstLine="454" w:firstLineChars="200"/>
        <w:textAlignment w:val="auto"/>
        <w:rPr>
          <w:rFonts w:hint="eastAsia" w:ascii="宋体" w:hAnsi="宋体" w:eastAsia="宋体" w:cs="宋体"/>
          <w:b/>
          <w:color w:val="auto"/>
          <w:spacing w:val="8"/>
          <w:kern w:val="0"/>
          <w:szCs w:val="21"/>
          <w:highlight w:val="none"/>
        </w:rPr>
      </w:pPr>
      <w:r>
        <w:rPr>
          <w:rFonts w:hint="eastAsia" w:ascii="宋体" w:hAnsi="宋体" w:eastAsia="宋体" w:cs="宋体"/>
          <w:b/>
          <w:color w:val="auto"/>
          <w:spacing w:val="8"/>
          <w:kern w:val="0"/>
          <w:szCs w:val="21"/>
          <w:highlight w:val="none"/>
        </w:rPr>
        <w:t>2.1满足《中华人民共和国政府采购法》第二十二条规定；</w:t>
      </w:r>
    </w:p>
    <w:p w14:paraId="0A8CA837">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（1）具有独立承担民事责任的能力（提供法人或者其他组织的营业执照；供应商为自然人的，提供其身份证）；</w:t>
      </w:r>
    </w:p>
    <w:p w14:paraId="25E2C8A4">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（2）具有良好的商业信誉和健全的财务会计制度（提供2025年度经审计的财务报告，或截止时间前六个月内银行出具的资信证明）；</w:t>
      </w:r>
    </w:p>
    <w:p w14:paraId="1BA913DD">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（3）具有履行合同所必需的设备和专业技术能力（供应商根据履行采购项目合同需要，提供履行合同所必需的设备和专业技术能力的证明材料）；</w:t>
      </w:r>
    </w:p>
    <w:p w14:paraId="48766BE0">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（4）有依法缴纳税收和社会保障资金的良好记录（提供参加本次采购活动前半年内至少一个月缴纳增值税，或企业所得税的凭据；并提供缴纳社会保险的凭据）；</w:t>
      </w:r>
    </w:p>
    <w:p w14:paraId="21299C83">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（5）参加采购活动前三年内，在经营活动中没有重大违法记录（提供承诺书）；</w:t>
      </w:r>
    </w:p>
    <w:p w14:paraId="5E4E8D60">
      <w:pPr>
        <w:keepNext w:val="0"/>
        <w:keepLines w:val="0"/>
        <w:pageBreakBefore w:val="0"/>
        <w:widowControl/>
        <w:kinsoku/>
        <w:wordWrap/>
        <w:overflowPunct/>
        <w:topLinePunct w:val="0"/>
        <w:autoSpaceDE/>
        <w:autoSpaceDN/>
        <w:bidi w:val="0"/>
        <w:adjustRightInd w:val="0"/>
        <w:snapToGrid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（6）法律、行政法规规定的其他条件：无</w:t>
      </w:r>
      <w:r>
        <w:rPr>
          <w:rFonts w:hint="eastAsia" w:ascii="宋体" w:hAnsi="宋体" w:eastAsia="宋体" w:cs="宋体"/>
          <w:color w:val="auto"/>
          <w:kern w:val="0"/>
          <w:szCs w:val="21"/>
          <w:highlight w:val="none"/>
        </w:rPr>
        <w:t xml:space="preserve"> </w:t>
      </w:r>
    </w:p>
    <w:p w14:paraId="58B26BF0">
      <w:pPr>
        <w:keepNext w:val="0"/>
        <w:keepLines w:val="0"/>
        <w:pageBreakBefore w:val="0"/>
        <w:widowControl/>
        <w:shd w:val="clear" w:color="auto" w:fill="FFFFFF"/>
        <w:kinsoku/>
        <w:wordWrap/>
        <w:overflowPunct/>
        <w:topLinePunct w:val="0"/>
        <w:autoSpaceDE/>
        <w:autoSpaceDN/>
        <w:bidi w:val="0"/>
        <w:spacing w:line="360" w:lineRule="auto"/>
        <w:ind w:left="0" w:firstLine="454"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pacing w:val="8"/>
          <w:kern w:val="0"/>
          <w:szCs w:val="21"/>
          <w:highlight w:val="none"/>
        </w:rPr>
        <w:t>2.2</w:t>
      </w:r>
      <w:r>
        <w:rPr>
          <w:rFonts w:hint="eastAsia" w:ascii="宋体" w:hAnsi="宋体" w:eastAsia="宋体" w:cs="宋体"/>
          <w:b/>
          <w:color w:val="auto"/>
          <w:szCs w:val="21"/>
          <w:highlight w:val="none"/>
        </w:rPr>
        <w:t>采购人根据采购项目的特殊要求规定的特定条件，并提供符合特殊要求的证明材料或者情况说明：</w:t>
      </w:r>
    </w:p>
    <w:p w14:paraId="7EA41B2A">
      <w:pPr>
        <w:keepNext w:val="0"/>
        <w:keepLines w:val="0"/>
        <w:pageBreakBefore w:val="0"/>
        <w:widowControl/>
        <w:shd w:val="clear" w:color="auto" w:fill="FFFFFF"/>
        <w:kinsoku/>
        <w:wordWrap/>
        <w:overflowPunct/>
        <w:topLinePunct w:val="0"/>
        <w:autoSpaceDE/>
        <w:autoSpaceDN/>
        <w:bidi w:val="0"/>
        <w:spacing w:line="360" w:lineRule="auto"/>
        <w:ind w:left="0" w:firstLine="452" w:firstLineChars="200"/>
        <w:textAlignment w:val="auto"/>
        <w:rPr>
          <w:rFonts w:hint="eastAsia" w:ascii="宋体" w:hAnsi="宋体" w:eastAsia="宋体" w:cs="宋体"/>
          <w:bCs/>
          <w:color w:val="auto"/>
          <w:szCs w:val="21"/>
          <w:highlight w:val="none"/>
        </w:rPr>
      </w:pPr>
      <w:r>
        <w:rPr>
          <w:rFonts w:hint="eastAsia" w:ascii="宋体" w:hAnsi="宋体" w:eastAsia="宋体" w:cs="宋体"/>
          <w:color w:val="auto"/>
          <w:spacing w:val="8"/>
          <w:kern w:val="0"/>
          <w:szCs w:val="21"/>
          <w:highlight w:val="none"/>
        </w:rPr>
        <w:t>2.</w:t>
      </w:r>
      <w:r>
        <w:rPr>
          <w:rFonts w:hint="eastAsia" w:ascii="宋体" w:hAnsi="宋体" w:eastAsia="宋体" w:cs="宋体"/>
          <w:color w:val="auto"/>
          <w:spacing w:val="8"/>
          <w:kern w:val="0"/>
          <w:szCs w:val="21"/>
          <w:highlight w:val="none"/>
          <w:lang w:val="en-US" w:eastAsia="zh-CN"/>
        </w:rPr>
        <w:t>3</w:t>
      </w:r>
      <w:r>
        <w:rPr>
          <w:rFonts w:hint="eastAsia" w:ascii="宋体" w:hAnsi="宋体" w:eastAsia="宋体" w:cs="宋体"/>
          <w:bCs/>
          <w:color w:val="auto"/>
          <w:szCs w:val="21"/>
          <w:highlight w:val="none"/>
        </w:rPr>
        <w:t>第2.1（5）条所称重大违法记录，是指供应商因违法经营受到刑事处罚或者责令停产停业、吊销许可证或者执照、较大数额罚款等行政处罚。</w:t>
      </w:r>
    </w:p>
    <w:p w14:paraId="6A028012">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rPr>
        <w:t>单位负责人为同一人或者存在直接控股、管理关系的不同供应商，不得参加同一合同项下的政府采购活动。</w:t>
      </w:r>
    </w:p>
    <w:p w14:paraId="4B08619A">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为采购项目提供整体设计、规范编制或者项目管理、监理、检测等服务的供应商，不得再参加该采购项目的其他采购活动。</w:t>
      </w:r>
    </w:p>
    <w:p w14:paraId="44A425D5">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拒绝列入失信被执行人、</w:t>
      </w:r>
      <w:r>
        <w:rPr>
          <w:rFonts w:hint="eastAsia" w:ascii="宋体" w:hAnsi="宋体" w:eastAsia="宋体" w:cs="宋体"/>
          <w:bCs/>
          <w:color w:val="auto"/>
          <w:szCs w:val="21"/>
          <w:highlight w:val="none"/>
          <w:lang w:eastAsia="zh-CN"/>
        </w:rPr>
        <w:t>重大税收违法失信主体</w:t>
      </w:r>
      <w:r>
        <w:rPr>
          <w:rFonts w:hint="eastAsia" w:ascii="宋体" w:hAnsi="宋体" w:eastAsia="宋体" w:cs="宋体"/>
          <w:bCs/>
          <w:color w:val="auto"/>
          <w:szCs w:val="21"/>
          <w:highlight w:val="none"/>
        </w:rPr>
        <w:t>、政府采购严重违法失信行为记录名单的供应商参与政府采购活动。采购代理机构将在开标结束后，通过“中国政府采购网”、“信用中国”网站等渠道查询供应商信用记录并保存。</w:t>
      </w:r>
    </w:p>
    <w:p w14:paraId="56350893">
      <w:pPr>
        <w:keepNext w:val="0"/>
        <w:keepLines w:val="0"/>
        <w:pageBreakBefore w:val="0"/>
        <w:widowControl/>
        <w:shd w:val="clear" w:color="auto" w:fill="FFFFFF"/>
        <w:kinsoku/>
        <w:overflowPunct/>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三、获取磋商文件</w:t>
      </w:r>
    </w:p>
    <w:p w14:paraId="41E571D3">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1.凡有意参加磋商者，请于获取时间</w:t>
      </w:r>
      <w:r>
        <w:rPr>
          <w:rFonts w:hint="eastAsia" w:ascii="宋体" w:hAnsi="宋体" w:cs="宋体"/>
          <w:bCs/>
          <w:color w:val="auto"/>
          <w:szCs w:val="21"/>
          <w:highlight w:val="none"/>
          <w:lang w:eastAsia="zh-CN"/>
        </w:rPr>
        <w:t>2026年10月20日08时30分至2026年10月27日</w:t>
      </w:r>
      <w:r>
        <w:rPr>
          <w:rFonts w:hint="eastAsia" w:ascii="宋体" w:hAnsi="宋体" w:eastAsia="宋体" w:cs="宋体"/>
          <w:bCs/>
          <w:color w:val="auto"/>
          <w:szCs w:val="21"/>
          <w:highlight w:val="none"/>
          <w:lang w:eastAsia="zh-CN"/>
        </w:rPr>
        <w:t>17时30分</w:t>
      </w:r>
      <w:r>
        <w:rPr>
          <w:rFonts w:hint="eastAsia" w:ascii="宋体" w:hAnsi="宋体" w:eastAsia="宋体" w:cs="宋体"/>
          <w:bCs/>
          <w:color w:val="auto"/>
          <w:szCs w:val="21"/>
          <w:highlight w:val="none"/>
        </w:rPr>
        <w:t>内（北京时间，下同），登录</w:t>
      </w:r>
      <w:r>
        <w:rPr>
          <w:rFonts w:hint="eastAsia" w:ascii="宋体" w:hAnsi="宋体" w:eastAsia="宋体" w:cs="宋体"/>
          <w:bCs/>
          <w:color w:val="auto"/>
          <w:szCs w:val="21"/>
          <w:highlight w:val="none"/>
          <w:lang w:eastAsia="zh-CN"/>
        </w:rPr>
        <w:t>江苏省阳光交易平台</w:t>
      </w:r>
      <w:r>
        <w:rPr>
          <w:rFonts w:hint="eastAsia" w:ascii="宋体" w:hAnsi="宋体" w:eastAsia="宋体" w:cs="宋体"/>
          <w:bCs/>
          <w:color w:val="auto"/>
          <w:szCs w:val="21"/>
          <w:highlight w:val="none"/>
        </w:rPr>
        <w:t>（网址为：https://www.jsygjy.cn）按照要求进行实名会员注册、完善相关信息及选择项目、下载文件。</w:t>
      </w:r>
    </w:p>
    <w:p w14:paraId="570FB853">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2.参与者首次登录平台前，须前往平台免费注册，注册成功且完善相关信息后，可以及时参与平台上所有发布的项目。</w:t>
      </w:r>
    </w:p>
    <w:p w14:paraId="400270FA">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3.参与者应充分考虑平台注册、信息检查、资料上传等所需时间。未按照本公告要求获得本项目文件的，采购代理机构不予接收其响应文件。</w:t>
      </w:r>
    </w:p>
    <w:p w14:paraId="52B459FB">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4.需要发票的，可在“费用管理--发票管理”模块下载发票；平台服务费发票由江苏招采信息技术有限公司开具。非因采购代理机构或平台原因，发票一经开具不予退换。</w:t>
      </w:r>
    </w:p>
    <w:p w14:paraId="24D975C0">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5.平台网站首页“帮助中心”提供操作手册，参与者可以下载并根据操作手册提示进行注册、登录等操作。供应商平台咨询电话：025-83306809（工作日8：30-11：30，13：30-17：30）。</w:t>
      </w:r>
    </w:p>
    <w:p w14:paraId="6ABE478D">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6.联合体应标（如允许）的，联合体各方应当指定牵头人，并授权其以自身名义在平台办理注册、下载文件等手续，其在平台的办理行为，对联合体各方均具有约束力。</w:t>
      </w:r>
    </w:p>
    <w:p w14:paraId="35FB2E7D">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7.本项目文件售价：免费</w:t>
      </w:r>
    </w:p>
    <w:p w14:paraId="50B4D71E">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8.本项目收取平台服务费：0元。</w:t>
      </w:r>
    </w:p>
    <w:p w14:paraId="031C8BD2">
      <w:pPr>
        <w:keepNext w:val="0"/>
        <w:keepLines w:val="0"/>
        <w:pageBreakBefore w:val="0"/>
        <w:widowControl/>
        <w:shd w:val="clear" w:color="auto" w:fill="FFFFFF"/>
        <w:kinsoku/>
        <w:overflowPunct/>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bookmarkStart w:id="2" w:name="_Toc104307918"/>
      <w:r>
        <w:rPr>
          <w:rFonts w:hint="eastAsia" w:ascii="宋体" w:hAnsi="宋体" w:eastAsia="宋体" w:cs="宋体"/>
          <w:b/>
          <w:color w:val="auto"/>
          <w:spacing w:val="8"/>
          <w:kern w:val="0"/>
          <w:sz w:val="24"/>
          <w:highlight w:val="none"/>
        </w:rPr>
        <w:t>四、响应文件提交</w:t>
      </w:r>
      <w:bookmarkEnd w:id="2"/>
    </w:p>
    <w:p w14:paraId="154A1D3B">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bookmarkStart w:id="3" w:name="_Toc104307919"/>
      <w:r>
        <w:rPr>
          <w:rFonts w:hint="eastAsia" w:ascii="宋体" w:hAnsi="宋体" w:eastAsia="宋体" w:cs="宋体"/>
          <w:color w:val="auto"/>
          <w:szCs w:val="21"/>
          <w:highlight w:val="none"/>
        </w:rPr>
        <w:t>4.1 截止时间</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eastAsia="zh-CN"/>
        </w:rPr>
        <w:t>2026年11月02日</w:t>
      </w:r>
      <w:r>
        <w:rPr>
          <w:rFonts w:hint="eastAsia" w:ascii="宋体" w:hAnsi="宋体" w:eastAsia="宋体" w:cs="宋体"/>
          <w:b/>
          <w:bCs/>
          <w:color w:val="auto"/>
          <w:szCs w:val="21"/>
          <w:highlight w:val="none"/>
          <w:lang w:eastAsia="zh-CN"/>
        </w:rPr>
        <w:t>09点30分</w:t>
      </w:r>
      <w:r>
        <w:rPr>
          <w:rFonts w:hint="eastAsia" w:ascii="宋体" w:hAnsi="宋体" w:eastAsia="宋体" w:cs="宋体"/>
          <w:b/>
          <w:bCs/>
          <w:color w:val="auto"/>
          <w:szCs w:val="21"/>
          <w:highlight w:val="none"/>
        </w:rPr>
        <w:t>（北京时间）</w:t>
      </w:r>
    </w:p>
    <w:p w14:paraId="2E663E4D">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4.2 </w:t>
      </w:r>
      <w:r>
        <w:rPr>
          <w:rFonts w:hint="eastAsia" w:ascii="宋体" w:hAnsi="宋体" w:eastAsia="宋体" w:cs="宋体"/>
          <w:color w:val="auto"/>
          <w:spacing w:val="8"/>
          <w:kern w:val="0"/>
          <w:szCs w:val="21"/>
          <w:highlight w:val="none"/>
        </w:rPr>
        <w:t>提交响应文件地点：南京市鼓楼区清江南路18号鼓楼创新广场D座11楼3号开标室。</w:t>
      </w:r>
    </w:p>
    <w:p w14:paraId="4BF68C63">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供应商应提供纸质文件3份（1正、2副）、电子版响应文件1份（一般应为PDF格式、U盘形式（单独封装）、随纸质正本文件一并提交）。当电子版文件和纸质正本文件不一致时，以纸质正本文件为准。电子版文件用于辅助评标和平台存档，供应商需承担前述不一致造成的不利后果。</w:t>
      </w:r>
    </w:p>
    <w:p w14:paraId="46D879A0">
      <w:pPr>
        <w:keepNext w:val="0"/>
        <w:keepLines w:val="0"/>
        <w:pageBreakBefore w:val="0"/>
        <w:widowControl/>
        <w:shd w:val="clear" w:color="auto" w:fill="FFFFFF"/>
        <w:kinsoku/>
        <w:overflowPunct/>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五、开启</w:t>
      </w:r>
      <w:bookmarkEnd w:id="3"/>
    </w:p>
    <w:p w14:paraId="0F55B055">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 时间：</w:t>
      </w:r>
      <w:r>
        <w:rPr>
          <w:rFonts w:hint="eastAsia" w:ascii="宋体" w:hAnsi="宋体" w:cs="宋体"/>
          <w:b/>
          <w:bCs/>
          <w:color w:val="auto"/>
          <w:szCs w:val="21"/>
          <w:highlight w:val="none"/>
          <w:lang w:eastAsia="zh-CN"/>
        </w:rPr>
        <w:t>2026年11月02日</w:t>
      </w:r>
      <w:r>
        <w:rPr>
          <w:rFonts w:hint="eastAsia" w:ascii="宋体" w:hAnsi="宋体" w:eastAsia="宋体" w:cs="宋体"/>
          <w:b/>
          <w:bCs/>
          <w:color w:val="auto"/>
          <w:szCs w:val="21"/>
          <w:highlight w:val="none"/>
          <w:lang w:eastAsia="zh-CN"/>
        </w:rPr>
        <w:t>09点30分</w:t>
      </w:r>
      <w:r>
        <w:rPr>
          <w:rFonts w:hint="eastAsia" w:ascii="宋体" w:hAnsi="宋体" w:eastAsia="宋体" w:cs="宋体"/>
          <w:b/>
          <w:bCs/>
          <w:color w:val="auto"/>
          <w:szCs w:val="21"/>
          <w:highlight w:val="none"/>
        </w:rPr>
        <w:t>（北京时间）</w:t>
      </w:r>
    </w:p>
    <w:p w14:paraId="1522DA5B">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 地点：南京市鼓楼区清江南路18号鼓楼创新广场D栋11楼</w:t>
      </w:r>
    </w:p>
    <w:bookmarkEnd w:id="0"/>
    <w:p w14:paraId="4D88A001">
      <w:pPr>
        <w:keepNext w:val="0"/>
        <w:keepLines w:val="0"/>
        <w:pageBreakBefore w:val="0"/>
        <w:widowControl/>
        <w:shd w:val="clear" w:color="auto" w:fill="FFFFFF"/>
        <w:tabs>
          <w:tab w:val="left" w:pos="426"/>
        </w:tabs>
        <w:kinsoku/>
        <w:overflowPunct/>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六、其他补充事宜</w:t>
      </w:r>
    </w:p>
    <w:p w14:paraId="73041FDC">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spacing w:val="8"/>
          <w:kern w:val="0"/>
          <w:szCs w:val="21"/>
          <w:highlight w:val="none"/>
        </w:rPr>
        <w:t>本项目在</w:t>
      </w:r>
      <w:r>
        <w:rPr>
          <w:rFonts w:hint="eastAsia" w:ascii="宋体" w:hAnsi="宋体" w:eastAsia="宋体" w:cs="宋体"/>
          <w:color w:val="auto"/>
          <w:szCs w:val="21"/>
          <w:highlight w:val="none"/>
        </w:rPr>
        <w:t>中国医学科学院皮肤病医院官网</w:t>
      </w:r>
      <w:r>
        <w:rPr>
          <w:rFonts w:hint="eastAsia" w:ascii="宋体" w:hAnsi="宋体" w:eastAsia="宋体" w:cs="宋体"/>
          <w:color w:val="auto"/>
          <w:spacing w:val="8"/>
          <w:kern w:val="0"/>
          <w:szCs w:val="21"/>
          <w:highlight w:val="none"/>
        </w:rPr>
        <w:t>发布公告。</w:t>
      </w:r>
    </w:p>
    <w:p w14:paraId="096E5226">
      <w:pPr>
        <w:keepNext w:val="0"/>
        <w:keepLines w:val="0"/>
        <w:pageBreakBefore w:val="0"/>
        <w:kinsoku/>
        <w:overflowPunct/>
        <w:autoSpaceDE/>
        <w:autoSpaceDN/>
        <w:bidi w:val="0"/>
        <w:spacing w:line="360" w:lineRule="auto"/>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2.供应商应当从采购代理机构合法获得采购项目的采购文件。</w:t>
      </w:r>
    </w:p>
    <w:p w14:paraId="36011685">
      <w:pPr>
        <w:keepNext w:val="0"/>
        <w:keepLines w:val="0"/>
        <w:pageBreakBefore w:val="0"/>
        <w:widowControl/>
        <w:shd w:val="clear" w:color="auto" w:fill="FFFFFF"/>
        <w:tabs>
          <w:tab w:val="left" w:pos="426"/>
        </w:tabs>
        <w:kinsoku/>
        <w:overflowPunct/>
        <w:autoSpaceDE/>
        <w:autoSpaceDN/>
        <w:bidi w:val="0"/>
        <w:spacing w:line="360" w:lineRule="auto"/>
        <w:ind w:left="0" w:firstLine="514" w:firstLineChars="200"/>
        <w:textAlignment w:val="auto"/>
        <w:outlineLvl w:val="1"/>
        <w:rPr>
          <w:rFonts w:hint="eastAsia" w:ascii="宋体" w:hAnsi="宋体" w:eastAsia="宋体" w:cs="宋体"/>
          <w:b/>
          <w:color w:val="auto"/>
          <w:spacing w:val="8"/>
          <w:kern w:val="0"/>
          <w:sz w:val="24"/>
          <w:highlight w:val="none"/>
        </w:rPr>
      </w:pPr>
      <w:r>
        <w:rPr>
          <w:rFonts w:hint="eastAsia" w:ascii="宋体" w:hAnsi="宋体" w:eastAsia="宋体" w:cs="宋体"/>
          <w:b/>
          <w:color w:val="auto"/>
          <w:spacing w:val="8"/>
          <w:kern w:val="0"/>
          <w:sz w:val="24"/>
          <w:highlight w:val="none"/>
        </w:rPr>
        <w:t>七、对本次采购提出询问，请按以下方式联系。</w:t>
      </w:r>
    </w:p>
    <w:p w14:paraId="095B5DFE">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7.1采购人信息</w:t>
      </w:r>
    </w:p>
    <w:p w14:paraId="60F08A37">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称：中国医学科学院皮肤病医院</w:t>
      </w:r>
    </w:p>
    <w:p w14:paraId="386CB900">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地址：南京市太平门外蒋王庙街12号</w:t>
      </w:r>
    </w:p>
    <w:p w14:paraId="6A197BFE">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联系电话：025-85478284</w:t>
      </w:r>
    </w:p>
    <w:p w14:paraId="3364D2A3">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7.2采购代理机构信息</w:t>
      </w:r>
    </w:p>
    <w:p w14:paraId="093E43EA">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称：江苏省设备成套股份有限公司</w:t>
      </w:r>
    </w:p>
    <w:p w14:paraId="3D48C779">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址：南京市鼓楼区清江南路18号鼓楼创新广场D座10楼1006室</w:t>
      </w:r>
    </w:p>
    <w:p w14:paraId="046A130B">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联系方式：13913894080</w:t>
      </w:r>
    </w:p>
    <w:p w14:paraId="4FD7B645">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7.3项目联系方式</w:t>
      </w:r>
    </w:p>
    <w:p w14:paraId="4889DA82">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项目联系人：陶冬雨 </w:t>
      </w:r>
    </w:p>
    <w:p w14:paraId="1D9CE3C9">
      <w:pPr>
        <w:keepNext w:val="0"/>
        <w:keepLines w:val="0"/>
        <w:pageBreakBefore w:val="0"/>
        <w:shd w:val="clear" w:color="auto" w:fill="FFFFFF"/>
        <w:kinsoku/>
        <w:overflowPunct/>
        <w:autoSpaceDE/>
        <w:autoSpaceDN/>
        <w:bidi w:val="0"/>
        <w:spacing w:line="360" w:lineRule="auto"/>
        <w:ind w:left="0" w:firstLine="420" w:firstLineChars="200"/>
        <w:textAlignment w:val="auto"/>
        <w:rPr>
          <w:rFonts w:hint="eastAsia" w:ascii="宋体" w:hAnsi="宋体" w:eastAsia="宋体" w:cs="宋体"/>
          <w:color w:val="auto"/>
          <w:spacing w:val="8"/>
          <w:szCs w:val="21"/>
          <w:highlight w:val="none"/>
        </w:rPr>
      </w:pPr>
      <w:r>
        <w:rPr>
          <w:rFonts w:hint="eastAsia" w:ascii="宋体" w:hAnsi="宋体" w:eastAsia="宋体" w:cs="宋体"/>
          <w:color w:val="auto"/>
          <w:szCs w:val="21"/>
          <w:highlight w:val="none"/>
        </w:rPr>
        <w:t>电　话：13913894080</w:t>
      </w:r>
    </w:p>
    <w:p w14:paraId="16EDB71F">
      <w:pPr>
        <w:shd w:val="clear" w:color="auto" w:fill="FFFFFF"/>
        <w:spacing w:line="440" w:lineRule="exact"/>
        <w:ind w:firstLine="560"/>
        <w:rPr>
          <w:rFonts w:hint="eastAsia" w:ascii="宋体" w:hAnsi="宋体" w:eastAsia="宋体" w:cs="宋体"/>
          <w:color w:val="auto"/>
          <w:spacing w:val="8"/>
          <w:szCs w:val="21"/>
          <w:highlight w:val="none"/>
        </w:rPr>
      </w:pPr>
    </w:p>
    <w:p w14:paraId="437D7F6E">
      <w:pPr>
        <w:shd w:val="clear" w:color="auto" w:fill="FFFFFF"/>
        <w:spacing w:line="440" w:lineRule="exact"/>
        <w:ind w:firstLine="560"/>
        <w:rPr>
          <w:rFonts w:hint="eastAsia" w:ascii="宋体" w:hAnsi="宋体" w:eastAsia="宋体" w:cs="宋体"/>
          <w:color w:val="auto"/>
          <w:spacing w:val="8"/>
          <w:szCs w:val="21"/>
          <w:highlight w:val="none"/>
        </w:rPr>
      </w:pPr>
    </w:p>
    <w:bookmarkEnd w:id="1"/>
    <w:p w14:paraId="3F65D6CF">
      <w:pPr>
        <w:pStyle w:val="3"/>
        <w:pageBreakBefore w:val="0"/>
        <w:numPr>
          <w:ilvl w:val="0"/>
          <w:numId w:val="0"/>
        </w:numPr>
        <w:kinsoku/>
        <w:wordWrap/>
        <w:overflowPunct/>
        <w:topLinePunct w:val="0"/>
        <w:bidi w:val="0"/>
        <w:spacing w:before="0" w:after="0" w:line="360" w:lineRule="auto"/>
        <w:textAlignment w:val="auto"/>
        <w:rPr>
          <w:rFonts w:hint="eastAsia" w:ascii="宋体" w:hAnsi="宋体" w:eastAsia="宋体" w:cs="宋体"/>
          <w:color w:val="auto"/>
          <w:highlight w:val="none"/>
        </w:rPr>
      </w:pPr>
      <w:bookmarkStart w:id="4" w:name="_Toc94432278"/>
      <w:r>
        <w:rPr>
          <w:rFonts w:hint="eastAsia" w:ascii="宋体" w:hAnsi="宋体" w:eastAsia="宋体" w:cs="宋体"/>
          <w:color w:val="auto"/>
          <w:highlight w:val="none"/>
        </w:rPr>
        <w:br w:type="page"/>
      </w:r>
      <w:r>
        <w:rPr>
          <w:rFonts w:hint="eastAsia" w:ascii="宋体" w:hAnsi="宋体" w:eastAsia="宋体" w:cs="宋体"/>
          <w:color w:val="auto"/>
          <w:highlight w:val="none"/>
        </w:rPr>
        <w:t>第二章</w:t>
      </w:r>
      <w:bookmarkStart w:id="5" w:name="_Toc452625218"/>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供应商须知</w:t>
      </w:r>
      <w:bookmarkEnd w:id="4"/>
      <w:bookmarkEnd w:id="5"/>
    </w:p>
    <w:p w14:paraId="16275709">
      <w:pPr>
        <w:pageBreakBefore w:val="0"/>
        <w:kinsoku/>
        <w:wordWrap/>
        <w:overflowPunct/>
        <w:topLinePunct w:val="0"/>
        <w:autoSpaceDE w:val="0"/>
        <w:autoSpaceDN w:val="0"/>
        <w:bidi w:val="0"/>
        <w:adjustRightInd w:val="0"/>
        <w:snapToGrid w:val="0"/>
        <w:spacing w:line="360" w:lineRule="auto"/>
        <w:ind w:firstLine="420"/>
        <w:textAlignment w:val="auto"/>
        <w:rPr>
          <w:rFonts w:hint="eastAsia" w:ascii="宋体" w:hAnsi="宋体" w:eastAsia="宋体" w:cs="宋体"/>
          <w:b/>
          <w:bCs/>
          <w:color w:val="auto"/>
          <w:szCs w:val="21"/>
          <w:highlight w:val="none"/>
          <w:lang w:val="zh-CN"/>
        </w:rPr>
      </w:pPr>
      <w:r>
        <w:rPr>
          <w:rFonts w:hint="eastAsia" w:ascii="宋体" w:hAnsi="宋体" w:eastAsia="宋体" w:cs="宋体"/>
          <w:color w:val="auto"/>
          <w:kern w:val="0"/>
          <w:highlight w:val="none"/>
        </w:rPr>
        <w:t> </w:t>
      </w:r>
      <w:bookmarkStart w:id="6" w:name="_Toc481057145"/>
      <w:bookmarkStart w:id="7" w:name="_Toc94432279"/>
      <w:r>
        <w:rPr>
          <w:rFonts w:hint="eastAsia" w:ascii="宋体" w:hAnsi="宋体" w:eastAsia="宋体" w:cs="宋体"/>
          <w:b/>
          <w:bCs/>
          <w:color w:val="auto"/>
          <w:szCs w:val="21"/>
          <w:highlight w:val="none"/>
          <w:lang w:val="zh-CN"/>
        </w:rPr>
        <w:t>一、总    则</w:t>
      </w:r>
    </w:p>
    <w:p w14:paraId="3AD84293">
      <w:pPr>
        <w:pageBreakBefore w:val="0"/>
        <w:kinsoku/>
        <w:wordWrap/>
        <w:overflowPunct/>
        <w:topLinePunct w:val="0"/>
        <w:bidi w:val="0"/>
        <w:spacing w:line="360" w:lineRule="auto"/>
        <w:ind w:firstLine="422" w:firstLineChars="200"/>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1、适用法律</w:t>
      </w:r>
    </w:p>
    <w:p w14:paraId="2D67A8C9">
      <w:pPr>
        <w:pageBreakBefore w:val="0"/>
        <w:kinsoku/>
        <w:wordWrap/>
        <w:overflowPunct/>
        <w:topLinePunct w:val="0"/>
        <w:autoSpaceDE w:val="0"/>
        <w:autoSpaceDN w:val="0"/>
        <w:bidi w:val="0"/>
        <w:adjustRightInd w:val="0"/>
        <w:snapToGrid w:val="0"/>
        <w:spacing w:line="360" w:lineRule="auto"/>
        <w:ind w:firstLine="420"/>
        <w:textAlignment w:val="auto"/>
        <w:rPr>
          <w:rFonts w:hint="eastAsia" w:ascii="宋体" w:hAnsi="宋体" w:eastAsia="宋体" w:cs="宋体"/>
          <w:color w:val="auto"/>
          <w:sz w:val="24"/>
          <w:highlight w:val="none"/>
          <w:lang w:val="zh-CN"/>
        </w:rPr>
      </w:pPr>
      <w:r>
        <w:rPr>
          <w:rFonts w:hint="eastAsia" w:ascii="宋体" w:hAnsi="宋体" w:eastAsia="宋体" w:cs="宋体"/>
          <w:color w:val="auto"/>
          <w:szCs w:val="21"/>
          <w:highlight w:val="none"/>
        </w:rPr>
        <w:t>参照</w:t>
      </w:r>
      <w:r>
        <w:rPr>
          <w:rFonts w:hint="eastAsia" w:ascii="宋体" w:hAnsi="宋体" w:eastAsia="宋体" w:cs="宋体"/>
          <w:color w:val="auto"/>
          <w:szCs w:val="21"/>
          <w:highlight w:val="none"/>
          <w:lang w:val="zh-CN"/>
        </w:rPr>
        <w:t>《中华人民共和国政府采购法》、《中华人民共和国政府采购法实施条例》、《</w:t>
      </w:r>
      <w:r>
        <w:rPr>
          <w:rFonts w:hint="eastAsia" w:ascii="宋体" w:hAnsi="宋体" w:eastAsia="宋体" w:cs="宋体"/>
          <w:color w:val="auto"/>
          <w:szCs w:val="21"/>
          <w:highlight w:val="none"/>
        </w:rPr>
        <w:t>政府采购竞争性磋商采购方式管理暂行办法</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等</w:t>
      </w:r>
      <w:r>
        <w:rPr>
          <w:rFonts w:hint="eastAsia" w:ascii="宋体" w:hAnsi="宋体" w:eastAsia="宋体" w:cs="宋体"/>
          <w:color w:val="auto"/>
          <w:szCs w:val="21"/>
          <w:highlight w:val="none"/>
          <w:lang w:val="zh-CN"/>
        </w:rPr>
        <w:t>有关法律、法规、规章和规定等。</w:t>
      </w:r>
    </w:p>
    <w:p w14:paraId="50170ECF">
      <w:pPr>
        <w:pageBreakBefore w:val="0"/>
        <w:kinsoku/>
        <w:wordWrap/>
        <w:overflowPunct/>
        <w:topLinePunct w:val="0"/>
        <w:bidi w:val="0"/>
        <w:spacing w:line="360" w:lineRule="auto"/>
        <w:ind w:firstLine="422" w:firstLineChars="200"/>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2、定义</w:t>
      </w:r>
    </w:p>
    <w:p w14:paraId="3FCB89A5">
      <w:pPr>
        <w:pageBreakBefore w:val="0"/>
        <w:widowControl/>
        <w:shd w:val="clear" w:color="auto" w:fill="FFFFFF"/>
        <w:kinsoku/>
        <w:wordWrap/>
        <w:overflowPunct/>
        <w:topLinePunct w:val="0"/>
        <w:bidi w:val="0"/>
        <w:spacing w:line="360" w:lineRule="auto"/>
        <w:ind w:firstLine="42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2.1“采购人”是指依法进行政府采购的国家机关、事业单位、团体组织。</w:t>
      </w:r>
    </w:p>
    <w:p w14:paraId="70A2DD07">
      <w:pPr>
        <w:pageBreakBefore w:val="0"/>
        <w:widowControl/>
        <w:shd w:val="clear" w:color="auto" w:fill="FFFFFF"/>
        <w:kinsoku/>
        <w:wordWrap/>
        <w:overflowPunct/>
        <w:topLinePunct w:val="0"/>
        <w:bidi w:val="0"/>
        <w:spacing w:line="360" w:lineRule="auto"/>
        <w:ind w:firstLine="42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2.2“供应商”是指参加竞争性磋商，并符合采购文件规定资格条件的法人、其他组织或者自然人。</w:t>
      </w:r>
    </w:p>
    <w:p w14:paraId="5D588E93">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2.3“货物和服务”指本采购文件中所述</w:t>
      </w:r>
      <w:r>
        <w:rPr>
          <w:rFonts w:hint="eastAsia" w:ascii="宋体" w:hAnsi="宋体" w:eastAsia="宋体" w:cs="宋体"/>
          <w:bCs/>
          <w:color w:val="auto"/>
          <w:kern w:val="0"/>
          <w:szCs w:val="21"/>
          <w:highlight w:val="none"/>
        </w:rPr>
        <w:t>产品</w:t>
      </w:r>
      <w:r>
        <w:rPr>
          <w:rFonts w:hint="eastAsia" w:ascii="宋体" w:hAnsi="宋体" w:eastAsia="宋体" w:cs="宋体"/>
          <w:color w:val="auto"/>
          <w:kern w:val="0"/>
          <w:szCs w:val="21"/>
          <w:highlight w:val="none"/>
        </w:rPr>
        <w:t>及相关服务。</w:t>
      </w:r>
    </w:p>
    <w:p w14:paraId="716372E7">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2.4“用户或使用单位”是指使用服务的单位。</w:t>
      </w:r>
    </w:p>
    <w:p w14:paraId="316070AC">
      <w:pPr>
        <w:autoSpaceDE w:val="0"/>
        <w:autoSpaceDN w:val="0"/>
        <w:adjustRightInd w:val="0"/>
        <w:snapToGri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二、磋商响应文件编制</w:t>
      </w:r>
    </w:p>
    <w:p w14:paraId="55D791DE">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rPr>
        <w:t>3</w:t>
      </w:r>
      <w:r>
        <w:rPr>
          <w:rFonts w:hint="eastAsia" w:ascii="宋体" w:hAnsi="宋体" w:eastAsia="宋体" w:cs="宋体"/>
          <w:b/>
          <w:bCs/>
          <w:color w:val="auto"/>
          <w:szCs w:val="21"/>
          <w:highlight w:val="none"/>
          <w:lang w:val="zh-CN"/>
        </w:rPr>
        <w:t>、磋商响应文件的语言、计量单位、货币和编制</w:t>
      </w:r>
    </w:p>
    <w:p w14:paraId="6413CD5D">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.1 供应商提交的磋商响应文件、技术文件和资料，包括图纸中的说明，以及供应商与采购代理机构就有关磋商的所有来往函电均应使用中文。响应文件中若有英文或其他语言文字的资料，应提供相应的中文翻译资料。对不同文本响应文件的解释发生异议的，以中文文本为准。</w:t>
      </w:r>
    </w:p>
    <w:p w14:paraId="1770723C">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.2 供应商所使用的计量单位应为国家法定计量单位。</w:t>
      </w:r>
    </w:p>
    <w:p w14:paraId="28528294">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.3 供应商应用人民币报价。报价产品如果是进口产品的，应提供人民币与外币之间的汇率；报价单位为“元”。</w:t>
      </w:r>
    </w:p>
    <w:p w14:paraId="6A0E40DD">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.4 磋商响应文件应按照竞争性磋商文件规定的顺序，统一用A4规格幅面打印、装订成册并编制目录，由于编排混乱导致响应文件被误读或查找不到，责任由供应商承担。</w:t>
      </w:r>
    </w:p>
    <w:p w14:paraId="6913A02E">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.5 供应商应在磋商响应文件中写清相应的项目编号、项目名称、供应商全称、地址、电话、传真等。</w:t>
      </w:r>
    </w:p>
    <w:p w14:paraId="2CDFAB3F">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rPr>
        <w:t>4</w:t>
      </w:r>
      <w:r>
        <w:rPr>
          <w:rFonts w:hint="eastAsia" w:ascii="宋体" w:hAnsi="宋体" w:eastAsia="宋体" w:cs="宋体"/>
          <w:b/>
          <w:bCs/>
          <w:color w:val="auto"/>
          <w:szCs w:val="21"/>
          <w:highlight w:val="none"/>
          <w:lang w:val="zh-CN"/>
        </w:rPr>
        <w:t>、磋商响应文件的组成</w:t>
      </w:r>
    </w:p>
    <w:p w14:paraId="1736B6D0">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.1 供应商应当根据竞争性磋商文件要求编制磋商响应文件，并根据自己的商务能力、技术水平对竞争性磋商文件提出的要求和条件逐条标明是否响应。</w:t>
      </w:r>
    </w:p>
    <w:p w14:paraId="43AD37FB">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.2 磋商响应文件由商务部分、技术部分、价格部分，以及其他部分组成。</w:t>
      </w:r>
    </w:p>
    <w:p w14:paraId="338372D3">
      <w:pPr>
        <w:autoSpaceDE w:val="0"/>
        <w:autoSpaceDN w:val="0"/>
        <w:adjustRightInd w:val="0"/>
        <w:snapToGrid w:val="0"/>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 本次采购的最小单位是包。采购项目的技术要求中未分包的，供应商对要求提供的服务不得部分投标；采购项目的技术要求中已经分包的，可以以包为单位投标。</w:t>
      </w:r>
    </w:p>
    <w:p w14:paraId="368C8AE2">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bCs/>
          <w:color w:val="auto"/>
          <w:szCs w:val="21"/>
          <w:highlight w:val="none"/>
        </w:rPr>
        <w:t>4</w:t>
      </w:r>
      <w:r>
        <w:rPr>
          <w:rFonts w:hint="eastAsia" w:ascii="宋体" w:hAnsi="宋体" w:eastAsia="宋体" w:cs="宋体"/>
          <w:bCs/>
          <w:color w:val="auto"/>
          <w:szCs w:val="21"/>
          <w:highlight w:val="none"/>
          <w:lang w:val="zh-CN"/>
        </w:rPr>
        <w:t xml:space="preserve">.4 </w:t>
      </w:r>
      <w:r>
        <w:rPr>
          <w:rFonts w:hint="eastAsia" w:ascii="宋体" w:hAnsi="宋体" w:eastAsia="宋体" w:cs="宋体"/>
          <w:b/>
          <w:bCs/>
          <w:color w:val="auto"/>
          <w:szCs w:val="21"/>
          <w:highlight w:val="none"/>
          <w:lang w:val="zh-CN"/>
        </w:rPr>
        <w:t>磋商响应文件的商务部分。</w:t>
      </w:r>
      <w:r>
        <w:rPr>
          <w:rFonts w:hint="eastAsia" w:ascii="宋体" w:hAnsi="宋体" w:eastAsia="宋体" w:cs="宋体"/>
          <w:color w:val="auto"/>
          <w:szCs w:val="21"/>
          <w:highlight w:val="none"/>
          <w:lang w:val="zh-CN"/>
        </w:rPr>
        <w:t>商务部分是证明供应商有资格参加磋商和成交后有能力履行合同的文件，</w:t>
      </w:r>
      <w:r>
        <w:rPr>
          <w:rFonts w:hint="eastAsia" w:ascii="宋体" w:hAnsi="宋体" w:eastAsia="宋体" w:cs="宋体"/>
          <w:color w:val="auto"/>
          <w:szCs w:val="21"/>
          <w:highlight w:val="none"/>
        </w:rPr>
        <w:t>这些文件应能满足竞争性磋商采购的要求</w:t>
      </w:r>
      <w:r>
        <w:rPr>
          <w:rFonts w:hint="eastAsia" w:ascii="宋体" w:hAnsi="宋体" w:eastAsia="宋体" w:cs="宋体"/>
          <w:color w:val="auto"/>
          <w:szCs w:val="21"/>
          <w:highlight w:val="none"/>
          <w:lang w:val="zh-CN"/>
        </w:rPr>
        <w:t>，包括但不限于下列文件：</w:t>
      </w:r>
    </w:p>
    <w:p w14:paraId="0E20D20C">
      <w:pPr>
        <w:autoSpaceDE w:val="0"/>
        <w:autoSpaceDN w:val="0"/>
        <w:adjustRightInd w:val="0"/>
        <w:spacing w:line="440" w:lineRule="exact"/>
        <w:ind w:firstLine="42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（1）竞争性磋商申请及声明</w:t>
      </w: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格式见附件</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lang w:val="zh-CN"/>
        </w:rPr>
        <w:t>；</w:t>
      </w:r>
    </w:p>
    <w:p w14:paraId="64763477">
      <w:pPr>
        <w:widowControl/>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（2）法定代表人授权委托书及委托代理人的身份证复印件</w:t>
      </w: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格式见附件</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lang w:val="zh-CN"/>
        </w:rPr>
        <w:t>；</w:t>
      </w:r>
    </w:p>
    <w:p w14:paraId="29AEEB02">
      <w:pPr>
        <w:widowControl/>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（3）申请人资格资信证明文件：</w:t>
      </w:r>
    </w:p>
    <w:p w14:paraId="6E63136C">
      <w:pPr>
        <w:widowControl/>
        <w:adjustRightInd w:val="0"/>
        <w:spacing w:line="440" w:lineRule="exact"/>
        <w:ind w:firstLine="840" w:firstLineChars="4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第一章竞争性磋商公告中规定的资格条件证明文件；</w:t>
      </w:r>
    </w:p>
    <w:p w14:paraId="6C26435D">
      <w:pPr>
        <w:widowControl/>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（4）报价表</w:t>
      </w:r>
      <w:r>
        <w:rPr>
          <w:rFonts w:hint="eastAsia" w:ascii="宋体" w:hAnsi="宋体" w:eastAsia="宋体" w:cs="宋体"/>
          <w:bCs/>
          <w:color w:val="auto"/>
          <w:szCs w:val="21"/>
          <w:highlight w:val="none"/>
        </w:rPr>
        <w:t>（</w:t>
      </w:r>
      <w:r>
        <w:rPr>
          <w:rFonts w:hint="eastAsia" w:ascii="宋体" w:hAnsi="宋体" w:eastAsia="宋体" w:cs="宋体"/>
          <w:b/>
          <w:bCs/>
          <w:color w:val="auto"/>
          <w:szCs w:val="21"/>
          <w:highlight w:val="none"/>
        </w:rPr>
        <w:t>格式见附件</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w:t>
      </w:r>
    </w:p>
    <w:p w14:paraId="78E77E0C">
      <w:pPr>
        <w:autoSpaceDE w:val="0"/>
        <w:autoSpaceDN w:val="0"/>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供应商</w:t>
      </w:r>
      <w:r>
        <w:rPr>
          <w:rFonts w:hint="eastAsia" w:ascii="宋体" w:hAnsi="宋体" w:eastAsia="宋体" w:cs="宋体"/>
          <w:color w:val="auto"/>
          <w:kern w:val="0"/>
          <w:szCs w:val="21"/>
          <w:highlight w:val="none"/>
        </w:rPr>
        <w:t>缴纳磋商保证金凭证</w:t>
      </w:r>
      <w:r>
        <w:rPr>
          <w:rFonts w:hint="eastAsia" w:ascii="宋体" w:hAnsi="宋体" w:eastAsia="宋体" w:cs="宋体"/>
          <w:color w:val="auto"/>
          <w:kern w:val="0"/>
          <w:szCs w:val="21"/>
          <w:highlight w:val="none"/>
          <w:lang w:val="zh-CN"/>
        </w:rPr>
        <w:t>；</w:t>
      </w:r>
    </w:p>
    <w:p w14:paraId="0B30542C">
      <w:pPr>
        <w:autoSpaceDE w:val="0"/>
        <w:autoSpaceDN w:val="0"/>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lang w:val="zh-CN"/>
        </w:rPr>
        <w:t>）分项报价表（</w:t>
      </w:r>
      <w:r>
        <w:rPr>
          <w:rFonts w:hint="eastAsia" w:ascii="宋体" w:hAnsi="宋体" w:eastAsia="宋体" w:cs="宋体"/>
          <w:b/>
          <w:bCs/>
          <w:color w:val="auto"/>
          <w:szCs w:val="21"/>
          <w:highlight w:val="none"/>
        </w:rPr>
        <w:t>格式见附件</w:t>
      </w:r>
      <w:r>
        <w:rPr>
          <w:rFonts w:hint="eastAsia" w:ascii="宋体" w:hAnsi="宋体" w:eastAsia="宋体" w:cs="宋体"/>
          <w:color w:val="auto"/>
          <w:kern w:val="0"/>
          <w:szCs w:val="21"/>
          <w:highlight w:val="none"/>
          <w:lang w:val="zh-CN"/>
        </w:rPr>
        <w:t>）；</w:t>
      </w:r>
    </w:p>
    <w:p w14:paraId="0F89A3D8">
      <w:pPr>
        <w:autoSpaceDE w:val="0"/>
        <w:autoSpaceDN w:val="0"/>
        <w:adjustRightInd w:val="0"/>
        <w:spacing w:line="440" w:lineRule="exact"/>
        <w:ind w:firstLine="42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zh-CN"/>
        </w:rPr>
        <w:t>《商务条款偏离表》；</w:t>
      </w:r>
    </w:p>
    <w:p w14:paraId="2C794C87">
      <w:pPr>
        <w:autoSpaceDE w:val="0"/>
        <w:autoSpaceDN w:val="0"/>
        <w:adjustRightInd w:val="0"/>
        <w:spacing w:line="440" w:lineRule="exact"/>
        <w:ind w:firstLine="42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zh-CN"/>
        </w:rPr>
        <w:t>）供应商认为需要提供的其他资格证明文件和商务资料。</w:t>
      </w:r>
    </w:p>
    <w:p w14:paraId="7111E07E">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bCs/>
          <w:color w:val="auto"/>
          <w:szCs w:val="21"/>
          <w:highlight w:val="none"/>
        </w:rPr>
        <w:t>4</w:t>
      </w:r>
      <w:r>
        <w:rPr>
          <w:rFonts w:hint="eastAsia" w:ascii="宋体" w:hAnsi="宋体" w:eastAsia="宋体" w:cs="宋体"/>
          <w:bCs/>
          <w:color w:val="auto"/>
          <w:szCs w:val="21"/>
          <w:highlight w:val="none"/>
          <w:lang w:val="zh-CN"/>
        </w:rPr>
        <w:t xml:space="preserve">.5 </w:t>
      </w:r>
      <w:r>
        <w:rPr>
          <w:rFonts w:hint="eastAsia" w:ascii="宋体" w:hAnsi="宋体" w:eastAsia="宋体" w:cs="宋体"/>
          <w:b/>
          <w:bCs/>
          <w:color w:val="auto"/>
          <w:szCs w:val="21"/>
          <w:highlight w:val="none"/>
          <w:lang w:val="zh-CN"/>
        </w:rPr>
        <w:t>磋商响应文件的技术部分。</w:t>
      </w:r>
      <w:r>
        <w:rPr>
          <w:rFonts w:hint="eastAsia" w:ascii="宋体" w:hAnsi="宋体" w:eastAsia="宋体" w:cs="宋体"/>
          <w:color w:val="auto"/>
          <w:szCs w:val="21"/>
          <w:highlight w:val="none"/>
          <w:lang w:val="zh-CN"/>
        </w:rPr>
        <w:t>技术部分是证明</w:t>
      </w:r>
      <w:r>
        <w:rPr>
          <w:rFonts w:hint="eastAsia" w:ascii="宋体" w:hAnsi="宋体" w:eastAsia="宋体" w:cs="宋体"/>
          <w:color w:val="auto"/>
          <w:szCs w:val="21"/>
          <w:highlight w:val="none"/>
        </w:rPr>
        <w:t>供应商提供的服务是合格的、并符合竞争性磋商文件要求的证明文件，以及</w:t>
      </w:r>
      <w:r>
        <w:rPr>
          <w:rFonts w:hint="eastAsia" w:ascii="宋体" w:hAnsi="宋体" w:eastAsia="宋体" w:cs="宋体"/>
          <w:color w:val="auto"/>
          <w:szCs w:val="21"/>
          <w:highlight w:val="none"/>
          <w:lang w:val="zh-CN"/>
        </w:rPr>
        <w:t>对服务的详细说明，这些文件可以是文字资料、图纸和数据等。提供的服务如与竞争性磋商文件要求有不符之处，应说明其差别之所在。包括但不限于下列文件。</w:t>
      </w:r>
    </w:p>
    <w:p w14:paraId="519DC4D0">
      <w:pPr>
        <w:widowControl/>
        <w:adjustRightInd w:val="0"/>
        <w:spacing w:line="440" w:lineRule="exact"/>
        <w:ind w:firstLine="420"/>
        <w:jc w:val="left"/>
        <w:rPr>
          <w:rFonts w:hint="eastAsia" w:ascii="宋体" w:hAnsi="宋体" w:eastAsia="宋体" w:cs="宋体"/>
          <w:color w:val="auto"/>
          <w:szCs w:val="21"/>
          <w:highlight w:val="none"/>
          <w:lang w:val="zh-CN"/>
        </w:rPr>
      </w:pPr>
      <w:r>
        <w:rPr>
          <w:rFonts w:hint="eastAsia" w:ascii="宋体" w:hAnsi="宋体" w:eastAsia="宋体" w:cs="宋体"/>
          <w:color w:val="auto"/>
          <w:kern w:val="0"/>
          <w:szCs w:val="21"/>
          <w:highlight w:val="none"/>
          <w:lang w:val="zh-CN"/>
        </w:rPr>
        <w:t>（1）</w:t>
      </w:r>
      <w:r>
        <w:rPr>
          <w:rFonts w:hint="eastAsia" w:ascii="宋体" w:hAnsi="宋体" w:eastAsia="宋体" w:cs="宋体"/>
          <w:color w:val="auto"/>
          <w:szCs w:val="21"/>
          <w:highlight w:val="none"/>
          <w:lang w:val="zh-CN"/>
        </w:rPr>
        <w:t xml:space="preserve">项目技术方案或服务说明； </w:t>
      </w:r>
    </w:p>
    <w:p w14:paraId="46384F69">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（2）《采购需求条款偏离表》；</w:t>
      </w:r>
    </w:p>
    <w:p w14:paraId="3A58CC3A">
      <w:pPr>
        <w:widowControl/>
        <w:adjustRightInd w:val="0"/>
        <w:spacing w:line="440" w:lineRule="exact"/>
        <w:ind w:firstLine="42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（3）供应商认为需要</w:t>
      </w:r>
      <w:r>
        <w:rPr>
          <w:rFonts w:hint="eastAsia" w:ascii="宋体" w:hAnsi="宋体" w:eastAsia="宋体" w:cs="宋体"/>
          <w:color w:val="auto"/>
          <w:kern w:val="0"/>
          <w:szCs w:val="21"/>
          <w:highlight w:val="none"/>
          <w:lang w:val="zh-CN"/>
        </w:rPr>
        <w:t>提供的其他技术资料。</w:t>
      </w:r>
    </w:p>
    <w:p w14:paraId="3DA01F02">
      <w:pPr>
        <w:autoSpaceDE w:val="0"/>
        <w:autoSpaceDN w:val="0"/>
        <w:adjustRightIn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 xml:space="preserve">.6 </w:t>
      </w:r>
      <w:r>
        <w:rPr>
          <w:rFonts w:hint="eastAsia" w:ascii="宋体" w:hAnsi="宋体" w:eastAsia="宋体" w:cs="宋体"/>
          <w:b/>
          <w:color w:val="auto"/>
          <w:szCs w:val="21"/>
          <w:highlight w:val="none"/>
          <w:lang w:val="zh-CN"/>
        </w:rPr>
        <w:t>磋商响应文件的价格部分</w:t>
      </w:r>
    </w:p>
    <w:p w14:paraId="4433BEA8">
      <w:pPr>
        <w:numPr>
          <w:ilvl w:val="0"/>
          <w:numId w:val="2"/>
        </w:num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价格部分是对服务价格构成的说明，竞争性磋商文件如没有特别说明的话，对每一项服务仅接受一个价格。</w:t>
      </w:r>
    </w:p>
    <w:p w14:paraId="1AB4A45F">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（2）报价应包含与磋商项目有关的所有费用，以及技术资料、支付给员工的工资和国家强制缴纳的各种社会保障资金，以及供应商认为需要的其他费用等。</w:t>
      </w:r>
    </w:p>
    <w:p w14:paraId="1D519788">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（3）供应商应以表格形式详细说明服务的价格构成，以及价格构成各项因素的单价和总价。</w:t>
      </w:r>
    </w:p>
    <w:p w14:paraId="3F2E87CC">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（4）供应商应充分考虑到市场价格变动，以及项目实施过程中的不可预见因素，一旦成交，总价格不变。如果有漏项，视同让利。</w:t>
      </w:r>
    </w:p>
    <w:p w14:paraId="3666B2A4">
      <w:pPr>
        <w:widowControl/>
        <w:shd w:val="clear" w:color="auto" w:fill="FFFFFF"/>
        <w:spacing w:line="440" w:lineRule="exact"/>
        <w:ind w:firstLine="412"/>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（5）响应文件所报的磋商价格不得超过磋商文件规定的预算价、限价，超过磋商文件规定的，响应文件按无效投标处理。</w:t>
      </w:r>
    </w:p>
    <w:p w14:paraId="053380A6">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）经磋商后，如果成交价低于供应商在磋商响应文件报价的话，除特别注明外，分项报价同比例调整。</w:t>
      </w:r>
    </w:p>
    <w:p w14:paraId="30C68E18">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.7 磋商响应文件的其他部分。其他部分由供应商根据编制磋商响应文件需要提供的其他相关文件组成。</w:t>
      </w:r>
    </w:p>
    <w:p w14:paraId="623FA748">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rPr>
        <w:t>5</w:t>
      </w:r>
      <w:r>
        <w:rPr>
          <w:rFonts w:hint="eastAsia" w:ascii="宋体" w:hAnsi="宋体" w:eastAsia="宋体" w:cs="宋体"/>
          <w:b/>
          <w:bCs/>
          <w:color w:val="auto"/>
          <w:szCs w:val="21"/>
          <w:highlight w:val="none"/>
          <w:lang w:val="zh-CN"/>
        </w:rPr>
        <w:t>、磋商保证金：</w:t>
      </w:r>
    </w:p>
    <w:p w14:paraId="1B7A92C8">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（1）金额：响应人在</w:t>
      </w:r>
      <w:r>
        <w:rPr>
          <w:rFonts w:hint="eastAsia" w:ascii="宋体" w:hAnsi="宋体" w:eastAsia="宋体" w:cs="宋体"/>
          <w:color w:val="auto"/>
          <w:szCs w:val="21"/>
          <w:highlight w:val="none"/>
        </w:rPr>
        <w:t>磋商</w:t>
      </w:r>
      <w:r>
        <w:rPr>
          <w:rFonts w:hint="eastAsia" w:ascii="宋体" w:hAnsi="宋体" w:eastAsia="宋体" w:cs="宋体"/>
          <w:color w:val="auto"/>
          <w:szCs w:val="21"/>
          <w:highlight w:val="none"/>
          <w:lang w:val="zh-CN"/>
        </w:rPr>
        <w:t>时，</w:t>
      </w:r>
      <w:r>
        <w:rPr>
          <w:rFonts w:hint="eastAsia" w:ascii="宋体" w:hAnsi="宋体" w:eastAsia="宋体" w:cs="宋体"/>
          <w:color w:val="auto"/>
          <w:szCs w:val="21"/>
          <w:highlight w:val="none"/>
        </w:rPr>
        <w:t>无</w:t>
      </w:r>
      <w:r>
        <w:rPr>
          <w:rFonts w:hint="eastAsia" w:ascii="宋体" w:hAnsi="宋体" w:eastAsia="宋体" w:cs="宋体"/>
          <w:color w:val="auto"/>
          <w:szCs w:val="21"/>
          <w:highlight w:val="none"/>
          <w:lang w:val="zh-CN"/>
        </w:rPr>
        <w:t>需交纳磋商保证金。</w:t>
      </w:r>
    </w:p>
    <w:p w14:paraId="65193C52">
      <w:pPr>
        <w:autoSpaceDE w:val="0"/>
        <w:autoSpaceDN w:val="0"/>
        <w:adjustRightInd w:val="0"/>
        <w:snapToGri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三、磋商响应文件的递交</w:t>
      </w:r>
    </w:p>
    <w:p w14:paraId="66AEC64C">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rPr>
        <w:t>6</w:t>
      </w:r>
      <w:r>
        <w:rPr>
          <w:rFonts w:hint="eastAsia" w:ascii="宋体" w:hAnsi="宋体" w:eastAsia="宋体" w:cs="宋体"/>
          <w:b/>
          <w:bCs/>
          <w:color w:val="auto"/>
          <w:szCs w:val="21"/>
          <w:highlight w:val="none"/>
          <w:lang w:val="zh-CN"/>
        </w:rPr>
        <w:t>、磋商响应文件的签署、密封和递交</w:t>
      </w:r>
    </w:p>
    <w:p w14:paraId="18D8EC3F">
      <w:pPr>
        <w:autoSpaceDE w:val="0"/>
        <w:autoSpaceDN w:val="0"/>
        <w:adjustRightInd w:val="0"/>
        <w:snapToGrid w:val="0"/>
        <w:spacing w:line="440" w:lineRule="exact"/>
        <w:ind w:firstLine="420"/>
        <w:rPr>
          <w:rFonts w:hint="eastAsia" w:ascii="宋体" w:hAnsi="宋体" w:eastAsia="宋体" w:cs="宋体"/>
          <w:b/>
          <w:color w:val="auto"/>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 xml:space="preserve">.1 </w:t>
      </w:r>
      <w:r>
        <w:rPr>
          <w:rFonts w:hint="eastAsia" w:ascii="宋体" w:hAnsi="宋体" w:eastAsia="宋体" w:cs="宋体"/>
          <w:b/>
          <w:color w:val="auto"/>
          <w:szCs w:val="21"/>
          <w:highlight w:val="none"/>
          <w:lang w:val="zh-CN"/>
        </w:rPr>
        <w:t>磋商响应文件</w:t>
      </w:r>
      <w:r>
        <w:rPr>
          <w:rFonts w:hint="eastAsia" w:ascii="宋体" w:hAnsi="宋体" w:eastAsia="宋体" w:cs="宋体"/>
          <w:b/>
          <w:color w:val="auto"/>
          <w:highlight w:val="none"/>
        </w:rPr>
        <w:t>正本和所有副本均需打印或用不褪色墨水书写，在磋商文件中注明须加盖公章、签字的地方加盖公章，并由供应商的法定代表人或授权代表签字，如为授权代表签字的应附“法定代表人授权委托书”，正本必须为原件，但供应商的相关证明文件可采用复印件，采用复印件的，采购代理机构、磋商小组认为需要时，供应商应提供原件供核对。</w:t>
      </w:r>
    </w:p>
    <w:p w14:paraId="33BF8451">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 xml:space="preserve">.2 </w:t>
      </w:r>
      <w:r>
        <w:rPr>
          <w:rFonts w:hint="eastAsia" w:ascii="宋体" w:hAnsi="宋体" w:eastAsia="宋体" w:cs="宋体"/>
          <w:color w:val="auto"/>
          <w:kern w:val="0"/>
          <w:szCs w:val="21"/>
          <w:highlight w:val="none"/>
        </w:rPr>
        <w:t>磋商响应文件不应有涂改、增删之处，如必须修改时，修改处必须有供应商法定代表人或授权代表签字，同时加盖供应商公章。</w:t>
      </w:r>
    </w:p>
    <w:p w14:paraId="7D2011BC">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 xml:space="preserve">.3 </w:t>
      </w:r>
      <w:r>
        <w:rPr>
          <w:rFonts w:hint="eastAsia" w:ascii="宋体" w:hAnsi="宋体" w:eastAsia="宋体" w:cs="宋体"/>
          <w:b/>
          <w:color w:val="auto"/>
          <w:szCs w:val="21"/>
          <w:highlight w:val="none"/>
          <w:lang w:val="zh-CN"/>
        </w:rPr>
        <w:t>供应商应当在竞争性磋商文件要求递交磋商响应文件的截止时间前，将磋商响应文件密封送达指定地点。</w:t>
      </w:r>
    </w:p>
    <w:p w14:paraId="5F7D700D">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 xml:space="preserve">.4 </w:t>
      </w:r>
      <w:r>
        <w:rPr>
          <w:rFonts w:hint="eastAsia" w:ascii="宋体" w:hAnsi="宋体" w:eastAsia="宋体" w:cs="宋体"/>
          <w:b/>
          <w:bCs/>
          <w:color w:val="auto"/>
          <w:szCs w:val="21"/>
          <w:highlight w:val="none"/>
          <w:lang w:val="zh-CN"/>
        </w:rPr>
        <w:t>有下列情形之一的响应文件将拒收：</w:t>
      </w:r>
    </w:p>
    <w:p w14:paraId="61489DD9">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（1）未按竞争性磋商文件要求密封的；</w:t>
      </w:r>
    </w:p>
    <w:p w14:paraId="45D303B0">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（2）在竞争性磋商文件要求的递交响应文件截止时间之后送达的。</w:t>
      </w:r>
    </w:p>
    <w:p w14:paraId="361A4AC8">
      <w:pPr>
        <w:autoSpaceDE w:val="0"/>
        <w:autoSpaceDN w:val="0"/>
        <w:adjustRightInd w:val="0"/>
        <w:snapToGrid w:val="0"/>
        <w:spacing w:line="440" w:lineRule="exact"/>
        <w:ind w:firstLine="420"/>
        <w:rPr>
          <w:rFonts w:hint="eastAsia" w:ascii="宋体" w:hAnsi="宋体" w:eastAsia="宋体" w:cs="宋体"/>
          <w:b/>
          <w:bCs/>
          <w:color w:val="auto"/>
          <w:kern w:val="0"/>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zh-CN"/>
        </w:rPr>
        <w:t>、</w:t>
      </w:r>
      <w:r>
        <w:rPr>
          <w:rFonts w:hint="eastAsia" w:ascii="宋体" w:hAnsi="宋体" w:eastAsia="宋体" w:cs="宋体"/>
          <w:b/>
          <w:bCs/>
          <w:color w:val="auto"/>
          <w:kern w:val="0"/>
          <w:szCs w:val="21"/>
          <w:highlight w:val="none"/>
        </w:rPr>
        <w:t>联合体</w:t>
      </w:r>
    </w:p>
    <w:p w14:paraId="58789E68">
      <w:pPr>
        <w:widowControl/>
        <w:shd w:val="clear" w:color="auto" w:fill="FFFFFF"/>
        <w:spacing w:line="44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7.1 两个以上的自然人、法人或者其他组织可以组成一个联合体，以一个供应商的身份共同参加政府采购。</w:t>
      </w:r>
    </w:p>
    <w:p w14:paraId="12CD9EA3">
      <w:pPr>
        <w:widowControl/>
        <w:shd w:val="clear" w:color="auto" w:fill="FFFFFF"/>
        <w:spacing w:line="44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7.2 联合体中有同类资质的供应商按照联合体分工承担相同工作的，按照资质等级较低的供应商确定资质等级。</w:t>
      </w:r>
    </w:p>
    <w:p w14:paraId="0323D317">
      <w:pPr>
        <w:widowControl/>
        <w:shd w:val="clear" w:color="auto" w:fill="FFFFFF"/>
        <w:spacing w:line="440" w:lineRule="exact"/>
        <w:ind w:firstLine="42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7.3 联合体各方之间应当签订联合体协议，明确约定联合体各方承担的工作和相应的责任，并将联合体协议连同响应文件一同提交。</w:t>
      </w:r>
    </w:p>
    <w:p w14:paraId="4FD4BAB2">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bCs/>
          <w:color w:val="auto"/>
          <w:kern w:val="0"/>
          <w:szCs w:val="21"/>
          <w:highlight w:val="none"/>
        </w:rPr>
        <w:t>7.4 以联合体形式参加采购活动的，联合体各方不得再单独参加或者与其他供应商另外组成联合体参加同一合同项下的采购活动。</w:t>
      </w:r>
    </w:p>
    <w:p w14:paraId="324EF074">
      <w:pPr>
        <w:autoSpaceDE w:val="0"/>
        <w:autoSpaceDN w:val="0"/>
        <w:adjustRightInd w:val="0"/>
        <w:snapToGrid w:val="0"/>
        <w:spacing w:line="440" w:lineRule="exact"/>
        <w:ind w:firstLine="422" w:firstLineChars="200"/>
        <w:rPr>
          <w:rFonts w:hint="eastAsia" w:ascii="宋体" w:hAnsi="宋体" w:eastAsia="宋体" w:cs="宋体"/>
          <w:color w:val="auto"/>
          <w:szCs w:val="21"/>
          <w:highlight w:val="none"/>
          <w:lang w:val="zh-CN"/>
        </w:rPr>
      </w:pPr>
      <w:r>
        <w:rPr>
          <w:rFonts w:hint="eastAsia" w:ascii="宋体" w:hAnsi="宋体" w:eastAsia="宋体" w:cs="宋体"/>
          <w:b/>
          <w:bCs/>
          <w:color w:val="auto"/>
          <w:szCs w:val="21"/>
          <w:highlight w:val="none"/>
          <w:lang w:val="zh-CN"/>
        </w:rPr>
        <w:t>四、磋商</w:t>
      </w:r>
    </w:p>
    <w:p w14:paraId="4CABDD31">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rPr>
        <w:t>8</w:t>
      </w:r>
      <w:r>
        <w:rPr>
          <w:rFonts w:hint="eastAsia" w:ascii="宋体" w:hAnsi="宋体" w:eastAsia="宋体" w:cs="宋体"/>
          <w:b/>
          <w:bCs/>
          <w:color w:val="auto"/>
          <w:szCs w:val="21"/>
          <w:highlight w:val="none"/>
          <w:lang w:val="zh-CN"/>
        </w:rPr>
        <w:t>、磋商组织</w:t>
      </w:r>
    </w:p>
    <w:p w14:paraId="265DFACC">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zh-CN"/>
        </w:rPr>
        <w:t>.1 在递交磋商响应文件时间截止后，采购代理机构在规定的时间和地点组织磋商小组分别与供应商进行磋商。</w:t>
      </w:r>
    </w:p>
    <w:p w14:paraId="368075CD">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zh-CN"/>
        </w:rPr>
        <w:t>.2 磋商工作由采购代理机构负责组织，具体磋商事务由依法组建的磋商小组负责。</w:t>
      </w:r>
    </w:p>
    <w:p w14:paraId="68C4AB8B">
      <w:pPr>
        <w:autoSpaceDE w:val="0"/>
        <w:autoSpaceDN w:val="0"/>
        <w:adjustRightInd w:val="0"/>
        <w:snapToGri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rPr>
        <w:t>9</w:t>
      </w:r>
      <w:r>
        <w:rPr>
          <w:rFonts w:hint="eastAsia" w:ascii="宋体" w:hAnsi="宋体" w:eastAsia="宋体" w:cs="宋体"/>
          <w:b/>
          <w:color w:val="auto"/>
          <w:szCs w:val="21"/>
          <w:highlight w:val="none"/>
          <w:lang w:val="zh-CN"/>
        </w:rPr>
        <w:t>、磋商程序</w:t>
      </w:r>
    </w:p>
    <w:p w14:paraId="75FF2CA8">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.1 磋商小组审阅供应商所递交的响应文件，凡不具备资格条件的供应商不得进入磋商程序。</w:t>
      </w:r>
    </w:p>
    <w:p w14:paraId="534700A3">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.2 磋商小组所有成员集中与单一供应商分别就竞争性磋商采购项目的技术、商务和价格进行磋商。</w:t>
      </w:r>
    </w:p>
    <w:p w14:paraId="71D909C3">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.3 磋商过程中，磋商小组可以根据磋商文件和磋商情况可能实质性变动采购需求中的技术、服务要求以及合同草案条款，但不得变动磋商文件中的其他内容。实质性变动的内容，须经采购人代表确认。</w:t>
      </w:r>
    </w:p>
    <w:p w14:paraId="0C113369">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对磋商文件作出的实质性变动是磋商文件的有效组成部分，磋商小组应当及时以书面形式同时通知所有参加磋商的供应商。</w:t>
      </w:r>
    </w:p>
    <w:p w14:paraId="3C11B106">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.4 如磋商文件有实质性变动的，供应商应当按照磋商文件的变动情况和磋商小组的要求提交响应（或补充）文件，应由其法定代表人或授权代表签字或者加盖公章。</w:t>
      </w:r>
    </w:p>
    <w:p w14:paraId="68A7F653">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.5 磋商结束后，磋商小组将要求所有实质性响应的供应商在规定时间内提交最后报价。</w:t>
      </w:r>
    </w:p>
    <w:p w14:paraId="26AE2A7C">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 xml:space="preserve">6 </w:t>
      </w:r>
      <w:r>
        <w:rPr>
          <w:rFonts w:hint="eastAsia" w:ascii="宋体" w:hAnsi="宋体" w:eastAsia="宋体" w:cs="宋体"/>
          <w:bCs/>
          <w:color w:val="auto"/>
          <w:szCs w:val="21"/>
          <w:highlight w:val="none"/>
          <w:lang w:val="zh-CN"/>
        </w:rPr>
        <w:t>最后报价由</w:t>
      </w:r>
      <w:r>
        <w:rPr>
          <w:rFonts w:hint="eastAsia" w:ascii="宋体" w:hAnsi="宋体" w:eastAsia="宋体" w:cs="宋体"/>
          <w:color w:val="auto"/>
          <w:szCs w:val="21"/>
          <w:highlight w:val="none"/>
          <w:lang w:val="zh-CN"/>
        </w:rPr>
        <w:t>供应商</w:t>
      </w:r>
      <w:r>
        <w:rPr>
          <w:rFonts w:hint="eastAsia" w:ascii="宋体" w:hAnsi="宋体" w:eastAsia="宋体" w:cs="宋体"/>
          <w:bCs/>
          <w:color w:val="auto"/>
          <w:szCs w:val="21"/>
          <w:highlight w:val="none"/>
          <w:lang w:val="zh-CN"/>
        </w:rPr>
        <w:t>法定代表人或授权代表签字或者加盖公章，最后报价是供应商响应文件的有效组成部分。</w:t>
      </w:r>
    </w:p>
    <w:p w14:paraId="0791A1E4">
      <w:pPr>
        <w:snapToGrid w:val="0"/>
        <w:spacing w:line="440" w:lineRule="exact"/>
        <w:ind w:firstLine="422" w:firstLineChars="200"/>
        <w:rPr>
          <w:rFonts w:hint="eastAsia" w:ascii="宋体" w:hAnsi="宋体" w:eastAsia="宋体" w:cs="宋体"/>
          <w:b/>
          <w:color w:val="auto"/>
          <w:kern w:val="0"/>
          <w:szCs w:val="21"/>
          <w:highlight w:val="none"/>
        </w:rPr>
      </w:pPr>
      <w:r>
        <w:rPr>
          <w:rFonts w:hint="eastAsia" w:ascii="宋体" w:hAnsi="宋体" w:eastAsia="宋体" w:cs="宋体"/>
          <w:b/>
          <w:color w:val="auto"/>
          <w:szCs w:val="21"/>
          <w:highlight w:val="none"/>
        </w:rPr>
        <w:t>9</w:t>
      </w:r>
      <w:r>
        <w:rPr>
          <w:rFonts w:hint="eastAsia" w:ascii="宋体" w:hAnsi="宋体" w:eastAsia="宋体" w:cs="宋体"/>
          <w:b/>
          <w:color w:val="auto"/>
          <w:szCs w:val="21"/>
          <w:highlight w:val="none"/>
          <w:lang w:val="zh-CN"/>
        </w:rPr>
        <w:t>.</w:t>
      </w:r>
      <w:r>
        <w:rPr>
          <w:rFonts w:hint="eastAsia" w:ascii="宋体" w:hAnsi="宋体" w:eastAsia="宋体" w:cs="宋体"/>
          <w:b/>
          <w:color w:val="auto"/>
          <w:szCs w:val="21"/>
          <w:highlight w:val="none"/>
        </w:rPr>
        <w:t>7</w:t>
      </w:r>
      <w:r>
        <w:rPr>
          <w:rFonts w:hint="eastAsia" w:ascii="宋体" w:hAnsi="宋体" w:eastAsia="宋体" w:cs="宋体"/>
          <w:b/>
          <w:color w:val="auto"/>
          <w:szCs w:val="21"/>
          <w:highlight w:val="none"/>
          <w:lang w:val="zh-CN"/>
        </w:rPr>
        <w:t xml:space="preserve"> 出现下列情形之一的响应文件按照无效处理：</w:t>
      </w:r>
    </w:p>
    <w:p w14:paraId="1935D279">
      <w:pPr>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未按磋商文件规定的数额和办法缴纳磋商保证金的；</w:t>
      </w:r>
      <w:r>
        <w:rPr>
          <w:rFonts w:hint="eastAsia" w:ascii="宋体" w:hAnsi="宋体" w:eastAsia="宋体" w:cs="宋体"/>
          <w:color w:val="auto"/>
          <w:szCs w:val="21"/>
          <w:highlight w:val="none"/>
        </w:rPr>
        <w:t xml:space="preserve"> </w:t>
      </w:r>
    </w:p>
    <w:p w14:paraId="5E7A5B0A">
      <w:pPr>
        <w:snapToGrid w:val="0"/>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（2）未实质性响应采购文件要求的；</w:t>
      </w:r>
      <w:r>
        <w:rPr>
          <w:rFonts w:hint="eastAsia" w:ascii="宋体" w:hAnsi="宋体" w:eastAsia="宋体" w:cs="宋体"/>
          <w:b/>
          <w:color w:val="auto"/>
          <w:szCs w:val="21"/>
          <w:highlight w:val="none"/>
          <w:lang w:val="zh-CN"/>
        </w:rPr>
        <w:t>（</w:t>
      </w:r>
      <w:r>
        <w:rPr>
          <w:rFonts w:hint="eastAsia" w:ascii="宋体" w:hAnsi="宋体" w:eastAsia="宋体" w:cs="宋体"/>
          <w:b/>
          <w:bCs/>
          <w:color w:val="auto"/>
          <w:kern w:val="0"/>
          <w:szCs w:val="21"/>
          <w:highlight w:val="none"/>
        </w:rPr>
        <w:t>实质性要求是指本竞争性磋商文件中用带星号（“</w:t>
      </w:r>
      <w:r>
        <w:rPr>
          <w:rFonts w:hint="eastAsia" w:ascii="宋体" w:hAnsi="宋体" w:eastAsia="宋体" w:cs="宋体"/>
          <w:b/>
          <w:bCs/>
          <w:color w:val="auto"/>
          <w:highlight w:val="none"/>
        </w:rPr>
        <w:t>*</w:t>
      </w:r>
      <w:r>
        <w:rPr>
          <w:rFonts w:hint="eastAsia" w:ascii="宋体" w:hAnsi="宋体" w:eastAsia="宋体" w:cs="宋体"/>
          <w:b/>
          <w:bCs/>
          <w:color w:val="auto"/>
          <w:kern w:val="0"/>
          <w:szCs w:val="21"/>
          <w:highlight w:val="none"/>
        </w:rPr>
        <w:t>”）、“须（必须）”或“应（应当）”等其他文字说明的商务和技术要求。</w:t>
      </w:r>
      <w:r>
        <w:rPr>
          <w:rFonts w:hint="eastAsia" w:ascii="宋体" w:hAnsi="宋体" w:eastAsia="宋体" w:cs="宋体"/>
          <w:b/>
          <w:color w:val="auto"/>
          <w:szCs w:val="21"/>
          <w:highlight w:val="none"/>
          <w:lang w:val="zh-CN"/>
        </w:rPr>
        <w:t>）</w:t>
      </w:r>
    </w:p>
    <w:p w14:paraId="1EEB034C">
      <w:pPr>
        <w:autoSpaceDE w:val="0"/>
        <w:autoSpaceDN w:val="0"/>
        <w:adjustRightInd w:val="0"/>
        <w:snapToGrid w:val="0"/>
        <w:spacing w:line="44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不符合法律、法规和磋商文件规定的其他实质性要求的。</w:t>
      </w:r>
    </w:p>
    <w:p w14:paraId="2A75C7D3">
      <w:pPr>
        <w:autoSpaceDE w:val="0"/>
        <w:autoSpaceDN w:val="0"/>
        <w:adjustRightInd w:val="0"/>
        <w:snapToGrid w:val="0"/>
        <w:spacing w:line="44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.8出现影响采购公正的违法、违规行为的的磋商终止；</w:t>
      </w:r>
    </w:p>
    <w:p w14:paraId="23D7A1FC">
      <w:pPr>
        <w:autoSpaceDE w:val="0"/>
        <w:autoSpaceDN w:val="0"/>
        <w:adjustRightInd w:val="0"/>
        <w:snapToGrid w:val="0"/>
        <w:spacing w:line="44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9</w:t>
      </w:r>
      <w:r>
        <w:rPr>
          <w:rFonts w:hint="eastAsia" w:ascii="宋体" w:hAnsi="宋体" w:eastAsia="宋体" w:cs="宋体"/>
          <w:color w:val="auto"/>
          <w:szCs w:val="21"/>
          <w:highlight w:val="none"/>
          <w:lang w:val="zh-CN"/>
        </w:rPr>
        <w:t>磋商有效期为90天，从提交磋商响应文件的截止之日起算。磋商响应文件中承诺的磋商有效期应当不少于竞争性磋商文件中载明的磋商有效期。</w:t>
      </w:r>
    </w:p>
    <w:p w14:paraId="253A2EC7">
      <w:pPr>
        <w:autoSpaceDE w:val="0"/>
        <w:autoSpaceDN w:val="0"/>
        <w:adjustRightInd w:val="0"/>
        <w:spacing w:line="440" w:lineRule="exact"/>
        <w:ind w:firstLine="422" w:firstLineChars="20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rPr>
        <w:t>0</w:t>
      </w:r>
      <w:r>
        <w:rPr>
          <w:rFonts w:hint="eastAsia" w:ascii="宋体" w:hAnsi="宋体" w:eastAsia="宋体" w:cs="宋体"/>
          <w:b/>
          <w:color w:val="auto"/>
          <w:szCs w:val="21"/>
          <w:highlight w:val="none"/>
          <w:lang w:val="zh-CN"/>
        </w:rPr>
        <w:t>、</w:t>
      </w:r>
      <w:r>
        <w:rPr>
          <w:rFonts w:hint="eastAsia" w:ascii="宋体" w:hAnsi="宋体" w:eastAsia="宋体" w:cs="宋体"/>
          <w:b/>
          <w:bCs/>
          <w:color w:val="auto"/>
          <w:kern w:val="0"/>
          <w:szCs w:val="21"/>
          <w:highlight w:val="none"/>
          <w:lang w:val="zh-CN"/>
        </w:rPr>
        <w:t>评分方法和标准</w:t>
      </w:r>
    </w:p>
    <w:p w14:paraId="02229CCA">
      <w:pPr>
        <w:widowControl/>
        <w:adjustRightInd w:val="0"/>
        <w:snapToGrid w:val="0"/>
        <w:spacing w:line="440" w:lineRule="exact"/>
        <w:ind w:firstLine="420" w:firstLineChars="200"/>
        <w:rPr>
          <w:rFonts w:hint="eastAsia" w:ascii="宋体" w:hAnsi="宋体" w:eastAsia="宋体" w:cs="宋体"/>
          <w:bCs/>
          <w:color w:val="auto"/>
          <w:kern w:val="0"/>
          <w:szCs w:val="21"/>
          <w:highlight w:val="none"/>
          <w:lang w:val="zh-CN"/>
        </w:rPr>
      </w:pPr>
      <w:r>
        <w:rPr>
          <w:rFonts w:hint="eastAsia" w:ascii="宋体" w:hAnsi="宋体" w:eastAsia="宋体" w:cs="宋体"/>
          <w:bCs/>
          <w:color w:val="auto"/>
          <w:kern w:val="0"/>
          <w:szCs w:val="21"/>
          <w:highlight w:val="none"/>
          <w:lang w:val="zh-CN"/>
        </w:rPr>
        <w:t>1</w:t>
      </w:r>
      <w:r>
        <w:rPr>
          <w:rFonts w:hint="eastAsia" w:ascii="宋体" w:hAnsi="宋体" w:eastAsia="宋体" w:cs="宋体"/>
          <w:bCs/>
          <w:color w:val="auto"/>
          <w:kern w:val="0"/>
          <w:szCs w:val="21"/>
          <w:highlight w:val="none"/>
        </w:rPr>
        <w:t>0</w:t>
      </w:r>
      <w:r>
        <w:rPr>
          <w:rFonts w:hint="eastAsia" w:ascii="宋体" w:hAnsi="宋体" w:eastAsia="宋体" w:cs="宋体"/>
          <w:bCs/>
          <w:color w:val="auto"/>
          <w:kern w:val="0"/>
          <w:szCs w:val="21"/>
          <w:highlight w:val="none"/>
          <w:lang w:val="zh-CN"/>
        </w:rPr>
        <w:t xml:space="preserve">.1 </w:t>
      </w:r>
      <w:r>
        <w:rPr>
          <w:rFonts w:hint="eastAsia" w:ascii="宋体" w:hAnsi="宋体" w:eastAsia="宋体" w:cs="宋体"/>
          <w:color w:val="auto"/>
          <w:kern w:val="0"/>
          <w:szCs w:val="21"/>
          <w:highlight w:val="none"/>
          <w:lang w:val="zh-CN"/>
        </w:rPr>
        <w:t>采用综合评分法。即</w:t>
      </w:r>
      <w:r>
        <w:rPr>
          <w:rFonts w:hint="eastAsia" w:ascii="宋体" w:hAnsi="宋体" w:eastAsia="宋体" w:cs="宋体"/>
          <w:color w:val="auto"/>
          <w:kern w:val="0"/>
          <w:szCs w:val="21"/>
          <w:highlight w:val="none"/>
        </w:rPr>
        <w:t>在最大限度地满足磋商文件实质性要求前提下，按照磋商文件中规定的各项因素进行综合评审后，以评审总得分最高的供应商作为成交候选供应商或者成交供应商的评分方法。</w:t>
      </w:r>
    </w:p>
    <w:p w14:paraId="6CB1239A">
      <w:pPr>
        <w:spacing w:line="440" w:lineRule="exact"/>
        <w:rPr>
          <w:rFonts w:hint="eastAsia" w:ascii="宋体" w:hAnsi="宋体" w:eastAsia="宋体" w:cs="宋体"/>
          <w:color w:val="auto"/>
          <w:highlight w:val="none"/>
        </w:rPr>
      </w:pPr>
      <w:r>
        <w:rPr>
          <w:rFonts w:hint="eastAsia" w:ascii="宋体" w:hAnsi="宋体" w:eastAsia="宋体" w:cs="宋体"/>
          <w:b/>
          <w:bCs/>
          <w:color w:val="auto"/>
          <w:kern w:val="0"/>
          <w:szCs w:val="21"/>
          <w:highlight w:val="none"/>
        </w:rPr>
        <w:t xml:space="preserve">   </w:t>
      </w:r>
      <w:r>
        <w:rPr>
          <w:rFonts w:hint="eastAsia" w:ascii="宋体" w:hAnsi="宋体" w:eastAsia="宋体" w:cs="宋体"/>
          <w:bCs/>
          <w:color w:val="auto"/>
          <w:kern w:val="0"/>
          <w:szCs w:val="21"/>
          <w:highlight w:val="none"/>
        </w:rPr>
        <w:t xml:space="preserve"> </w:t>
      </w:r>
      <w:r>
        <w:rPr>
          <w:rFonts w:hint="eastAsia" w:ascii="宋体" w:hAnsi="宋体" w:eastAsia="宋体" w:cs="宋体"/>
          <w:bCs/>
          <w:color w:val="auto"/>
          <w:kern w:val="0"/>
          <w:szCs w:val="21"/>
          <w:highlight w:val="none"/>
          <w:lang w:val="zh-CN"/>
        </w:rPr>
        <w:t>1</w:t>
      </w:r>
      <w:r>
        <w:rPr>
          <w:rFonts w:hint="eastAsia" w:ascii="宋体" w:hAnsi="宋体" w:eastAsia="宋体" w:cs="宋体"/>
          <w:bCs/>
          <w:color w:val="auto"/>
          <w:kern w:val="0"/>
          <w:szCs w:val="21"/>
          <w:highlight w:val="none"/>
        </w:rPr>
        <w:t>0</w:t>
      </w:r>
      <w:r>
        <w:rPr>
          <w:rFonts w:hint="eastAsia" w:ascii="宋体" w:hAnsi="宋体" w:eastAsia="宋体" w:cs="宋体"/>
          <w:bCs/>
          <w:color w:val="auto"/>
          <w:kern w:val="0"/>
          <w:szCs w:val="21"/>
          <w:highlight w:val="none"/>
          <w:lang w:val="zh-CN"/>
        </w:rPr>
        <w:t xml:space="preserve">.2 </w:t>
      </w:r>
      <w:r>
        <w:rPr>
          <w:rFonts w:hint="eastAsia" w:ascii="宋体" w:hAnsi="宋体" w:eastAsia="宋体" w:cs="宋体"/>
          <w:color w:val="auto"/>
          <w:kern w:val="0"/>
          <w:szCs w:val="21"/>
          <w:highlight w:val="none"/>
        </w:rPr>
        <w:t>综合评分的</w:t>
      </w:r>
      <w:r>
        <w:rPr>
          <w:rFonts w:hint="eastAsia" w:ascii="宋体" w:hAnsi="宋体" w:eastAsia="宋体" w:cs="宋体"/>
          <w:color w:val="auto"/>
          <w:kern w:val="0"/>
          <w:szCs w:val="21"/>
          <w:highlight w:val="none"/>
          <w:lang w:val="zh-CN"/>
        </w:rPr>
        <w:t>主要因素是：</w:t>
      </w:r>
      <w:r>
        <w:rPr>
          <w:rFonts w:hint="eastAsia" w:ascii="宋体" w:hAnsi="宋体" w:eastAsia="宋体" w:cs="宋体"/>
          <w:color w:val="auto"/>
          <w:kern w:val="0"/>
          <w:szCs w:val="21"/>
          <w:highlight w:val="none"/>
        </w:rPr>
        <w:t>价格、服务、业绩、投标响应性等。</w:t>
      </w:r>
    </w:p>
    <w:p w14:paraId="735E3F13">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10.3 评分标准详见第三章。</w:t>
      </w:r>
    </w:p>
    <w:p w14:paraId="26AD5E47">
      <w:pPr>
        <w:widowControl/>
        <w:shd w:val="clear" w:color="auto" w:fill="FFFFFF"/>
        <w:spacing w:line="440" w:lineRule="exact"/>
        <w:ind w:firstLine="420"/>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11、确定成交供应商</w:t>
      </w:r>
    </w:p>
    <w:p w14:paraId="39111EB3">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11.1综合比较与评价后按照得分高低顺序对供应商进行排列。评审得分相同的，按照最后报价由低到高顺序排列。评审得分且最后报价相同的，按技术指标优劣顺序排列。磋商小组会将综合排名第一的供应商确定为成交供应商。</w:t>
      </w:r>
    </w:p>
    <w:p w14:paraId="05EF6E3E">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 xml:space="preserve">.2 </w:t>
      </w:r>
      <w:r>
        <w:rPr>
          <w:rFonts w:hint="eastAsia" w:ascii="宋体" w:hAnsi="宋体" w:eastAsia="宋体" w:cs="宋体"/>
          <w:color w:val="auto"/>
          <w:kern w:val="0"/>
          <w:szCs w:val="21"/>
          <w:highlight w:val="none"/>
        </w:rPr>
        <w:t>成交供应商确定后，采购人或者采购代理机构将在指定的采购信息发布媒体上公告成交结果，同时向成交供应商发出成交通知书。</w:t>
      </w:r>
    </w:p>
    <w:p w14:paraId="5AAAABA1">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.3 成交通知书对采购人和成交供应商具有同等法律效力。</w:t>
      </w:r>
    </w:p>
    <w:p w14:paraId="0C9A85C7">
      <w:pPr>
        <w:autoSpaceDE w:val="0"/>
        <w:autoSpaceDN w:val="0"/>
        <w:adjustRightInd w:val="0"/>
        <w:snapToGrid w:val="0"/>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 xml:space="preserve"> </w:t>
      </w:r>
      <w:r>
        <w:rPr>
          <w:rFonts w:hint="eastAsia" w:ascii="宋体" w:hAnsi="宋体" w:eastAsia="宋体" w:cs="宋体"/>
          <w:color w:val="auto"/>
          <w:szCs w:val="21"/>
          <w:highlight w:val="none"/>
        </w:rPr>
        <w:t>成交通知书发出后，采购人或成交供应商拒绝签订合同的，拒绝签订合同的一方应至少向另一方支付与磋商保证金相等的补偿金，以及为磋商所发生的有关费用和双方商定的其他补偿，并承担相应的法律责任。</w:t>
      </w:r>
    </w:p>
    <w:p w14:paraId="52049A94">
      <w:pPr>
        <w:autoSpaceDE w:val="0"/>
        <w:autoSpaceDN w:val="0"/>
        <w:adjustRightInd w:val="0"/>
        <w:snapToGrid w:val="0"/>
        <w:spacing w:line="440" w:lineRule="exact"/>
        <w:ind w:firstLine="42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11.5 成交通知书发出后，成交供应商除发生法律规定的不能预见、不能避免并不能克服的客观情况外不得放弃或拒绝签订合同的。放弃或拒绝签订合同的，磋商保证金不予退还，情节严重的提请采购人将其列入不良行为名单，在一至三年内不得参加采购人组织的采购活动，并予以通报。</w:t>
      </w:r>
    </w:p>
    <w:p w14:paraId="1959EBD2">
      <w:pPr>
        <w:tabs>
          <w:tab w:val="left" w:pos="1260"/>
        </w:tabs>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 采购代理机构对未成交的供应商不作未成交原因的解释。</w:t>
      </w:r>
    </w:p>
    <w:p w14:paraId="7E4A9027">
      <w:pPr>
        <w:autoSpaceDE w:val="0"/>
        <w:autoSpaceDN w:val="0"/>
        <w:adjustRightInd w:val="0"/>
        <w:snapToGrid w:val="0"/>
        <w:spacing w:line="440" w:lineRule="exact"/>
        <w:ind w:firstLine="42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11.7 所有响应文件不论成交与否，采购代理机构均不退回。</w:t>
      </w:r>
    </w:p>
    <w:p w14:paraId="2A4E8B3D">
      <w:pPr>
        <w:autoSpaceDE w:val="0"/>
        <w:autoSpaceDN w:val="0"/>
        <w:adjustRightInd w:val="0"/>
        <w:snapToGrid w:val="0"/>
        <w:spacing w:line="440" w:lineRule="exact"/>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rPr>
        <w:t>2</w:t>
      </w:r>
      <w:r>
        <w:rPr>
          <w:rFonts w:hint="eastAsia" w:ascii="宋体" w:hAnsi="宋体" w:eastAsia="宋体" w:cs="宋体"/>
          <w:b/>
          <w:bCs/>
          <w:color w:val="auto"/>
          <w:szCs w:val="21"/>
          <w:highlight w:val="none"/>
          <w:lang w:val="zh-CN"/>
        </w:rPr>
        <w:t>、</w:t>
      </w:r>
      <w:r>
        <w:rPr>
          <w:rFonts w:hint="eastAsia" w:ascii="宋体" w:hAnsi="宋体" w:eastAsia="宋体" w:cs="宋体"/>
          <w:b/>
          <w:color w:val="auto"/>
          <w:szCs w:val="21"/>
          <w:highlight w:val="none"/>
        </w:rPr>
        <w:t>编写磋商（评审）报告</w:t>
      </w:r>
    </w:p>
    <w:p w14:paraId="4283A91F">
      <w:pPr>
        <w:autoSpaceDE w:val="0"/>
        <w:autoSpaceDN w:val="0"/>
        <w:adjustRightInd w:val="0"/>
        <w:snapToGrid w:val="0"/>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磋商小组根据磋商过程和结果编写磋商（评审）报告。</w:t>
      </w:r>
    </w:p>
    <w:p w14:paraId="6E6B4E39">
      <w:pPr>
        <w:autoSpaceDE w:val="0"/>
        <w:autoSpaceDN w:val="0"/>
        <w:adjustRightInd w:val="0"/>
        <w:snapToGri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rPr>
        <w:t>3</w:t>
      </w:r>
      <w:r>
        <w:rPr>
          <w:rFonts w:hint="eastAsia" w:ascii="宋体" w:hAnsi="宋体" w:eastAsia="宋体" w:cs="宋体"/>
          <w:b/>
          <w:color w:val="auto"/>
          <w:szCs w:val="21"/>
          <w:highlight w:val="none"/>
          <w:lang w:val="zh-CN"/>
        </w:rPr>
        <w:t>、</w:t>
      </w:r>
      <w:r>
        <w:rPr>
          <w:rFonts w:hint="eastAsia" w:ascii="宋体" w:hAnsi="宋体" w:eastAsia="宋体" w:cs="宋体"/>
          <w:b/>
          <w:bCs/>
          <w:color w:val="auto"/>
          <w:szCs w:val="21"/>
          <w:highlight w:val="none"/>
          <w:lang w:val="zh-CN"/>
        </w:rPr>
        <w:t>签订合同</w:t>
      </w:r>
    </w:p>
    <w:p w14:paraId="33D16624">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1 成交供应商应当</w:t>
      </w:r>
      <w:r>
        <w:rPr>
          <w:rFonts w:hint="eastAsia" w:ascii="宋体" w:hAnsi="宋体" w:eastAsia="宋体" w:cs="宋体"/>
          <w:color w:val="auto"/>
          <w:szCs w:val="21"/>
          <w:highlight w:val="none"/>
          <w:lang w:val="zh-CN"/>
        </w:rPr>
        <w:t>自成交通知书发出之日起三十日内，</w:t>
      </w:r>
      <w:r>
        <w:rPr>
          <w:rFonts w:hint="eastAsia" w:ascii="宋体" w:hAnsi="宋体" w:eastAsia="宋体" w:cs="宋体"/>
          <w:color w:val="auto"/>
          <w:szCs w:val="21"/>
          <w:highlight w:val="none"/>
        </w:rPr>
        <w:t>与采购人签订合同，所签订的合同不得对竞争性磋商文件和响应文件作实质性修改。</w:t>
      </w:r>
    </w:p>
    <w:p w14:paraId="192AA946">
      <w:pPr>
        <w:autoSpaceDE w:val="0"/>
        <w:autoSpaceDN w:val="0"/>
        <w:adjustRightInd w:val="0"/>
        <w:snapToGrid w:val="0"/>
        <w:spacing w:line="440" w:lineRule="exact"/>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zh-CN"/>
        </w:rPr>
        <w:t xml:space="preserve">.2 </w:t>
      </w:r>
      <w:r>
        <w:rPr>
          <w:rFonts w:hint="eastAsia" w:ascii="宋体" w:hAnsi="宋体" w:eastAsia="宋体" w:cs="宋体"/>
          <w:color w:val="auto"/>
          <w:szCs w:val="21"/>
          <w:highlight w:val="none"/>
        </w:rPr>
        <w:t>采购人不得向成交供应商提出任何不合理的要求作为签订合同的条件，不得与成交供应商私下订立背离合同实质性内容的协议。</w:t>
      </w:r>
    </w:p>
    <w:p w14:paraId="61A305F3">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 xml:space="preserve">13.3 </w:t>
      </w:r>
      <w:r>
        <w:rPr>
          <w:rFonts w:hint="eastAsia" w:ascii="宋体" w:hAnsi="宋体" w:eastAsia="宋体" w:cs="宋体"/>
          <w:color w:val="auto"/>
          <w:szCs w:val="21"/>
          <w:highlight w:val="none"/>
          <w:lang w:val="zh-CN"/>
        </w:rPr>
        <w:t>成交供应商因不可抗力或者自身原因不能履行合同的，采购人可以视情与排位在成交供应商之后第一位的成交候选供应商签订合同，以此类推。</w:t>
      </w:r>
    </w:p>
    <w:p w14:paraId="096D2D94">
      <w:pPr>
        <w:autoSpaceDE w:val="0"/>
        <w:autoSpaceDN w:val="0"/>
        <w:adjustRightInd w:val="0"/>
        <w:snapToGri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zh-CN"/>
        </w:rPr>
        <w:t>.4 合同履行中，采购人需追加与合同标的相同的货物的，在不改变合同其他条款的前提下，可以与供应商协商签订补充合同，但所有补充合同的采购金额不得超过原合同采购金额的百分之十。</w:t>
      </w:r>
    </w:p>
    <w:p w14:paraId="50CBAE4A">
      <w:pPr>
        <w:autoSpaceDE w:val="0"/>
        <w:autoSpaceDN w:val="0"/>
        <w:adjustRightInd w:val="0"/>
        <w:snapToGri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五、质疑与投诉</w:t>
      </w:r>
    </w:p>
    <w:p w14:paraId="259C567E">
      <w:pPr>
        <w:autoSpaceDE w:val="0"/>
        <w:autoSpaceDN w:val="0"/>
        <w:adjustRightInd w:val="0"/>
        <w:snapToGrid w:val="0"/>
        <w:spacing w:line="440" w:lineRule="exact"/>
        <w:ind w:firstLine="420"/>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rPr>
        <w:t>4</w:t>
      </w:r>
      <w:r>
        <w:rPr>
          <w:rFonts w:hint="eastAsia" w:ascii="宋体" w:hAnsi="宋体" w:eastAsia="宋体" w:cs="宋体"/>
          <w:b/>
          <w:color w:val="auto"/>
          <w:szCs w:val="21"/>
          <w:highlight w:val="none"/>
          <w:lang w:val="zh-CN"/>
        </w:rPr>
        <w:t>、质疑</w:t>
      </w:r>
    </w:p>
    <w:p w14:paraId="49146A38">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.1 供应商认为磋商文件、磋商过程和成交、成交结果使自己的权益受到损害的，可以在知道或者应知其权益受到损害之日起七个工作日内，以书面形式向采购代理机构提出质疑。</w:t>
      </w:r>
    </w:p>
    <w:p w14:paraId="7E029072">
      <w:pPr>
        <w:autoSpaceDE w:val="0"/>
        <w:autoSpaceDN w:val="0"/>
        <w:adjustRightInd w:val="0"/>
        <w:snapToGrid w:val="0"/>
        <w:spacing w:line="440" w:lineRule="exact"/>
        <w:ind w:firstLine="424" w:firstLineChars="202"/>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.2 供应商应知其权益受到损害之日，是指：对可以质疑的采购文件提出质疑的，为收到采购文件之日或者采购文件公告期限届满之日；对采购过程提出质疑的，为各采购程序环节结束之日；对中标或者成交结果提出质疑的，为中标或者成交结果公告期限届满之日。</w:t>
      </w:r>
    </w:p>
    <w:p w14:paraId="54584B50">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 xml:space="preserve">14.3 </w:t>
      </w:r>
      <w:r>
        <w:rPr>
          <w:rFonts w:hint="eastAsia" w:ascii="宋体" w:hAnsi="宋体" w:eastAsia="宋体" w:cs="宋体"/>
          <w:color w:val="auto"/>
          <w:szCs w:val="21"/>
          <w:highlight w:val="none"/>
          <w:lang w:val="zh-CN"/>
        </w:rPr>
        <w:t>提出质疑的供应商应当是参与所质疑项目采购活动的供应商。潜在供应商已依法获取其可质疑的采购文件的，可以对该文件提出质疑。</w:t>
      </w:r>
    </w:p>
    <w:p w14:paraId="3FE591BC">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.4 供应商可以委托代理人进行质疑。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0422F43C">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.5 以联合体形式参加采购活动的，其投诉应当由组成联合体的所有供应商共同提出。</w:t>
      </w:r>
    </w:p>
    <w:p w14:paraId="70CDF6C5">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 xml:space="preserve">14.6 </w:t>
      </w:r>
      <w:r>
        <w:rPr>
          <w:rFonts w:hint="eastAsia" w:ascii="宋体" w:hAnsi="宋体" w:eastAsia="宋体" w:cs="宋体"/>
          <w:color w:val="auto"/>
          <w:szCs w:val="21"/>
          <w:highlight w:val="none"/>
          <w:lang w:val="zh-CN"/>
        </w:rPr>
        <w:t>供应商质疑应当有明确的请求和必要的证明材料。供应商必须在法定质疑期内一次性提出针对同一采购程序环节的质疑。</w:t>
      </w:r>
    </w:p>
    <w:p w14:paraId="4D6AC1FE">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.7 质疑函的主要内容须</w:t>
      </w:r>
      <w:r>
        <w:rPr>
          <w:rFonts w:hint="eastAsia" w:ascii="宋体" w:hAnsi="宋体" w:eastAsia="宋体" w:cs="宋体"/>
          <w:color w:val="auto"/>
          <w:szCs w:val="21"/>
          <w:highlight w:val="none"/>
        </w:rPr>
        <w:t>参</w:t>
      </w:r>
      <w:r>
        <w:rPr>
          <w:rFonts w:hint="eastAsia" w:ascii="宋体" w:hAnsi="宋体" w:eastAsia="宋体" w:cs="宋体"/>
          <w:color w:val="auto"/>
          <w:szCs w:val="21"/>
          <w:highlight w:val="none"/>
          <w:lang w:val="zh-CN"/>
        </w:rPr>
        <w:t>照财政部制定的质疑函范本（财政部指定中国政府采购网发布）填写；供应商为自然人的，应当由本人签字；供应商为法人或者其他组织的，应当由法定代表人、主要负责人，或者其授权代表签字或者盖章，并加盖公章。</w:t>
      </w:r>
    </w:p>
    <w:p w14:paraId="2F9B606D">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.8 质疑函应当使用中文。相关当事人提供外文书证或者外国语视听资料的，应当附有中文译本，由翻译机构盖章或者翻译人员签名。</w:t>
      </w:r>
    </w:p>
    <w:p w14:paraId="6A72F941">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zh-CN"/>
        </w:rPr>
        <w:t>.9 质疑函应当现场书面提交至采购代理机构联系人（详见竞争性磋商公告）处，提交时应出示有效身份证明。</w:t>
      </w:r>
    </w:p>
    <w:p w14:paraId="7CB66F72">
      <w:pPr>
        <w:autoSpaceDE w:val="0"/>
        <w:autoSpaceDN w:val="0"/>
        <w:adjustRightInd w:val="0"/>
        <w:snapToGrid w:val="0"/>
        <w:spacing w:line="440" w:lineRule="exact"/>
        <w:ind w:firstLine="426" w:firstLineChars="202"/>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1</w:t>
      </w:r>
      <w:r>
        <w:rPr>
          <w:rFonts w:hint="eastAsia" w:ascii="宋体" w:hAnsi="宋体" w:eastAsia="宋体" w:cs="宋体"/>
          <w:b/>
          <w:color w:val="auto"/>
          <w:szCs w:val="21"/>
          <w:highlight w:val="none"/>
        </w:rPr>
        <w:t>5</w:t>
      </w:r>
      <w:r>
        <w:rPr>
          <w:rFonts w:hint="eastAsia" w:ascii="宋体" w:hAnsi="宋体" w:eastAsia="宋体" w:cs="宋体"/>
          <w:b/>
          <w:color w:val="auto"/>
          <w:szCs w:val="21"/>
          <w:highlight w:val="none"/>
          <w:lang w:val="zh-CN"/>
        </w:rPr>
        <w:t>、投诉</w:t>
      </w:r>
    </w:p>
    <w:p w14:paraId="19D86791">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zh-CN"/>
        </w:rPr>
        <w:t>.1 供应商对采购代理机构的答复不满意或者采购代理机构未在规定的时间内作出答复的，可以在答复期满后十五个工作日内向采购</w:t>
      </w:r>
      <w:r>
        <w:rPr>
          <w:rFonts w:hint="eastAsia" w:ascii="宋体" w:hAnsi="宋体" w:eastAsia="宋体" w:cs="宋体"/>
          <w:color w:val="auto"/>
          <w:szCs w:val="21"/>
          <w:highlight w:val="none"/>
        </w:rPr>
        <w:t>人采购</w:t>
      </w:r>
      <w:r>
        <w:rPr>
          <w:rFonts w:hint="eastAsia" w:ascii="宋体" w:hAnsi="宋体" w:eastAsia="宋体" w:cs="宋体"/>
          <w:color w:val="auto"/>
          <w:szCs w:val="21"/>
          <w:highlight w:val="none"/>
          <w:lang w:val="zh-CN"/>
        </w:rPr>
        <w:t>监督管理部门投诉。</w:t>
      </w:r>
    </w:p>
    <w:p w14:paraId="391E53D9">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15</w:t>
      </w:r>
      <w:r>
        <w:rPr>
          <w:rFonts w:hint="eastAsia" w:ascii="宋体" w:hAnsi="宋体" w:eastAsia="宋体" w:cs="宋体"/>
          <w:color w:val="auto"/>
          <w:szCs w:val="21"/>
          <w:highlight w:val="none"/>
          <w:lang w:val="zh-CN"/>
        </w:rPr>
        <w:t>.2 供应商投诉应当有明确的请求和必要的证明材料。供应商投诉的事项不得超出已质疑事项的范围。</w:t>
      </w:r>
    </w:p>
    <w:p w14:paraId="6647F243">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zh-CN"/>
        </w:rPr>
        <w:t>.3 投诉人对采购</w:t>
      </w:r>
      <w:r>
        <w:rPr>
          <w:rFonts w:hint="eastAsia" w:ascii="宋体" w:hAnsi="宋体" w:eastAsia="宋体" w:cs="宋体"/>
          <w:color w:val="auto"/>
          <w:szCs w:val="21"/>
          <w:highlight w:val="none"/>
        </w:rPr>
        <w:t>人采购</w:t>
      </w:r>
      <w:r>
        <w:rPr>
          <w:rFonts w:hint="eastAsia" w:ascii="宋体" w:hAnsi="宋体" w:eastAsia="宋体" w:cs="宋体"/>
          <w:color w:val="auto"/>
          <w:szCs w:val="21"/>
          <w:highlight w:val="none"/>
          <w:lang w:val="zh-CN"/>
        </w:rPr>
        <w:t>监督管理部门的投诉处理决定不服或者</w:t>
      </w:r>
      <w:r>
        <w:rPr>
          <w:rFonts w:hint="eastAsia" w:ascii="宋体" w:hAnsi="宋体" w:eastAsia="宋体" w:cs="宋体"/>
          <w:color w:val="auto"/>
          <w:szCs w:val="21"/>
          <w:highlight w:val="none"/>
        </w:rPr>
        <w:t>采购</w:t>
      </w:r>
      <w:r>
        <w:rPr>
          <w:rFonts w:hint="eastAsia" w:ascii="宋体" w:hAnsi="宋体" w:eastAsia="宋体" w:cs="宋体"/>
          <w:color w:val="auto"/>
          <w:szCs w:val="21"/>
          <w:highlight w:val="none"/>
          <w:lang w:val="zh-CN"/>
        </w:rPr>
        <w:t>监督管理部门逾期未作处理的，可以依法申请行政复议或者向人民法院提起行政诉讼。</w:t>
      </w:r>
    </w:p>
    <w:p w14:paraId="138CE491">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zh-CN"/>
        </w:rPr>
        <w:t>.4 投诉人在全国范围12个月内三次以上投诉查无实据的，由</w:t>
      </w: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val="zh-CN"/>
        </w:rPr>
        <w:t>列入不良行为记录名单。</w:t>
      </w:r>
    </w:p>
    <w:p w14:paraId="135657A8">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zh-CN"/>
        </w:rPr>
        <w:t>.5 投诉人有下列行为之一的，属于虚假、恶意投诉，由</w:t>
      </w: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val="zh-CN"/>
        </w:rPr>
        <w:t>列入不良行为记录名单，禁止其1至3年内参加</w:t>
      </w: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val="zh-CN"/>
        </w:rPr>
        <w:t>采购活动：</w:t>
      </w:r>
    </w:p>
    <w:p w14:paraId="6B871AAA">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（1）捏造事实；</w:t>
      </w:r>
    </w:p>
    <w:p w14:paraId="13B2C9B9">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（2）提供虚假材料；</w:t>
      </w:r>
    </w:p>
    <w:p w14:paraId="4745A3BA">
      <w:pPr>
        <w:autoSpaceDE w:val="0"/>
        <w:autoSpaceDN w:val="0"/>
        <w:adjustRightInd w:val="0"/>
        <w:snapToGrid w:val="0"/>
        <w:spacing w:line="440" w:lineRule="exact"/>
        <w:ind w:firstLine="424" w:firstLineChars="20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（3）以非法手段取得证明材料。证据来源的合法性存在明显疑问，投诉人无法证明其取得方式合法的，视为以非法手段取得证明材料。</w:t>
      </w:r>
    </w:p>
    <w:p w14:paraId="5E679249">
      <w:pPr>
        <w:tabs>
          <w:tab w:val="left" w:pos="5355"/>
        </w:tabs>
        <w:autoSpaceDE w:val="0"/>
        <w:autoSpaceDN w:val="0"/>
        <w:adjustRightInd w:val="0"/>
        <w:spacing w:line="440" w:lineRule="exact"/>
        <w:ind w:firstLine="420"/>
        <w:rPr>
          <w:rFonts w:hint="eastAsia" w:ascii="宋体" w:hAnsi="宋体" w:eastAsia="宋体" w:cs="宋体"/>
          <w:b/>
          <w:bCs/>
          <w:color w:val="auto"/>
          <w:szCs w:val="21"/>
          <w:highlight w:val="none"/>
          <w:lang w:val="zh-CN"/>
        </w:rPr>
      </w:pPr>
      <w:r>
        <w:rPr>
          <w:rFonts w:hint="eastAsia" w:ascii="宋体" w:hAnsi="宋体" w:eastAsia="宋体" w:cs="宋体"/>
          <w:b/>
          <w:color w:val="auto"/>
          <w:szCs w:val="21"/>
          <w:highlight w:val="none"/>
          <w:lang w:val="zh-CN"/>
        </w:rPr>
        <w:t>六、</w:t>
      </w:r>
      <w:r>
        <w:rPr>
          <w:rFonts w:hint="eastAsia" w:ascii="宋体" w:hAnsi="宋体" w:eastAsia="宋体" w:cs="宋体"/>
          <w:b/>
          <w:bCs/>
          <w:color w:val="auto"/>
          <w:szCs w:val="21"/>
          <w:highlight w:val="none"/>
          <w:lang w:val="zh-CN"/>
        </w:rPr>
        <w:t>诚实信用</w:t>
      </w:r>
    </w:p>
    <w:p w14:paraId="11F720B1">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.1 供应商之间不得相互串通报价，不得妨碍其他供应商的公平竞争，不得损害采购人和其他供应商的合法权益。</w:t>
      </w:r>
    </w:p>
    <w:p w14:paraId="5A65DAFC">
      <w:pPr>
        <w:autoSpaceDE w:val="0"/>
        <w:autoSpaceDN w:val="0"/>
        <w:adjustRightInd w:val="0"/>
        <w:spacing w:line="440" w:lineRule="exact"/>
        <w:ind w:firstLine="42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.2 供应商不得以向采购代理机构工作人员、磋商委员会成员行贿或者采取其他不正当手段谋取成交。经查实供应商有此行为的，将在本项目发布媒体上进行公告。</w:t>
      </w:r>
    </w:p>
    <w:p w14:paraId="0F45839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.3 供应商不得虚假质疑和恶意质疑，并对质疑内容的真实性承担责任。</w:t>
      </w:r>
      <w:r>
        <w:rPr>
          <w:rFonts w:hint="eastAsia" w:ascii="宋体" w:hAnsi="宋体" w:eastAsia="宋体" w:cs="宋体"/>
          <w:color w:val="auto"/>
          <w:szCs w:val="21"/>
          <w:highlight w:val="none"/>
        </w:rPr>
        <w:t>供应商或者其他利害关系人通过捏造事实、伪造证明材料等方式提出异议或投诉，阻碍采购活动正常进行的，属于严重不良行为，采购人将其列入不良行为记录名单。</w:t>
      </w:r>
    </w:p>
    <w:p w14:paraId="62629000">
      <w:pPr>
        <w:spacing w:line="44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zh-CN"/>
        </w:rPr>
        <w:t>.4 供应商不得虚假承诺，否则，按照提供虚假材料谋取成交处理。</w:t>
      </w:r>
    </w:p>
    <w:p w14:paraId="7067A2D2">
      <w:pPr>
        <w:spacing w:line="440" w:lineRule="exact"/>
        <w:ind w:firstLine="422" w:firstLineChars="200"/>
        <w:rPr>
          <w:rFonts w:hint="eastAsia" w:ascii="宋体" w:hAnsi="宋体" w:eastAsia="宋体" w:cs="宋体"/>
          <w:b/>
          <w:color w:val="auto"/>
          <w:kern w:val="0"/>
          <w:szCs w:val="21"/>
          <w:highlight w:val="none"/>
          <w:lang w:val="zh-CN"/>
        </w:rPr>
      </w:pPr>
      <w:r>
        <w:rPr>
          <w:rFonts w:hint="eastAsia" w:ascii="宋体" w:hAnsi="宋体" w:eastAsia="宋体" w:cs="宋体"/>
          <w:b/>
          <w:color w:val="auto"/>
          <w:szCs w:val="21"/>
          <w:highlight w:val="none"/>
        </w:rPr>
        <w:t>七</w:t>
      </w:r>
      <w:r>
        <w:rPr>
          <w:rFonts w:hint="eastAsia" w:ascii="宋体" w:hAnsi="宋体" w:eastAsia="宋体" w:cs="宋体"/>
          <w:b/>
          <w:color w:val="auto"/>
          <w:szCs w:val="21"/>
          <w:highlight w:val="none"/>
          <w:lang w:val="zh-CN"/>
        </w:rPr>
        <w:t>、磋商费用</w:t>
      </w:r>
    </w:p>
    <w:p w14:paraId="215825C3">
      <w:pPr>
        <w:spacing w:line="440" w:lineRule="exact"/>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zh-CN"/>
        </w:rPr>
        <w:t>.1 供应商应承担所有与准备和参加磋商有关的费用，无论采购结果如何，采购代理机构和采购人在任何情况下均无义务和责任承担这些费用。</w:t>
      </w:r>
    </w:p>
    <w:p w14:paraId="5A133DC3">
      <w:pPr>
        <w:spacing w:line="440" w:lineRule="exact"/>
        <w:ind w:firstLine="422" w:firstLineChars="200"/>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17.2 本次采购，成交人参照《招标代理服务费管理暂行办法》（国家发展计划委员会计价格【2002】1980号）代理服务招标收费基准费率50%计算，在领取成交通知书前向采购代理机构支付招标服务费。本项费用无需在磋商一览表中单列。本项目专家评审费由招标人支付。</w:t>
      </w:r>
    </w:p>
    <w:p w14:paraId="0038AE43">
      <w:pPr>
        <w:pStyle w:val="3"/>
        <w:numPr>
          <w:ilvl w:val="0"/>
          <w:numId w:val="0"/>
        </w:numPr>
        <w:spacing w:line="440" w:lineRule="exact"/>
        <w:rPr>
          <w:rFonts w:hint="eastAsia" w:ascii="宋体" w:hAnsi="宋体" w:eastAsia="宋体" w:cs="宋体"/>
          <w:color w:val="auto"/>
          <w:kern w:val="0"/>
          <w:highlight w:val="none"/>
        </w:rPr>
      </w:pPr>
    </w:p>
    <w:p w14:paraId="756CD96C">
      <w:pPr>
        <w:pStyle w:val="3"/>
        <w:numPr>
          <w:ilvl w:val="0"/>
          <w:numId w:val="0"/>
        </w:numPr>
        <w:spacing w:line="44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r>
        <w:rPr>
          <w:rFonts w:hint="eastAsia" w:ascii="宋体" w:hAnsi="宋体" w:eastAsia="宋体" w:cs="宋体"/>
          <w:color w:val="auto"/>
          <w:kern w:val="0"/>
          <w:highlight w:val="none"/>
        </w:rPr>
        <w:t>第三章</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评审标准</w:t>
      </w:r>
    </w:p>
    <w:p w14:paraId="6B604EDF">
      <w:pPr>
        <w:shd w:val="clear" w:color="auto" w:fill="FFFFFF"/>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本次磋商评审方法在最大限度地满足磋商文件实质性要求前提下，按照磋商文件中规定的各项因素进行综合评审后，按得分高低排名。</w:t>
      </w:r>
    </w:p>
    <w:bookmarkEnd w:id="6"/>
    <w:bookmarkEnd w:id="7"/>
    <w:tbl>
      <w:tblPr>
        <w:tblStyle w:val="11"/>
        <w:tblW w:w="8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876"/>
        <w:gridCol w:w="532"/>
        <w:gridCol w:w="6331"/>
      </w:tblGrid>
      <w:tr w14:paraId="2185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859" w:type="dxa"/>
            <w:gridSpan w:val="2"/>
            <w:noWrap/>
            <w:vAlign w:val="center"/>
          </w:tcPr>
          <w:p w14:paraId="49E86587">
            <w:pPr>
              <w:widowControl/>
              <w:spacing w:after="0" w:line="360" w:lineRule="auto"/>
              <w:jc w:val="center"/>
              <w:rPr>
                <w:rFonts w:hint="eastAsia" w:ascii="宋体" w:hAnsi="宋体" w:eastAsia="宋体" w:cs="宋体"/>
                <w:b/>
                <w:bCs/>
                <w:i w:val="0"/>
                <w:iCs w:val="0"/>
                <w:color w:val="auto"/>
                <w:sz w:val="21"/>
                <w:szCs w:val="21"/>
                <w:highlight w:val="none"/>
                <w:u w:val="none"/>
              </w:rPr>
            </w:pPr>
            <w:bookmarkStart w:id="8" w:name="_Toc94432280"/>
            <w:r>
              <w:rPr>
                <w:rFonts w:hint="eastAsia" w:ascii="宋体" w:hAnsi="宋体" w:eastAsia="宋体" w:cs="宋体"/>
                <w:b/>
                <w:bCs/>
                <w:color w:val="auto"/>
                <w:kern w:val="0"/>
                <w:sz w:val="21"/>
                <w:szCs w:val="21"/>
                <w:highlight w:val="none"/>
              </w:rPr>
              <w:t>评审因素</w:t>
            </w:r>
          </w:p>
        </w:tc>
        <w:tc>
          <w:tcPr>
            <w:tcW w:w="532" w:type="dxa"/>
            <w:noWrap w:val="0"/>
            <w:vAlign w:val="center"/>
          </w:tcPr>
          <w:p w14:paraId="14106D69">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c>
          <w:tcPr>
            <w:tcW w:w="6331" w:type="dxa"/>
            <w:noWrap w:val="0"/>
            <w:vAlign w:val="center"/>
          </w:tcPr>
          <w:p w14:paraId="7C1550B3">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r>
      <w:tr w14:paraId="437F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3" w:hRule="atLeast"/>
          <w:jc w:val="center"/>
        </w:trPr>
        <w:tc>
          <w:tcPr>
            <w:tcW w:w="1859" w:type="dxa"/>
            <w:gridSpan w:val="2"/>
            <w:noWrap/>
            <w:vAlign w:val="center"/>
          </w:tcPr>
          <w:p w14:paraId="6327CC03">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报价</w:t>
            </w:r>
          </w:p>
          <w:p w14:paraId="7AE9BBAE">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（10分）</w:t>
            </w:r>
          </w:p>
        </w:tc>
        <w:tc>
          <w:tcPr>
            <w:tcW w:w="532" w:type="dxa"/>
            <w:noWrap w:val="0"/>
            <w:vAlign w:val="center"/>
          </w:tcPr>
          <w:p w14:paraId="4DC8CE17">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10</w:t>
            </w:r>
          </w:p>
        </w:tc>
        <w:tc>
          <w:tcPr>
            <w:tcW w:w="6331" w:type="dxa"/>
            <w:noWrap w:val="0"/>
            <w:vAlign w:val="center"/>
          </w:tcPr>
          <w:p w14:paraId="5328B477">
            <w:pPr>
              <w:keepNext w:val="0"/>
              <w:keepLines w:val="0"/>
              <w:pageBreakBefore w:val="0"/>
              <w:kinsoku/>
              <w:wordWrap/>
              <w:overflowPunct/>
              <w:topLinePunct w:val="0"/>
              <w:autoSpaceDE/>
              <w:autoSpaceDN/>
              <w:bidi w:val="0"/>
              <w:adjustRightInd/>
              <w:spacing w:line="360" w:lineRule="auto"/>
              <w:ind w:left="0"/>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价格分采用低价优先法计算，即满足采购文件要求且报价最低的供应商报价为评标基准价，其价格分为满分10分，其他供应商的价格分统一按照以下公式计算：投标报价得分=（评标基准价/该投标人的响应报价）×10分。分值保留小数点后2位。</w:t>
            </w:r>
          </w:p>
          <w:p w14:paraId="16B8A347">
            <w:pPr>
              <w:keepNext w:val="0"/>
              <w:keepLines w:val="0"/>
              <w:pageBreakBefore w:val="0"/>
              <w:kinsoku/>
              <w:wordWrap/>
              <w:overflowPunct/>
              <w:topLinePunct w:val="0"/>
              <w:autoSpaceDE/>
              <w:autoSpaceDN/>
              <w:bidi w:val="0"/>
              <w:adjustRightInd/>
              <w:spacing w:line="360" w:lineRule="auto"/>
              <w:ind w:left="0"/>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评标小组认为供应商的报价明显低于其他通过符合性审查供应商的报价，有可能影响产品质量或者不能诚信履约的，评标小组有权要求其在评标现场合理的时间内提供书面说明，必要时提交相关证明材料；供应商不能证明其报价合理性的，评标小组可将其作为无效投标处理。</w:t>
            </w:r>
          </w:p>
        </w:tc>
      </w:tr>
      <w:tr w14:paraId="69A6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83" w:type="dxa"/>
            <w:vMerge w:val="restart"/>
            <w:noWrap/>
            <w:vAlign w:val="center"/>
          </w:tcPr>
          <w:p w14:paraId="50062456">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商务</w:t>
            </w:r>
          </w:p>
          <w:p w14:paraId="1D347C38">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评分</w:t>
            </w:r>
          </w:p>
          <w:p w14:paraId="146C4168">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（36分）</w:t>
            </w:r>
          </w:p>
        </w:tc>
        <w:tc>
          <w:tcPr>
            <w:tcW w:w="876" w:type="dxa"/>
            <w:noWrap/>
            <w:vAlign w:val="center"/>
          </w:tcPr>
          <w:p w14:paraId="01FD20E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人员团队情况</w:t>
            </w:r>
          </w:p>
        </w:tc>
        <w:tc>
          <w:tcPr>
            <w:tcW w:w="532" w:type="dxa"/>
            <w:noWrap w:val="0"/>
            <w:vAlign w:val="center"/>
          </w:tcPr>
          <w:p w14:paraId="7AAB1189">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6331" w:type="dxa"/>
            <w:noWrap w:val="0"/>
            <w:vAlign w:val="center"/>
          </w:tcPr>
          <w:p w14:paraId="6573E44C">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①项目负责人具有生物学或医学高级及以上职称的得2分。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②团队人员（不含项目负责人）具有生物学或医学中级及以上职称的得2分，本项最高6分。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w:t>
            </w:r>
          </w:p>
          <w:p w14:paraId="22071AC4">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1.须提供职称证书复印件并加盖公章，以及投标人为团队人员缴纳的近六个月任意一个月社保证明复印件（退休返聘人员提供劳动合同复印件），不提供不得分。</w:t>
            </w:r>
          </w:p>
        </w:tc>
      </w:tr>
      <w:tr w14:paraId="12C2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83" w:type="dxa"/>
            <w:vMerge w:val="continue"/>
            <w:noWrap/>
            <w:vAlign w:val="center"/>
          </w:tcPr>
          <w:p w14:paraId="7C023D5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321EE559">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需求响应情况</w:t>
            </w:r>
          </w:p>
        </w:tc>
        <w:tc>
          <w:tcPr>
            <w:tcW w:w="532" w:type="dxa"/>
            <w:noWrap w:val="0"/>
            <w:vAlign w:val="center"/>
          </w:tcPr>
          <w:p w14:paraId="7977515B">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6331" w:type="dxa"/>
            <w:noWrap w:val="0"/>
            <w:vAlign w:val="center"/>
          </w:tcPr>
          <w:p w14:paraId="73B81A91">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供应商对招标文件第四部分采购需求进行响应：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★条款为实质性条款，负偏离视为无效文件；</w:t>
            </w:r>
          </w:p>
          <w:p w14:paraId="6EEC570D">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▲条款为重要条款，每负偏离一条扣2分；</w:t>
            </w:r>
          </w:p>
          <w:p w14:paraId="683A3047">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其余条款为普通条款，每负偏离一条扣0.5分。</w:t>
            </w:r>
          </w:p>
          <w:p w14:paraId="77652C4A">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扣完为止。</w:t>
            </w:r>
          </w:p>
          <w:p w14:paraId="2971032D">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rPr>
              <w:t>供应商应在偏离表中对采购需求一一对应，对于需要提供证明材料或承诺函的，需按照招标文件要求提供证明材料或承诺函，供应商须对证明材料、承诺函标注对应页码，</w:t>
            </w:r>
            <w:r>
              <w:rPr>
                <w:rFonts w:hint="eastAsia" w:ascii="宋体" w:hAnsi="宋体" w:eastAsia="宋体" w:cs="宋体"/>
                <w:b/>
                <w:bCs/>
                <w:i w:val="0"/>
                <w:iCs w:val="0"/>
                <w:color w:val="auto"/>
                <w:kern w:val="0"/>
                <w:sz w:val="21"/>
                <w:szCs w:val="21"/>
                <w:highlight w:val="none"/>
                <w:u w:val="none"/>
                <w:lang w:val="en-US" w:eastAsia="zh-CN" w:bidi="ar"/>
              </w:rPr>
              <w:t>并以醒目方式对证明材料中的关键信息作出标记；若证明材料内容不清晰，或未按前述要求标注关键信息，评标委员会有权将该采购需求响应项认定为负偏离。</w:t>
            </w:r>
          </w:p>
        </w:tc>
      </w:tr>
      <w:tr w14:paraId="3373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0" w:hRule="atLeast"/>
          <w:jc w:val="center"/>
        </w:trPr>
        <w:tc>
          <w:tcPr>
            <w:tcW w:w="983" w:type="dxa"/>
            <w:vMerge w:val="continue"/>
            <w:noWrap/>
            <w:vAlign w:val="center"/>
          </w:tcPr>
          <w:p w14:paraId="34C02421">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2F906B30">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业绩</w:t>
            </w:r>
          </w:p>
        </w:tc>
        <w:tc>
          <w:tcPr>
            <w:tcW w:w="532" w:type="dxa"/>
            <w:noWrap w:val="0"/>
            <w:vAlign w:val="center"/>
          </w:tcPr>
          <w:p w14:paraId="55DEA46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p>
        </w:tc>
        <w:tc>
          <w:tcPr>
            <w:tcW w:w="6331" w:type="dxa"/>
            <w:noWrap w:val="0"/>
            <w:vAlign w:val="center"/>
          </w:tcPr>
          <w:p w14:paraId="070536BC">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供应商自2023年1月1日（以合同签订时间为准）以来，承担过类似检测项目，每提供一个得2分，最高10分。（提供项目合同复印件加盖公章，否则不得分）注：需提供合同复印件（必须体现服务内容、合同双方签字盖章页等合同关键信息）或中标通知书复印件加盖公章。（同一业主单位不重复得分）</w:t>
            </w:r>
          </w:p>
        </w:tc>
      </w:tr>
      <w:tr w14:paraId="4FA4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0" w:hRule="atLeast"/>
          <w:jc w:val="center"/>
        </w:trPr>
        <w:tc>
          <w:tcPr>
            <w:tcW w:w="983" w:type="dxa"/>
            <w:vMerge w:val="continue"/>
            <w:noWrap/>
            <w:vAlign w:val="center"/>
          </w:tcPr>
          <w:p w14:paraId="23891C5D">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37619BE4">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售后服务</w:t>
            </w:r>
          </w:p>
        </w:tc>
        <w:tc>
          <w:tcPr>
            <w:tcW w:w="532" w:type="dxa"/>
            <w:noWrap w:val="0"/>
            <w:vAlign w:val="center"/>
          </w:tcPr>
          <w:p w14:paraId="62C3C0E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6</w:t>
            </w:r>
          </w:p>
        </w:tc>
        <w:tc>
          <w:tcPr>
            <w:tcW w:w="6331" w:type="dxa"/>
            <w:noWrap w:val="0"/>
            <w:vAlign w:val="center"/>
          </w:tcPr>
          <w:p w14:paraId="6DD0FFC1">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针对该项目提供详细的售后支持服务体系。</w:t>
            </w:r>
          </w:p>
          <w:p w14:paraId="73692730">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包含：</w:t>
            </w:r>
          </w:p>
          <w:p w14:paraId="1B407F87">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①对基础分析发现的问题或者差异进行个性化分析、报告解读；</w:t>
            </w:r>
          </w:p>
          <w:p w14:paraId="20946FBC">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②样本检测完成后的按规范销毁；</w:t>
            </w:r>
          </w:p>
          <w:p w14:paraId="16C5120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③提供分析云平台，供用户后续进行自主分析，且提供人工技术售后的承诺。</w:t>
            </w:r>
          </w:p>
          <w:p w14:paraId="0C572789">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每提供一项得2分，满分6分，不提供不得分。</w:t>
            </w:r>
          </w:p>
        </w:tc>
      </w:tr>
      <w:tr w14:paraId="5EF6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2" w:hRule="atLeast"/>
          <w:jc w:val="center"/>
        </w:trPr>
        <w:tc>
          <w:tcPr>
            <w:tcW w:w="983" w:type="dxa"/>
            <w:vMerge w:val="restart"/>
            <w:noWrap/>
            <w:vAlign w:val="center"/>
          </w:tcPr>
          <w:p w14:paraId="159C5CB5">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技术</w:t>
            </w:r>
          </w:p>
          <w:p w14:paraId="00843B17">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评分</w:t>
            </w:r>
          </w:p>
          <w:p w14:paraId="517FD66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（54分）</w:t>
            </w:r>
          </w:p>
        </w:tc>
        <w:tc>
          <w:tcPr>
            <w:tcW w:w="876" w:type="dxa"/>
            <w:noWrap/>
            <w:vAlign w:val="center"/>
          </w:tcPr>
          <w:p w14:paraId="693EC7B3">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设备配备情况</w:t>
            </w:r>
          </w:p>
        </w:tc>
        <w:tc>
          <w:tcPr>
            <w:tcW w:w="532" w:type="dxa"/>
            <w:noWrap w:val="0"/>
            <w:vAlign w:val="center"/>
          </w:tcPr>
          <w:p w14:paraId="525363D6">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9</w:t>
            </w:r>
          </w:p>
        </w:tc>
        <w:tc>
          <w:tcPr>
            <w:tcW w:w="6331" w:type="dxa"/>
            <w:noWrap w:val="0"/>
            <w:vAlign w:val="center"/>
          </w:tcPr>
          <w:p w14:paraId="637EE4E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投标人拟为本项目所投入服务的设备设施，提供具体照设备清单（包括设备品牌，型号，是否为获证仪器，数量，购置/投入使用时间，设备存放地点），供应商需附设备所有权证明或租赁使用合同。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评委根据设备方案评审：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（1）设备构成及配置方案完整清晰，设备选型先进，配置方案科学合理，各设备间协同性强，可完全满足本项目检测需求；所提供的技术参数、数量、品牌等支撑材料详实，实施路径明确，可行性高的，得9分。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（2）设备构成及配置方案较为完整，设备选型基本合理，配置方案可满足主要检测需求，仅存在少量不足（如个别设备性能偏低或数量略有欠缺），整体可行性较好的，得7分。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（3）设备构成及配置方案基本完整，但设备构成合理性不足（如选型不匹配、配置比例失衡），或存在关键设备缺失情形，导致整体方案可行性较差的，得5分。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（4）设备构成及配置方案不明确，设备清单模糊或存在逻辑混乱，设备选型与项目需求严重脱节，合理性不足，缺乏实际可行性，无法有效支撑项目实施的，得3分。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（5）未提供不得分</w:t>
            </w:r>
          </w:p>
        </w:tc>
      </w:tr>
      <w:tr w14:paraId="7FC0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83" w:type="dxa"/>
            <w:vMerge w:val="continue"/>
            <w:noWrap/>
            <w:vAlign w:val="center"/>
          </w:tcPr>
          <w:p w14:paraId="33E10A7B">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540C5ED8">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检测服务方案</w:t>
            </w:r>
          </w:p>
        </w:tc>
        <w:tc>
          <w:tcPr>
            <w:tcW w:w="532" w:type="dxa"/>
            <w:noWrap w:val="0"/>
            <w:vAlign w:val="center"/>
          </w:tcPr>
          <w:p w14:paraId="0A9F9D4A">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9</w:t>
            </w:r>
          </w:p>
        </w:tc>
        <w:tc>
          <w:tcPr>
            <w:tcW w:w="6331" w:type="dxa"/>
            <w:noWrap w:val="0"/>
            <w:vAlign w:val="center"/>
          </w:tcPr>
          <w:p w14:paraId="662E8123">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评标委员会根据投标人提供的检测服务方案（包括但不限于检测过程，检测方法学、实验实施及数据分析的保障措施，检测过程应至少包含样本获取、样本检测前处理、检测流程、分析与解读、报告出具、检测后咨询反馈等环节）进行综合评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（1）方案描述详细、具体、明确，对关键内容表述清晰完整，实施路径清晰可行，可操作性强，非常有利于项目实施的，得9分；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（2）方案描述较为详细和具体，关键内容表述清晰完整，实施路径较为明确，可操作性较强，比较有利于项目实施的，得 7分；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（3）方案描述较为简单，但内容基本完整，关键内容表述较清晰，实施路径基本明确，可操作性一般，在一定程度上有利于项目实施的，得5分；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（4）方案描述不完整，对关键内容表述基本清晰但存在不足，实施路径不够清晰或存在一定缺陷，可操作性较弱，实施存在一定困难的，得3分；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（5）未提供不得分</w:t>
            </w:r>
          </w:p>
        </w:tc>
      </w:tr>
      <w:tr w14:paraId="48C3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83" w:type="dxa"/>
            <w:vMerge w:val="continue"/>
            <w:noWrap/>
            <w:vAlign w:val="center"/>
          </w:tcPr>
          <w:p w14:paraId="5EFC382C">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44A1C21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标本运输方案保障措施</w:t>
            </w:r>
          </w:p>
        </w:tc>
        <w:tc>
          <w:tcPr>
            <w:tcW w:w="532" w:type="dxa"/>
            <w:noWrap w:val="0"/>
            <w:vAlign w:val="center"/>
          </w:tcPr>
          <w:p w14:paraId="351B646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9</w:t>
            </w:r>
          </w:p>
        </w:tc>
        <w:tc>
          <w:tcPr>
            <w:tcW w:w="6331" w:type="dxa"/>
            <w:noWrap w:val="0"/>
            <w:vAlign w:val="center"/>
          </w:tcPr>
          <w:p w14:paraId="0E5896A1">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对投标人提供的标本运输保管、冷链物流方案及其保障措施进行评审：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（1）方案描述详细、具体、明确，对关键内容表述清晰完整，实施路径清晰可行，可操作性强，非常有利于项目实施的，得9分；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（2）方案描述较为详细和具体，关键内容表述清晰完整，实施路径较为明确，可操作性较强，比较有利于项目实施的，得 7分；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（3）方案描述较为简单，但内容基本完整，关键内容表述较清晰，实施路径基本明确，可操作性一般，在一定程度上有利于项目实施的，得5分；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（4）方案描述不完整，对关键内容表述基本清晰但存在不足，实施路径不够清晰或存在一定缺陷，可操作性较弱，实施存在一定困难的，得3分；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（5）未提供不得分</w:t>
            </w:r>
          </w:p>
        </w:tc>
      </w:tr>
      <w:tr w14:paraId="00F0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83" w:type="dxa"/>
            <w:vMerge w:val="continue"/>
            <w:noWrap/>
            <w:vAlign w:val="center"/>
          </w:tcPr>
          <w:p w14:paraId="03DB96DE">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63C89320">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安全保密方案</w:t>
            </w:r>
          </w:p>
        </w:tc>
        <w:tc>
          <w:tcPr>
            <w:tcW w:w="532" w:type="dxa"/>
            <w:noWrap w:val="0"/>
            <w:vAlign w:val="center"/>
          </w:tcPr>
          <w:p w14:paraId="1745707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9</w:t>
            </w:r>
          </w:p>
        </w:tc>
        <w:tc>
          <w:tcPr>
            <w:tcW w:w="6331" w:type="dxa"/>
            <w:noWrap w:val="0"/>
            <w:vAlign w:val="center"/>
          </w:tcPr>
          <w:p w14:paraId="527A66F2">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安全保密方案：根据投标人提供的安全保密进行评审。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（1）供应商安全保密组织机构配置合理、职责清晰；保密措施、泄密补救和责任追溯管理流程详细合理可行的得9分；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（2）供应商安全保密组织机构配置较合理、职责较清晰；保密措施、泄密补救和责任追溯管理流程较详细、基本合理可行的得7分；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（3）供应商安全保密组织机构配置不够合理、职责关键内容表述基本清晰但存在不足；保密措施、泄密补救和责任追溯管理流程不详细存在一定缺陷的得5分；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（4）供应商安全保密组织机构配置不合理、职责不清晰；保密措施、泄密补救和责任追溯管理流程不详细、可行性不高的得3分；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（5）未提供不得分</w:t>
            </w:r>
          </w:p>
        </w:tc>
      </w:tr>
      <w:tr w14:paraId="03CE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983" w:type="dxa"/>
            <w:vMerge w:val="continue"/>
            <w:noWrap/>
            <w:vAlign w:val="center"/>
          </w:tcPr>
          <w:p w14:paraId="677028C6">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4D7ADBFF">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应急方案</w:t>
            </w:r>
          </w:p>
        </w:tc>
        <w:tc>
          <w:tcPr>
            <w:tcW w:w="532" w:type="dxa"/>
            <w:noWrap w:val="0"/>
            <w:vAlign w:val="center"/>
          </w:tcPr>
          <w:p w14:paraId="2DE57B45">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9</w:t>
            </w:r>
          </w:p>
        </w:tc>
        <w:tc>
          <w:tcPr>
            <w:tcW w:w="6331" w:type="dxa"/>
            <w:noWrap w:val="0"/>
            <w:vAlign w:val="center"/>
          </w:tcPr>
          <w:p w14:paraId="0AE0D5C3">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评委根据投标人提供的突发事件处理机制、预案、协调措施进行综合评审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投标人提供的突发事件处置方案（如结果异议、报告丢失、提供特急标本优先加急特事特办服务等）处理机制、预案、协调措施等，评委经行评审打分：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（1）方案描述详细、具体、明确，对关键内容表述清晰完整，实施路径清晰可行，可操作性强，非常有利于项目实施的，得9分；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（2）方案描述较为详细和具体，关键内容表述清晰完整，实施路径较为明确，可操作性较强，比较有利于项目实施的，得 7分；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（3）方案描述较为简单，但内容基本完整，关键内容表述较清晰，实施路径基本明确，可操作性一般，在一定程度上有利于项目实施的，得5分；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（4）方案描述不完整，对关键内容表述基本清晰但存在不足，实施路径不够清晰或存在一定缺陷，可操作性较弱，实施存在一定困难的，得3分；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（5）未提供不得分</w:t>
            </w:r>
          </w:p>
        </w:tc>
      </w:tr>
      <w:tr w14:paraId="002A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83" w:type="dxa"/>
            <w:vMerge w:val="continue"/>
            <w:noWrap/>
            <w:vAlign w:val="center"/>
          </w:tcPr>
          <w:p w14:paraId="6CF1327A">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6" w:type="dxa"/>
            <w:noWrap/>
            <w:vAlign w:val="center"/>
          </w:tcPr>
          <w:p w14:paraId="70BDE3B5">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学科支持方案</w:t>
            </w:r>
          </w:p>
        </w:tc>
        <w:tc>
          <w:tcPr>
            <w:tcW w:w="532" w:type="dxa"/>
            <w:noWrap w:val="0"/>
            <w:vAlign w:val="center"/>
          </w:tcPr>
          <w:p w14:paraId="1DD9E1B0">
            <w:pPr>
              <w:keepNext w:val="0"/>
              <w:keepLines w:val="0"/>
              <w:pageBreakBefore w:val="0"/>
              <w:kinsoku/>
              <w:wordWrap/>
              <w:overflowPunct/>
              <w:topLinePunct w:val="0"/>
              <w:autoSpaceDE/>
              <w:autoSpaceDN/>
              <w:bidi w:val="0"/>
              <w:adjustRightInd/>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9</w:t>
            </w:r>
          </w:p>
        </w:tc>
        <w:tc>
          <w:tcPr>
            <w:tcW w:w="6331" w:type="dxa"/>
            <w:noWrap w:val="0"/>
            <w:vAlign w:val="center"/>
          </w:tcPr>
          <w:p w14:paraId="5FD09955">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投标人根据本项目实际需求及自身情况提供学科支持方案，包括科研合作、学术支持、培训方案（包括课时安排、师资力量、培训对象、培训资料等）等。</w:t>
            </w:r>
          </w:p>
          <w:p w14:paraId="21B9FE16">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（1）方案描述详细、具体、明确，对关键内容表述清晰完整，实施路径清晰可行，可操作性强，非常有利于项目实施的，得9分；</w:t>
            </w:r>
          </w:p>
          <w:p w14:paraId="7E6B800B">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（2）方案描述较为详细和具体，关键内容表述清晰完整，实施路径较为明确，可操作性较强，比较有利于项目实施的，得 7分；</w:t>
            </w:r>
          </w:p>
          <w:p w14:paraId="52D73131">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（3）方案描述较为简单，但内容基本完整，关键内容表述较清晰，实施路径基本明确，可操作性一般，在一定程度上有利于项目实施的，得5分；</w:t>
            </w:r>
          </w:p>
          <w:p w14:paraId="54316149">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（4）方案描述不完整，对关键内容表述基本清晰但存在不足，实施路径不够清晰或存在一定缺陷，可操作性较弱，实施存在一定困难的，得3分；</w:t>
            </w:r>
          </w:p>
          <w:p w14:paraId="3021B746">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（5）未提供不得分</w:t>
            </w:r>
          </w:p>
        </w:tc>
      </w:tr>
    </w:tbl>
    <w:p w14:paraId="2DAC2E54">
      <w:pPr>
        <w:keepNext w:val="0"/>
        <w:keepLines w:val="0"/>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说明：</w:t>
      </w:r>
    </w:p>
    <w:p w14:paraId="4F86270A">
      <w:pPr>
        <w:keepNext w:val="0"/>
        <w:keepLines w:val="0"/>
        <w:pageBreakBefore w:val="0"/>
        <w:widowControl/>
        <w:shd w:val="clear" w:color="auto" w:fill="FFFFFF"/>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bCs/>
          <w:color w:val="auto"/>
          <w:kern w:val="0"/>
          <w:sz w:val="24"/>
          <w:highlight w:val="none"/>
          <w:u w:val="single"/>
        </w:rPr>
      </w:pPr>
      <w:r>
        <w:rPr>
          <w:rFonts w:hint="eastAsia" w:ascii="宋体" w:hAnsi="宋体" w:eastAsia="宋体" w:cs="宋体"/>
          <w:b/>
          <w:bCs/>
          <w:color w:val="auto"/>
          <w:kern w:val="0"/>
          <w:sz w:val="24"/>
          <w:highlight w:val="none"/>
          <w:u w:val="single"/>
        </w:rPr>
        <w:t>1、所有认证、证明和业绩均需提供有效的复印件。</w:t>
      </w:r>
    </w:p>
    <w:p w14:paraId="71E2C11C">
      <w:pPr>
        <w:keepNext w:val="0"/>
        <w:keepLines w:val="0"/>
        <w:pageBreakBefore w:val="0"/>
        <w:widowControl/>
        <w:shd w:val="clear" w:color="auto" w:fill="FFFFFF"/>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bCs/>
          <w:color w:val="auto"/>
          <w:kern w:val="0"/>
          <w:sz w:val="24"/>
          <w:highlight w:val="none"/>
          <w:u w:val="single"/>
        </w:rPr>
      </w:pPr>
      <w:r>
        <w:rPr>
          <w:rFonts w:hint="eastAsia" w:ascii="宋体" w:hAnsi="宋体" w:eastAsia="宋体" w:cs="宋体"/>
          <w:b/>
          <w:bCs/>
          <w:color w:val="auto"/>
          <w:kern w:val="0"/>
          <w:sz w:val="24"/>
          <w:highlight w:val="none"/>
          <w:u w:val="single"/>
        </w:rPr>
        <w:t>2、需提供项目组成员的注册证书、职称证书，证明材料等复印件。</w:t>
      </w:r>
    </w:p>
    <w:p w14:paraId="29B4784B">
      <w:pPr>
        <w:pStyle w:val="3"/>
        <w:pageBreakBefore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br w:type="page"/>
      </w:r>
      <w:r>
        <w:rPr>
          <w:rFonts w:hint="eastAsia" w:ascii="宋体" w:hAnsi="宋体" w:eastAsia="宋体" w:cs="宋体"/>
          <w:color w:val="auto"/>
          <w:kern w:val="0"/>
          <w:highlight w:val="none"/>
        </w:rPr>
        <w:t>第四章</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采购需求</w:t>
      </w:r>
      <w:bookmarkEnd w:id="8"/>
      <w:bookmarkStart w:id="9" w:name="_Toc481057147"/>
    </w:p>
    <w:bookmarkEnd w:id="9"/>
    <w:p w14:paraId="25B875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0" w:name="_Toc4443"/>
      <w:bookmarkStart w:id="11" w:name="_Toc517385390"/>
      <w:bookmarkStart w:id="12" w:name="_Toc5953"/>
      <w:bookmarkStart w:id="13" w:name="_Toc26554093"/>
      <w:bookmarkStart w:id="14" w:name="_Toc286397985"/>
      <w:bookmarkStart w:id="15" w:name="_Toc49090575"/>
      <w:bookmarkStart w:id="16" w:name="_Toc532804897"/>
      <w:r>
        <w:rPr>
          <w:rFonts w:hint="eastAsia" w:ascii="宋体" w:hAnsi="宋体" w:eastAsia="宋体" w:cs="宋体"/>
          <w:color w:val="auto"/>
          <w:sz w:val="24"/>
          <w:szCs w:val="24"/>
          <w:highlight w:val="none"/>
        </w:rPr>
        <w:t>一、采购项目的简要说明</w:t>
      </w:r>
    </w:p>
    <w:p w14:paraId="6E5A69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本项目拟采购空间多组学检测技术服务，包含高通量代谢组、血液蛋白组、非靶向空间质谱成像、空间转录组、单细胞转录组、靶向代谢检测共 6 项检测服务。其中高通量代谢组 40 例；血液蛋白组 40 例；靶向代谢检测（FPP、GGPP）40 例；非靶向空间质谱成像 (20um) 20 例；空间转录组 20 例；单细胞转录组 20 例。本项目总预算95万元。</w:t>
      </w:r>
    </w:p>
    <w:p w14:paraId="3C7695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二、服务内容</w:t>
      </w:r>
    </w:p>
    <w:p w14:paraId="2B4126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（一）技术要求</w:t>
      </w:r>
    </w:p>
    <w:p w14:paraId="3EFED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高通量代谢组</w:t>
      </w:r>
    </w:p>
    <w:p w14:paraId="69ABE3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检测平台要求</w:t>
      </w:r>
    </w:p>
    <w:p w14:paraId="65C687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必须同时具备超高效液相色谱（UPLC）与 串联质谱（MS/MS） 联用系统，其中非靶向筛查阶段使用四级杆飞行时间质谱，MS1质量范围50～1000 Da，MS2质量范围25～1000 Da；广泛靶向定量阶段使用三重四极杆‑线性离子阱复合质谱，支持MRM（多反应监测）定量模式，并具备MRM‑IDA‑EPI同步定性扫描功能。必须配置T3色谱柱和HILIC色谱柱，并采用三种采集条件（T3正离子、T3负离子、HILIC负离子）进行全覆盖检测。</w:t>
      </w:r>
    </w:p>
    <w:p w14:paraId="7193CA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2）定性定量方法要求</w:t>
      </w:r>
    </w:p>
    <w:p w14:paraId="6EA540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定性须基于自建标准品数据库（含二级谱图和保留时间RT），并整合HMDB、KEGG等公共数据库及AI预测库进行准确定性，定量须采用 MRM模式；最终检测到的代谢物总数&gt; 1500个。</w:t>
      </w:r>
    </w:p>
    <w:p w14:paraId="428E76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 质量控制要求</w:t>
      </w:r>
    </w:p>
    <w:p w14:paraId="12CD4B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QC样本中内标响应值的CV≤15%，全部样本中CV值＜0.3的代谢物占比须＞75%；QC样本间Pearson相关性系数应接近1，且QC样本的PC1 Scores须在 ±3倍标准差（SD） 范围内，确保仪器状态稳定。</w:t>
      </w:r>
    </w:p>
    <w:p w14:paraId="24BEAA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血液蛋白组</w:t>
      </w:r>
    </w:p>
    <w:p w14:paraId="0ADABB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1）检测平台要求</w:t>
      </w:r>
    </w:p>
    <w:p w14:paraId="23D5F4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低丰度蛋白富集系统：采用功能性生物磁珠材料进行血液低丰度蛋白特异性富集，单样本血清/血浆用量≤ 50 μL，支持自动化前处理及大样本量分析。</w:t>
      </w:r>
    </w:p>
    <w:p w14:paraId="16D1D4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色谱系统：配备纳升超高效液相色谱（UHPLC）系统，采用捕获-分析双柱法（trap柱与分析柱串联），总机时不低于7分钟。</w:t>
      </w:r>
    </w:p>
    <w:p w14:paraId="637BFF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高分辨质谱系统：配备高分辨质谱仪，采用DIA数据非依赖采集模式。</w:t>
      </w:r>
    </w:p>
    <w:p w14:paraId="54B57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2）定性定量性能要求</w:t>
      </w:r>
    </w:p>
    <w:p w14:paraId="578B77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鉴定深度：采用DIA-NN软件以Library-free方法搜库，蛋白质水平鉴定FDR≤1%，每例血液样本鉴定蛋白质种类 ≥ 3500个，肽段种类 ≥ 22000条。</w:t>
      </w:r>
    </w:p>
    <w:p w14:paraId="381485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定量方法：采用MaxLFQ算法进行蛋白质定量，定量蛋白质总数≥3300个。</w:t>
      </w:r>
    </w:p>
    <w:p w14:paraId="74F2AE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3）质量控制要求</w:t>
      </w:r>
    </w:p>
    <w:p w14:paraId="05AA88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酶切效率：漏切位点数为0的肽段占比 ≥ 60%。</w:t>
      </w:r>
    </w:p>
    <w:p w14:paraId="4D829C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重复性：生物学重复样本间Pearson相关系数R ≥ 0.8，同组样本盒形图与小提琴图形状应较为接近，反映组内一致性良好。</w:t>
      </w:r>
    </w:p>
    <w:p w14:paraId="2B0912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非靶向空间质谱成像（20 um）</w:t>
      </w:r>
    </w:p>
    <w:p w14:paraId="554588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1）成像检测平台要求</w:t>
      </w:r>
    </w:p>
    <w:p w14:paraId="44A14E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质谱成像系统：配备MALDI（基质辅助激光解吸/电离）离子源与高分辨质谱仪，激光器频率≥10 kHz，支持正负离子模式检测。</w:t>
      </w:r>
    </w:p>
    <w:p w14:paraId="15674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成像分辨率：空间分辨率不低于 20 μm，确保组织微区结构的精细解析。</w:t>
      </w:r>
    </w:p>
    <w:p w14:paraId="01B7E2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基质喷涂装置：配备自动基质喷涂仪，可均匀喷涂DHB、9AA等基质，喷涂温度可控（≥60℃），流速及循环次数可编程设定。</w:t>
      </w:r>
    </w:p>
    <w:p w14:paraId="550460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2）检测与定性性能要求</w:t>
      </w:r>
    </w:p>
    <w:p w14:paraId="4E274D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质量扫描范围：覆盖 m/z 50～1300，满足小分子代谢物及脂质等内源性物质的全面检测。</w:t>
      </w:r>
    </w:p>
    <w:p w14:paraId="2E4495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鉴定能力：单例组织样本鉴定到的代谢物种类 ≥ 1100个；支持原位对代谢物进行二级谱匹配鉴定。</w:t>
      </w:r>
    </w:p>
    <w:p w14:paraId="625975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空间转录组</w:t>
      </w:r>
    </w:p>
    <w:p w14:paraId="7C0307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1）检测平台要求：</w:t>
      </w:r>
    </w:p>
    <w:p w14:paraId="109F6A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采用10x Genomics Visium HD芯片，每张载玻片含2个6.5 mm × 6.5 mm捕获区域；配备10x Genomics CytAssist系统；采用Illumina平台进行双端测序。</w:t>
      </w:r>
    </w:p>
    <w:p w14:paraId="37FBF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检测性能要求</w:t>
      </w:r>
    </w:p>
    <w:p w14:paraId="4227FE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以Bin 16 为单位进行后续分析；16 μm分辨率下单捕获区域检测到的基因总数满足官方质控标准。采用STAR比对算法，唯一可信比对到探针集合的读数比例≥95%，组织覆盖区域内square读数比例≥95%。</w:t>
      </w:r>
    </w:p>
    <w:p w14:paraId="4AF440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质量控制要求</w:t>
      </w:r>
    </w:p>
    <w:p w14:paraId="14B125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切片厚度8-20 μm，细胞形态正常，组织在实验过程中不得出现脱片；FF样本RIN值≥ 4，FFPE样本DV200 ≥ 30%。</w:t>
      </w:r>
    </w:p>
    <w:p w14:paraId="42D16B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单细胞单细胞转录组</w:t>
      </w:r>
    </w:p>
    <w:p w14:paraId="15657C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1）检测平台要求</w:t>
      </w:r>
    </w:p>
    <w:p w14:paraId="125C72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采用10x Genomics Chromium单细胞捕获平台，单次运行提供不少于8个通道，每个通道可捕获至少100–10000个细胞；采用10x Genomics Single Cell 3' Library &amp; Gel Bead Kit（v3/v3.1或更新版本），构建3'基因表达文库；采用Illumina NovaSeq / NextSeq系列测序平台进行双端测序。</w:t>
      </w:r>
    </w:p>
    <w:p w14:paraId="5CAEE3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2）测序质量要求</w:t>
      </w:r>
    </w:p>
    <w:p w14:paraId="30785F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单样本测序数据量 ≥ 95G，Q30 ≥ 80%，无明显GC偏倚。</w:t>
      </w:r>
    </w:p>
    <w:p w14:paraId="1B0D40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3）质量控制要求</w:t>
      </w:r>
    </w:p>
    <w:p w14:paraId="6031E8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悬液质量：细胞活性≥90%，细胞结团率≤10%。</w:t>
      </w:r>
    </w:p>
    <w:p w14:paraId="540DBF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比对效率：比对率、有效细胞数及基因表达分布等指标应符合行业标准，具备后续分析价值。</w:t>
      </w:r>
    </w:p>
    <w:p w14:paraId="354733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文库质量：文库片段分布符合10x Genomics官方质控标准，浓度满足上机要求。</w:t>
      </w:r>
    </w:p>
    <w:p w14:paraId="2A82D9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靶向代谢检测（FPP、GGPP）</w:t>
      </w:r>
    </w:p>
    <w:p w14:paraId="46CC1A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1）检测平台要求</w:t>
      </w:r>
    </w:p>
    <w:p w14:paraId="6D6666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配备超高效液相色谱仪与三重四级杆质谱仪，支持正负离子切换扫描。采用适合目标代谢物检出的色谱柱，适用于亲水性及极性代谢物的分离检测。</w:t>
      </w:r>
    </w:p>
    <w:p w14:paraId="4DE5E0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2）检测方法要求</w:t>
      </w:r>
    </w:p>
    <w:p w14:paraId="2C3311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采用MRM模式进行绝对定量检测，每个目标代谢物须分别优化母离子→子离子对、去簇电压及碰撞能等质谱参数，确保检测特异性与灵敏度。采用外标法定量，建立目标代谢物的标准曲线。</w:t>
      </w:r>
    </w:p>
    <w:p w14:paraId="5C2493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（二)服务要求</w:t>
      </w:r>
    </w:p>
    <w:p w14:paraId="6C0070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高通量代谢组</w:t>
      </w:r>
    </w:p>
    <w:p w14:paraId="30F8F0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1）样本接收与管理</w:t>
      </w:r>
    </w:p>
    <w:p w14:paraId="0CD3E5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提供标准化的样本采集、保存及运输要求；收到样本后尽快完成样本状态检查及质量评估；对合格样本统一编号、登记，建立完整样本信息台账；不合格样本及时反馈。</w:t>
      </w:r>
    </w:p>
    <w:p w14:paraId="19C29B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2）样本前处理</w:t>
      </w:r>
    </w:p>
    <w:p w14:paraId="21DCD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对血清样本进行蛋白沉淀、代谢物提取及低温离心处理，制备澄清上清液供LC‑MS分析。</w:t>
      </w:r>
    </w:p>
    <w:p w14:paraId="73B433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3）上机检测服务</w:t>
      </w:r>
    </w:p>
    <w:p w14:paraId="0E0E60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采用QTOF‑MS/MS对混样进行全谱扫描，采集IDA数据，完成代谢物初步鉴定；</w:t>
      </w:r>
    </w:p>
    <w:p w14:paraId="6009CA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广泛靶向检测基于非靶向结果结合自建数据库，构建项目专属MRM离子对列表，对全部样本进行MRM定量检测；每批次检测中按每10个样本插入1个QC样本的频率监控系统稳定性。</w:t>
      </w:r>
    </w:p>
    <w:p w14:paraId="2FD36E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4）质控评估</w:t>
      </w:r>
    </w:p>
    <w:p w14:paraId="6512A6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剔除QC样本CV ≥ 0.3的代谢物。</w:t>
      </w:r>
    </w:p>
    <w:p w14:paraId="3CF3F5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5）数据分析服务</w:t>
      </w:r>
    </w:p>
    <w:p w14:paraId="59B823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提供多变量统计分析、差异代谢物筛选、功能注释与富集分析等结果。</w:t>
      </w:r>
    </w:p>
    <w:p w14:paraId="4D6F30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6）报告交付与成果</w:t>
      </w:r>
    </w:p>
    <w:p w14:paraId="7126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交付完整结题报告，内容涵盖摘要、实验流程、数据评估、全部数据分析结果、参考文献及附录；全部图表以高分辨率图片形式随报告提供。</w:t>
      </w:r>
    </w:p>
    <w:p w14:paraId="2A8699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血液蛋白组</w:t>
      </w:r>
    </w:p>
    <w:p w14:paraId="32BE37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1）样本接收与初步评估</w:t>
      </w:r>
    </w:p>
    <w:p w14:paraId="65A014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提供标准化的血液样本采集、保存及运输标准。收到样本后完成样本状态检查，不合格样本及时反馈并协助补样。对合格样本统一编号、登记，建立完整的样本信息管理台账。</w:t>
      </w:r>
    </w:p>
    <w:p w14:paraId="47A1F4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2）样本前处理与检测服务</w:t>
      </w:r>
    </w:p>
    <w:p w14:paraId="7EA968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磁珠法富集低丰度蛋白，经酶解、脱盐、冻干、复溶及浓度测定后，使用高分辨质谱仪进行DIA数据采集。</w:t>
      </w:r>
    </w:p>
    <w:p w14:paraId="729D1E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3）质控与数据产出</w:t>
      </w:r>
    </w:p>
    <w:p w14:paraId="3E44A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提供肽段长度分布图、肽段数量分布图、肽段漏切位点数分布图。提供样本丰度值分布图、PCA分析图、样本间Pearson相关性热图等。</w:t>
      </w:r>
    </w:p>
    <w:p w14:paraId="49B801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4）生物信息学分析服务</w:t>
      </w:r>
    </w:p>
    <w:p w14:paraId="2C0C8F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提供差异表达分析、功能注释与富集分析和蛋白质特性分析、互作与网络分析、WPCNA分析结果。</w:t>
      </w:r>
    </w:p>
    <w:p w14:paraId="7E736C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5）报告交付与售后服务</w:t>
      </w:r>
    </w:p>
    <w:p w14:paraId="70F3E7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含材料与方法、结果展示、质量评估、差异分析、全套生信分析及附录。交付定性定量结果文件（含鉴定蛋白质列表、肽段列表、定量矩阵）、各功能注释结果文件、差异蛋白质筛选结果文件及各富集分析结果文件。</w:t>
      </w:r>
    </w:p>
    <w:p w14:paraId="2C523C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非靶向空间质谱成像（20 um）</w:t>
      </w:r>
    </w:p>
    <w:p w14:paraId="0EE69A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1）样本接收与切片制备</w:t>
      </w:r>
    </w:p>
    <w:p w14:paraId="44A774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提供标准化的组织样本采集、包埋及运输SOP，收到样本后完成样本状态评估，使用冰冻切片机将组织切成厚度-50 μm的薄片，贴附于ITO导电载玻片上，并对切片进行光学扫描记录。</w:t>
      </w:r>
    </w:p>
    <w:p w14:paraId="71F2F6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2）基质喷涂与质谱成像检测</w:t>
      </w:r>
    </w:p>
    <w:p w14:paraId="0D9F8C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通过自动喷涂仪将基质均匀覆盖组织表面，在20 μm空间分辨率下，对组织区域进行逐点激光解吸电离，采集m/z 50～1300范围内的质谱信号，获取每个像素点的质谱数据。</w:t>
      </w:r>
    </w:p>
    <w:p w14:paraId="395143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3）空间数据处理与可视化</w:t>
      </w:r>
    </w:p>
    <w:p w14:paraId="7A43CD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使用专业成像分析软件对原始数据进行平滑、基线校正及RMS归一化处理；</w:t>
      </w:r>
    </w:p>
    <w:p w14:paraId="63B81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提供各组织切片的平均质谱图、全部代谢物的空间分布热图。</w:t>
      </w:r>
    </w:p>
    <w:p w14:paraId="4C96C1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4）生物信息学分析</w:t>
      </w:r>
    </w:p>
    <w:p w14:paraId="7E6201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空间分割聚类、t-SNE/UMAP降维、代谢物共定位与网络分析、ROI划分定量等空间多维分析，以及OPLS-DA差异代谢物筛选、全套差异可视化（火山图/条形图/聚类热图/相关性网络/和弦图/K-means等）和KEGG功能注释与富集分析（含通路分类、Rich Factor等），分析流程规范可复现。</w:t>
      </w:r>
    </w:p>
    <w:p w14:paraId="704526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5）报告交付与售后服务</w:t>
      </w:r>
    </w:p>
    <w:p w14:paraId="784BFD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交付完整结题报告，含所有质谱图、空间分布图、分析结果及HE染色数字切片。交付全部原始质谱数据、预处理后的定量矩阵、差异代谢物列表及KEGG注释表等。</w:t>
      </w:r>
    </w:p>
    <w:p w14:paraId="2C76DF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空间转录组</w:t>
      </w:r>
    </w:p>
    <w:p w14:paraId="68A69B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1）样本接收与质量评估</w:t>
      </w:r>
    </w:p>
    <w:p w14:paraId="764898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提供标准化的组织样本采集、包埋及运输SOP；收到样本后完成质量评估（组织完整性、细胞形态、RNA质量），不合格样本反馈并协助补样。</w:t>
      </w:r>
    </w:p>
    <w:p w14:paraId="6448C2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2）切片制备与染色成像</w:t>
      </w:r>
    </w:p>
    <w:p w14:paraId="1BEE77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进行冰冻或石蜡切片，贴于标准组织载玻片有效区域内。完成邻片H&amp;E染色、图像扫描、脱色等处理。</w:t>
      </w:r>
    </w:p>
    <w:p w14:paraId="442A5F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3）探针杂交与文库构建</w:t>
      </w:r>
    </w:p>
    <w:p w14:paraId="0F0C19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通过CytAssist完成探针自动化转移至Visium HD捕获玻片，经探针延伸、洗脱收回后进行预扩增与文库构建。</w:t>
      </w:r>
    </w:p>
    <w:p w14:paraId="743C5A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4）高通量测序</w:t>
      </w:r>
    </w:p>
    <w:p w14:paraId="74E517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使用Illumina平台对文库进行双端测序。</w:t>
      </w:r>
    </w:p>
    <w:p w14:paraId="2E8C32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5）数据分析服务</w:t>
      </w:r>
    </w:p>
    <w:p w14:paraId="511D28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Space Ranger完成比对、定量及质控统计；细胞分割统计细胞数/基因中位数；提供降维聚类、差异基因、GO/KEGG富集分析及空间分布图；多样本整合分析。</w:t>
      </w:r>
    </w:p>
    <w:p w14:paraId="5A380A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6）报告交付与售后服务</w:t>
      </w:r>
    </w:p>
    <w:p w14:paraId="56DF2F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交付完整结题报告，含样本信息、测序质控统计、细胞定量统计、单样本及多样本分析结果、全套图表及附录；交付原始FASTQ数据、Space Ranger输出文件、.cloupe文件及全部中间结果文件。</w:t>
      </w:r>
    </w:p>
    <w:p w14:paraId="608AF2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单细胞单细胞转录组</w:t>
      </w:r>
    </w:p>
    <w:p w14:paraId="6568F0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1）样本接收与细胞悬液制备</w:t>
      </w:r>
    </w:p>
    <w:p w14:paraId="3FAC0C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提供标准化的样本采集、保存及运输SOP。细胞悬液制备，使用CountStar或同等精度细胞计数仪进行细胞计数及活性检测，记录细胞总数、活率、结团率等关键指标；不合格样本及时反馈并协助补样。</w:t>
      </w:r>
    </w:p>
    <w:p w14:paraId="5F90B7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2）单细胞捕获与文库构建</w:t>
      </w:r>
    </w:p>
    <w:p w14:paraId="048692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采用10x Genomics Chromium平台完成单细胞捕获、GEM生成及逆转录扩增，并对cDNA进行质控。采用配套3'文库构建试剂盒完成文库构建，经双重质控合格后上机测序，不合格样本应具备重建库能力。</w:t>
      </w:r>
    </w:p>
    <w:p w14:paraId="535DA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3）高通量测序</w:t>
      </w:r>
    </w:p>
    <w:p w14:paraId="24C297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采用Illumina NovaSeq平台进行双端测序；单样本数据量≥ 95G。</w:t>
      </w:r>
    </w:p>
    <w:p w14:paraId="079721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4）数据处理与质控</w:t>
      </w:r>
    </w:p>
    <w:p w14:paraId="7F5A52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使用10x Genomics官方Cell Ranger软件进行数据处理，完成序列过滤、参考基因组比对、barcode/UMI定量，输出单细胞基因表达矩阵。</w:t>
      </w:r>
    </w:p>
    <w:p w14:paraId="560343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提供完整的质控统计表（含有效细胞数、每个细胞平均读数、每个细胞基因中位数及UMI中位数、检测基因总数、各项Q30、Valid Barcodes比例、比对率等）。</w:t>
      </w:r>
    </w:p>
    <w:p w14:paraId="1FD8D8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5）数据分析服务</w:t>
      </w:r>
    </w:p>
    <w:p w14:paraId="7D3092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提供细胞亚群聚类（PCA/t-SNE/UMAP）、差异基因（火山图/小提琴图/热图）、细胞类型注释及GO/KEGG功能富集（柱状图/气泡图）等全套分析图表及结果，分析流程规范可复现，提供完整软件版本及参数说明。</w:t>
      </w:r>
    </w:p>
    <w:p w14:paraId="593793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报告交付与售后服务</w:t>
      </w:r>
    </w:p>
    <w:p w14:paraId="24D553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交付完整结题报告，含样本信息、细胞悬液质控结果、文库质控数据、测序质控统计、基础分析及差异分析结果、全套可视化图表及附录。</w:t>
      </w:r>
    </w:p>
    <w:p w14:paraId="6EF8CE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交付原始FASTQ数据、Cell Ranger输出文件（含表达矩阵及质控报告）、全部中间结果文件。</w:t>
      </w:r>
    </w:p>
    <w:p w14:paraId="1B8597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靶向代谢检测（FPP、GGPP）</w:t>
      </w:r>
    </w:p>
    <w:p w14:paraId="4570E5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样本接收与前处理</w:t>
      </w:r>
    </w:p>
    <w:p w14:paraId="5C9128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提供标准化的样本采集、保存及运输SOP，收到样本后完成样本状态评估，确认样本数量及质量，不合格样本及时反馈。</w:t>
      </w:r>
    </w:p>
    <w:p w14:paraId="58697F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对合格样本进行目标代谢物的提取，制备澄清上清液供LC-MS/MS分析。</w:t>
      </w:r>
    </w:p>
    <w:p w14:paraId="5C3C2C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2）LC-MS/MS检测</w:t>
      </w:r>
    </w:p>
    <w:p w14:paraId="58851F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以正负离子双模式结合MRM进行靶向检测，检测参数经标准品优化确认。</w:t>
      </w:r>
    </w:p>
    <w:p w14:paraId="4BA370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3）标准曲线构建与绝对定量</w:t>
      </w:r>
    </w:p>
    <w:p w14:paraId="2722E9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配制浓度梯度的混合标准品溶液，获取各浓度下目标代谢物的MRM峰面积，</w:t>
      </w:r>
    </w:p>
    <w:p w14:paraId="1ABE44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将样本中目标代谢物的积分峰面积代入标准曲线线性方程，得到样本中目标代谢物的绝对含量。</w:t>
      </w:r>
    </w:p>
    <w:p w14:paraId="3E772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4）报告交付与售后服务</w:t>
      </w:r>
    </w:p>
    <w:p w14:paraId="0C5344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交付完整结题报告，含实验方法、仪器参数、标准曲线信息、各样本定量结果及质控数据；交付全部原始数据文件及定量结果表。</w:t>
      </w:r>
    </w:p>
    <w:p w14:paraId="52008A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公司资质要求</w:t>
      </w:r>
      <w:bookmarkStart w:id="20" w:name="_GoBack"/>
      <w:bookmarkEnd w:id="20"/>
    </w:p>
    <w:p w14:paraId="00E19B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▲具备交互式交付，云平台交付能力。</w:t>
      </w:r>
    </w:p>
    <w:p w14:paraId="304458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▲供应商可提供Illumina Protein Prep（SomaSeq）大中华区官方授牌服务商证明的；无法提供的，可提供</w:t>
      </w:r>
      <w:r>
        <w:rPr>
          <w:rFonts w:hint="eastAsia" w:ascii="宋体" w:hAnsi="宋体" w:eastAsia="宋体" w:cs="宋体"/>
          <w:color w:val="auto"/>
          <w:sz w:val="24"/>
          <w:szCs w:val="24"/>
          <w:highlight w:val="none"/>
          <w:lang w:val="en-US" w:eastAsia="zh-CN"/>
        </w:rPr>
        <w:t>该</w:t>
      </w:r>
      <w:r>
        <w:rPr>
          <w:rFonts w:hint="eastAsia" w:ascii="宋体" w:hAnsi="宋体" w:eastAsia="宋体" w:cs="宋体"/>
          <w:color w:val="auto"/>
          <w:sz w:val="24"/>
          <w:szCs w:val="24"/>
          <w:highlight w:val="none"/>
        </w:rPr>
        <w:t>设备、技术或业绩证明材料替代，证明服务能力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331A36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三、验收标准</w:t>
      </w:r>
    </w:p>
    <w:p w14:paraId="33AD55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(1)供应商按技术要求交付结题报告。采购人在7个工作日内进行验收。</w:t>
      </w:r>
    </w:p>
    <w:p w14:paraId="54ACA2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(2)采购人对交付数据进行抽检验收确认数据完整性、格式规范性及分析结果合理性。</w:t>
      </w:r>
    </w:p>
    <w:p w14:paraId="2EB281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(3)如数据质量不达标或分析结果存在明显问题，供应商应在5个工作日内免费重新处理或补测。</w:t>
      </w:r>
    </w:p>
    <w:p w14:paraId="0A02CE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color w:val="auto"/>
          <w:sz w:val="24"/>
          <w:szCs w:val="24"/>
          <w:highlight w:val="none"/>
        </w:rPr>
        <w:t>付款方式</w:t>
      </w:r>
    </w:p>
    <w:p w14:paraId="5ACA67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1、合同签订后，</w:t>
      </w:r>
      <w:r>
        <w:rPr>
          <w:rFonts w:hint="eastAsia" w:ascii="宋体" w:hAnsi="宋体" w:eastAsia="宋体" w:cs="宋体"/>
          <w:color w:val="auto"/>
          <w:kern w:val="0"/>
          <w:sz w:val="24"/>
          <w:szCs w:val="24"/>
          <w:highlight w:val="none"/>
          <w:lang w:val="en-US" w:eastAsia="en-US" w:bidi="ar"/>
        </w:rPr>
        <w:t>采购人支付合同金额的</w:t>
      </w:r>
      <w:r>
        <w:rPr>
          <w:rFonts w:hint="eastAsia" w:ascii="宋体" w:hAnsi="宋体" w:cs="宋体"/>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val="en-US" w:eastAsia="en-US" w:bidi="ar"/>
        </w:rPr>
        <w:t>0%</w:t>
      </w:r>
      <w:r>
        <w:rPr>
          <w:rFonts w:hint="eastAsia" w:ascii="宋体" w:hAnsi="宋体" w:eastAsia="宋体" w:cs="宋体"/>
          <w:color w:val="auto"/>
          <w:kern w:val="0"/>
          <w:sz w:val="24"/>
          <w:szCs w:val="24"/>
          <w:highlight w:val="none"/>
          <w:lang w:val="en-US" w:eastAsia="zh-CN" w:bidi="ar"/>
        </w:rPr>
        <w:t>；</w:t>
      </w:r>
    </w:p>
    <w:p w14:paraId="44C62C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2、测序</w:t>
      </w:r>
      <w:r>
        <w:rPr>
          <w:rFonts w:hint="eastAsia" w:ascii="宋体" w:hAnsi="宋体" w:eastAsia="宋体" w:cs="宋体"/>
          <w:color w:val="auto"/>
          <w:kern w:val="0"/>
          <w:sz w:val="24"/>
          <w:szCs w:val="24"/>
          <w:highlight w:val="none"/>
          <w:lang w:val="en-US" w:eastAsia="en-US" w:bidi="ar"/>
        </w:rPr>
        <w:t>验收合格后采购人支付合同金额的</w:t>
      </w: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en-US" w:bidi="ar"/>
        </w:rPr>
        <w:t>0%</w:t>
      </w:r>
      <w:r>
        <w:rPr>
          <w:rFonts w:hint="eastAsia" w:ascii="宋体" w:hAnsi="宋体" w:eastAsia="宋体" w:cs="宋体"/>
          <w:color w:val="auto"/>
          <w:sz w:val="24"/>
          <w:szCs w:val="24"/>
          <w:highlight w:val="none"/>
        </w:rPr>
        <w:t>。</w:t>
      </w:r>
    </w:p>
    <w:p w14:paraId="7D99A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五、知识产权要求（投标人需提供承诺函）</w:t>
      </w:r>
    </w:p>
    <w:p w14:paraId="19355A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在履行合同过程中提供给投标人的全部图纸、文件和其他含有数据和信息的资料，其知识产权属于采购人。未经采购人同意，投标人不得将其用于本合同目的之外的其他用途，且不得擅自向第三方转让、披露。</w:t>
      </w:r>
    </w:p>
    <w:p w14:paraId="781F7B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2.如合同货物涉及知识产权，则投标人保证采购人在使用合同货物的过程中免于受到第三方提出的有关知识产权侵权的主张、索赔或诉讼的损失。</w:t>
      </w:r>
    </w:p>
    <w:p w14:paraId="79258A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采购人收到任何第三方有关知识产权的主张、索赔或诉讼，投标人应自负费用处理与第三方的索赔或诉讼，并赔偿采购人因此发生的费用和遭受的损失。如果投标人拒绝处理前述索赔或诉讼，采购人以自己的名义进行这些索赔或诉讼，因此发生的费用和遭受的损失均由投标人承担。</w:t>
      </w:r>
    </w:p>
    <w:p w14:paraId="7205C2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五、★服务时间及地点</w:t>
      </w:r>
    </w:p>
    <w:p w14:paraId="25D8E3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1、服务时间：自样本送达供应商之日起，应在30个工作日内完成样本处理、检测及基本数据分析工作，并提供之后一年的技术支持服务，原始数据、分析结果等数据全部交付后至少保留半年。</w:t>
      </w:r>
    </w:p>
    <w:p w14:paraId="086C3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eastAsia" w:ascii="宋体" w:hAnsi="宋体" w:eastAsia="宋体" w:cs="宋体"/>
          <w:color w:val="auto"/>
          <w:sz w:val="24"/>
          <w:szCs w:val="24"/>
          <w:highlight w:val="none"/>
        </w:rPr>
        <w:t>2、服务地点：采购人指定地点</w:t>
      </w:r>
    </w:p>
    <w:p w14:paraId="36CC88D7">
      <w:pPr>
        <w:pageBreakBefore w:val="0"/>
        <w:widowControl w:val="0"/>
        <w:numPr>
          <w:ilvl w:val="0"/>
          <w:numId w:val="0"/>
        </w:numPr>
        <w:tabs>
          <w:tab w:val="left" w:pos="540"/>
        </w:tabs>
        <w:kinsoku/>
        <w:wordWrap/>
        <w:overflowPunct/>
        <w:topLinePunct w:val="0"/>
        <w:autoSpaceDE/>
        <w:autoSpaceDN/>
        <w:bidi w:val="0"/>
        <w:adjustRightInd/>
        <w:snapToGrid/>
        <w:spacing w:line="360" w:lineRule="auto"/>
        <w:ind w:firstLine="420" w:firstLineChars="200"/>
        <w:jc w:val="left"/>
        <w:textAlignment w:val="auto"/>
        <w:rPr>
          <w:rFonts w:hint="eastAsia" w:ascii="Times New Roman Regular" w:hAnsi="Times New Roman Regular" w:eastAsia="宋体" w:cs="Times New Roman Regular"/>
          <w:color w:val="auto"/>
          <w:kern w:val="2"/>
          <w:sz w:val="21"/>
          <w:szCs w:val="24"/>
          <w:highlight w:val="none"/>
          <w:lang w:val="en-US" w:eastAsia="zh-CN" w:bidi="ar-SA"/>
        </w:rPr>
      </w:pPr>
    </w:p>
    <w:p w14:paraId="69952174">
      <w:pPr>
        <w:numPr>
          <w:ilvl w:val="0"/>
          <w:numId w:val="0"/>
        </w:numPr>
        <w:tabs>
          <w:tab w:val="left" w:pos="540"/>
        </w:tabs>
        <w:spacing w:line="360" w:lineRule="auto"/>
        <w:jc w:val="left"/>
        <w:rPr>
          <w:rFonts w:hint="eastAsia" w:ascii="Times New Roman Regular" w:hAnsi="Times New Roman Regular" w:eastAsia="宋体" w:cs="Times New Roman Regular"/>
          <w:color w:val="auto"/>
          <w:kern w:val="2"/>
          <w:sz w:val="21"/>
          <w:szCs w:val="24"/>
          <w:highlight w:val="none"/>
          <w:lang w:val="en-US" w:eastAsia="zh-CN" w:bidi="ar-SA"/>
        </w:rPr>
      </w:pPr>
    </w:p>
    <w:p w14:paraId="03104701">
      <w:pPr>
        <w:numPr>
          <w:ilvl w:val="0"/>
          <w:numId w:val="0"/>
        </w:numPr>
        <w:tabs>
          <w:tab w:val="left" w:pos="540"/>
        </w:tabs>
        <w:spacing w:line="360" w:lineRule="auto"/>
        <w:jc w:val="left"/>
        <w:rPr>
          <w:rFonts w:hint="eastAsia" w:ascii="Times New Roman Regular" w:hAnsi="Times New Roman Regular" w:eastAsia="宋体" w:cs="Times New Roman Regular"/>
          <w:color w:val="auto"/>
          <w:kern w:val="2"/>
          <w:sz w:val="21"/>
          <w:szCs w:val="24"/>
          <w:highlight w:val="none"/>
          <w:lang w:val="en-US" w:eastAsia="zh-CN" w:bidi="ar-SA"/>
        </w:rPr>
      </w:pPr>
    </w:p>
    <w:p w14:paraId="50EBC237">
      <w:pPr>
        <w:rPr>
          <w:rFonts w:hint="default" w:ascii="Times New Roman Regular" w:hAnsi="Times New Roman Regular" w:eastAsia="宋体" w:cs="Times New Roman Regular"/>
          <w:b/>
          <w:bCs/>
          <w:color w:val="auto"/>
          <w:kern w:val="0"/>
          <w:sz w:val="24"/>
          <w:szCs w:val="24"/>
          <w:highlight w:val="none"/>
          <w:lang w:val="en-US" w:eastAsia="zh-CN" w:bidi="ar-SA"/>
        </w:rPr>
      </w:pPr>
    </w:p>
    <w:p w14:paraId="7D67290C">
      <w:pPr>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Regular" w:hAnsi="Times New Roman Regular" w:eastAsia="宋体" w:cs="Times New Roman Regular"/>
          <w:color w:val="auto"/>
          <w:kern w:val="2"/>
          <w:sz w:val="21"/>
          <w:szCs w:val="24"/>
          <w:highlight w:val="none"/>
          <w:lang w:val="en-US" w:eastAsia="zh-CN" w:bidi="ar-SA"/>
        </w:rPr>
      </w:pPr>
    </w:p>
    <w:p w14:paraId="6414E0BD">
      <w:pPr>
        <w:pStyle w:val="3"/>
        <w:keepNext/>
        <w:keepLines/>
        <w:pageBreakBefore w:val="0"/>
        <w:widowControl w:val="0"/>
        <w:numPr>
          <w:ilvl w:val="0"/>
          <w:numId w:val="0"/>
        </w:numPr>
        <w:tabs>
          <w:tab w:val="left" w:pos="1440"/>
          <w:tab w:val="left" w:pos="5670"/>
        </w:tabs>
        <w:kinsoku/>
        <w:wordWrap/>
        <w:overflowPunct/>
        <w:topLinePunct w:val="0"/>
        <w:autoSpaceDE/>
        <w:autoSpaceDN/>
        <w:bidi w:val="0"/>
        <w:adjustRightInd/>
        <w:snapToGrid/>
        <w:spacing w:before="0" w:after="0" w:line="360" w:lineRule="auto"/>
        <w:jc w:val="center"/>
        <w:textAlignment w:val="auto"/>
        <w:rPr>
          <w:rFonts w:hint="default" w:ascii="宋体" w:hAnsi="宋体" w:eastAsia="宋体"/>
          <w:b w:val="0"/>
          <w:color w:val="auto"/>
          <w:kern w:val="2"/>
          <w:sz w:val="36"/>
          <w:szCs w:val="36"/>
          <w:highlight w:val="none"/>
          <w:lang w:val="en-US" w:eastAsia="zh-CN"/>
        </w:rPr>
      </w:pPr>
      <w:r>
        <w:rPr>
          <w:rFonts w:hint="eastAsia" w:ascii="宋体" w:hAnsi="宋体" w:eastAsia="宋体"/>
          <w:b w:val="0"/>
          <w:color w:val="auto"/>
          <w:kern w:val="2"/>
          <w:sz w:val="36"/>
          <w:szCs w:val="36"/>
          <w:highlight w:val="none"/>
          <w:lang w:val="zh-CN"/>
        </w:rPr>
        <w:br w:type="page"/>
      </w:r>
      <w:r>
        <w:rPr>
          <w:rFonts w:hint="eastAsia" w:ascii="宋体" w:hAnsi="宋体" w:eastAsia="宋体"/>
          <w:b w:val="0"/>
          <w:color w:val="auto"/>
          <w:kern w:val="2"/>
          <w:sz w:val="36"/>
          <w:szCs w:val="36"/>
          <w:highlight w:val="none"/>
          <w:lang w:val="zh-CN"/>
        </w:rPr>
        <w:t>第五章 合同</w:t>
      </w:r>
      <w:r>
        <w:rPr>
          <w:rFonts w:hint="eastAsia" w:ascii="宋体" w:hAnsi="宋体" w:eastAsia="宋体"/>
          <w:b w:val="0"/>
          <w:color w:val="auto"/>
          <w:kern w:val="2"/>
          <w:sz w:val="36"/>
          <w:szCs w:val="36"/>
          <w:highlight w:val="none"/>
          <w:lang w:val="en-US" w:eastAsia="zh-CN"/>
        </w:rPr>
        <w:t>主要条款及格式</w:t>
      </w:r>
    </w:p>
    <w:bookmarkEnd w:id="10"/>
    <w:bookmarkEnd w:id="11"/>
    <w:bookmarkEnd w:id="12"/>
    <w:bookmarkEnd w:id="13"/>
    <w:bookmarkEnd w:id="14"/>
    <w:bookmarkEnd w:id="15"/>
    <w:bookmarkEnd w:id="16"/>
    <w:p w14:paraId="274499DE">
      <w:pPr>
        <w:jc w:val="center"/>
        <w:rPr>
          <w:rFonts w:hint="default" w:ascii="Times New Roman" w:hAnsi="Times New Roman" w:cs="Times New Roman"/>
          <w:b/>
          <w:color w:val="auto"/>
          <w:szCs w:val="21"/>
          <w:highlight w:val="none"/>
        </w:rPr>
      </w:pPr>
      <w:bookmarkStart w:id="17" w:name="_Toc94432287"/>
      <w:r>
        <w:rPr>
          <w:rFonts w:hint="default" w:ascii="Times New Roman" w:hAnsi="Times New Roman" w:cs="Times New Roman"/>
          <w:b/>
          <w:color w:val="auto"/>
          <w:szCs w:val="21"/>
          <w:highlight w:val="none"/>
        </w:rPr>
        <w:t xml:space="preserve"> </w:t>
      </w:r>
      <w:r>
        <w:rPr>
          <w:rFonts w:hint="default" w:ascii="Times New Roman" w:hAnsi="Times New Roman" w:cs="Times New Roman"/>
          <w:b/>
          <w:color w:val="auto"/>
          <w:szCs w:val="21"/>
          <w:highlight w:val="none"/>
          <w:u w:val="single"/>
        </w:rPr>
        <w:t>（项目名称）</w:t>
      </w:r>
      <w:r>
        <w:rPr>
          <w:rFonts w:hint="default" w:ascii="Times New Roman" w:hAnsi="Times New Roman" w:cs="Times New Roman"/>
          <w:b/>
          <w:color w:val="auto"/>
          <w:szCs w:val="21"/>
          <w:highlight w:val="none"/>
        </w:rPr>
        <w:t>采购合同</w:t>
      </w:r>
    </w:p>
    <w:p w14:paraId="09C6B2D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（服务类）</w:t>
      </w:r>
    </w:p>
    <w:p w14:paraId="2624F461">
      <w:pPr>
        <w:jc w:val="center"/>
        <w:rPr>
          <w:rFonts w:hint="default" w:ascii="Times New Roman" w:hAnsi="Times New Roman" w:cs="Times New Roman"/>
          <w:b/>
          <w:color w:val="auto"/>
          <w:szCs w:val="21"/>
          <w:highlight w:val="none"/>
        </w:rPr>
      </w:pPr>
    </w:p>
    <w:p w14:paraId="1453198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14:paraId="7554AE6F">
      <w:pPr>
        <w:jc w:val="left"/>
        <w:rPr>
          <w:rFonts w:hint="default" w:ascii="Times New Roman" w:hAnsi="Times New Roman" w:cs="Times New Roman"/>
          <w:color w:val="auto"/>
          <w:szCs w:val="21"/>
          <w:highlight w:val="none"/>
          <w:u w:val="single"/>
        </w:rPr>
      </w:pPr>
      <w:r>
        <w:rPr>
          <w:rFonts w:hint="default" w:ascii="Times New Roman" w:hAnsi="Times New Roman" w:cs="Times New Roman"/>
          <w:b/>
          <w:color w:val="auto"/>
          <w:szCs w:val="21"/>
          <w:highlight w:val="none"/>
        </w:rPr>
        <w:t>甲方（采购人）</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p w14:paraId="2A886F5A">
      <w:pPr>
        <w:jc w:val="left"/>
        <w:rPr>
          <w:rFonts w:hint="default" w:ascii="Times New Roman" w:hAnsi="Times New Roman" w:cs="Times New Roman"/>
          <w:color w:val="auto"/>
          <w:szCs w:val="21"/>
          <w:highlight w:val="none"/>
          <w:u w:val="single"/>
        </w:rPr>
      </w:pPr>
      <w:r>
        <w:rPr>
          <w:rFonts w:hint="default" w:ascii="Times New Roman" w:hAnsi="Times New Roman" w:cs="Times New Roman"/>
          <w:b/>
          <w:color w:val="auto"/>
          <w:szCs w:val="21"/>
          <w:highlight w:val="none"/>
        </w:rPr>
        <w:t>乙方（供应商）</w:t>
      </w:r>
      <w:r>
        <w:rPr>
          <w:rFonts w:hint="default" w:ascii="Times New Roman" w:hAnsi="Times New Roman" w:cs="Times New Roman"/>
          <w:color w:val="auto"/>
          <w:szCs w:val="21"/>
          <w:highlight w:val="none"/>
        </w:rPr>
        <w:t>：</w:t>
      </w:r>
      <w:r>
        <w:rPr>
          <w:rFonts w:hint="default" w:ascii="Times New Roman" w:hAnsi="Times New Roman" w:cs="Times New Roman"/>
          <w:b/>
          <w:color w:val="auto"/>
          <w:szCs w:val="21"/>
          <w:highlight w:val="none"/>
          <w:u w:val="single"/>
        </w:rPr>
        <w:t xml:space="preserve">                          </w:t>
      </w:r>
    </w:p>
    <w:p w14:paraId="4C532D0A">
      <w:pPr>
        <w:jc w:val="left"/>
        <w:rPr>
          <w:rFonts w:hint="default" w:ascii="Times New Roman" w:hAnsi="Times New Roman" w:cs="Times New Roman"/>
          <w:color w:val="auto"/>
          <w:szCs w:val="21"/>
          <w:highlight w:val="none"/>
          <w:u w:val="single"/>
        </w:rPr>
      </w:pPr>
      <w:r>
        <w:rPr>
          <w:rFonts w:hint="default" w:ascii="Times New Roman" w:hAnsi="Times New Roman" w:cs="Times New Roman"/>
          <w:b/>
          <w:color w:val="auto"/>
          <w:szCs w:val="21"/>
          <w:highlight w:val="none"/>
        </w:rPr>
        <w:t>招标编号</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p>
    <w:p w14:paraId="3E095AE1">
      <w:pPr>
        <w:jc w:val="left"/>
        <w:rPr>
          <w:rFonts w:hint="default" w:ascii="Times New Roman" w:hAnsi="Times New Roman" w:cs="Times New Roman"/>
          <w:b/>
          <w:color w:val="auto"/>
          <w:szCs w:val="21"/>
          <w:highlight w:val="none"/>
          <w:u w:val="single"/>
        </w:rPr>
      </w:pPr>
      <w:r>
        <w:rPr>
          <w:rFonts w:hint="default" w:ascii="Times New Roman" w:hAnsi="Times New Roman" w:cs="Times New Roman"/>
          <w:b/>
          <w:color w:val="auto"/>
          <w:szCs w:val="21"/>
          <w:highlight w:val="none"/>
        </w:rPr>
        <w:t>签订时间：</w:t>
      </w:r>
      <w:r>
        <w:rPr>
          <w:rFonts w:hint="default" w:ascii="Times New Roman" w:hAnsi="Times New Roman" w:cs="Times New Roman"/>
          <w:color w:val="auto"/>
          <w:szCs w:val="21"/>
          <w:highlight w:val="none"/>
          <w:u w:val="single"/>
        </w:rPr>
        <w:t xml:space="preserve">               </w:t>
      </w:r>
    </w:p>
    <w:p w14:paraId="1D43FF97">
      <w:pPr>
        <w:jc w:val="left"/>
        <w:rPr>
          <w:rFonts w:hint="default" w:ascii="Times New Roman" w:hAnsi="Times New Roman" w:cs="Times New Roman"/>
          <w:color w:val="auto"/>
          <w:szCs w:val="21"/>
          <w:highlight w:val="none"/>
        </w:rPr>
      </w:pPr>
    </w:p>
    <w:p w14:paraId="704FC77B">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根据《中华人民共和国</w:t>
      </w:r>
      <w:r>
        <w:rPr>
          <w:rFonts w:hint="default" w:ascii="Times New Roman" w:hAnsi="Times New Roman" w:cs="Times New Roman"/>
          <w:color w:val="auto"/>
          <w:szCs w:val="21"/>
          <w:highlight w:val="none"/>
          <w:lang w:val="en-US" w:eastAsia="zh-CN"/>
        </w:rPr>
        <w:t>招标投标</w:t>
      </w:r>
      <w:r>
        <w:rPr>
          <w:rFonts w:hint="default" w:ascii="Times New Roman" w:hAnsi="Times New Roman" w:cs="Times New Roman"/>
          <w:color w:val="auto"/>
          <w:szCs w:val="21"/>
          <w:highlight w:val="none"/>
        </w:rPr>
        <w:t>法》《中华人民共和国</w:t>
      </w:r>
      <w:r>
        <w:rPr>
          <w:rFonts w:hint="default" w:ascii="Times New Roman" w:hAnsi="Times New Roman" w:cs="Times New Roman"/>
          <w:color w:val="auto"/>
          <w:szCs w:val="21"/>
          <w:highlight w:val="none"/>
          <w:lang w:val="en-US" w:eastAsia="zh-CN"/>
        </w:rPr>
        <w:t>民法典</w:t>
      </w:r>
      <w:r>
        <w:rPr>
          <w:rFonts w:hint="default" w:ascii="Times New Roman" w:hAnsi="Times New Roman" w:cs="Times New Roman"/>
          <w:color w:val="auto"/>
          <w:szCs w:val="21"/>
          <w:highlight w:val="none"/>
        </w:rPr>
        <w:t>》等法律、法规规定，按照</w:t>
      </w:r>
      <w:r>
        <w:rPr>
          <w:rFonts w:hint="default" w:ascii="Times New Roman" w:hAnsi="Times New Roman" w:cs="Times New Roman"/>
          <w:color w:val="auto"/>
          <w:szCs w:val="21"/>
          <w:highlight w:val="none"/>
          <w:u w:val="single"/>
        </w:rPr>
        <w:t xml:space="preserve"> 项目名称（招标编号：   ） </w:t>
      </w:r>
      <w:r>
        <w:rPr>
          <w:rFonts w:hint="default" w:ascii="Times New Roman" w:hAnsi="Times New Roman" w:cs="Times New Roman"/>
          <w:color w:val="auto"/>
          <w:szCs w:val="21"/>
          <w:highlight w:val="none"/>
        </w:rPr>
        <w:t>采购文件、投标（响应）文件规定条款和中标（成交）供应商承诺，甲方向乙方购置相关货物，双方同意以下内容（包括合同附件A、附件B）。</w:t>
      </w:r>
    </w:p>
    <w:p w14:paraId="413E703B">
      <w:pPr>
        <w:snapToGrid w:val="0"/>
        <w:spacing w:line="360" w:lineRule="auto"/>
        <w:ind w:firstLine="48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第一条　服务内容</w:t>
      </w:r>
    </w:p>
    <w:p w14:paraId="51F3A34D">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1、乙方所提供的服务必须与采购文件和承诺相一致。服务内容、时限、完成标准、服务费见合同附件A。</w:t>
      </w:r>
    </w:p>
    <w:p w14:paraId="2C927B9A">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如果乙方在工作中因自身过错而发生任何错误或遗漏，乙方应无条件更正，而不得向甲方另外收取服务费，并就因此而对甲方造成的损失承担赔偿责任，若因甲方原因造成工作的延误，将由甲方承担相应的损失。赔偿以合同附件A所载明的该项服务内容对应的服务费为限。</w:t>
      </w:r>
    </w:p>
    <w:p w14:paraId="056D1332">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3、乙方的服务承诺：</w:t>
      </w:r>
    </w:p>
    <w:p w14:paraId="667E0535">
      <w:pPr>
        <w:snapToGrid w:val="0"/>
        <w:spacing w:line="360" w:lineRule="auto"/>
        <w:ind w:firstLine="24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乙方接到甲方通过电话、信函传真、电子邮件、网上提交等方式提出关于附件A所列服务的请求后，在两个有效工作日内给予响应并提供服务。若乙方未予以响应，视为乙方认可甲方要求，乙方必须按照请求执行。</w:t>
      </w:r>
    </w:p>
    <w:p w14:paraId="16598039">
      <w:pPr>
        <w:snapToGrid w:val="0"/>
        <w:spacing w:line="360" w:lineRule="auto"/>
        <w:ind w:firstLine="24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（2）乙方提供给甲方的服务，必须按照合同附件A规定的标准进行。</w:t>
      </w:r>
    </w:p>
    <w:p w14:paraId="048FA26E">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第二条　服务费及支付方式</w:t>
      </w:r>
    </w:p>
    <w:p w14:paraId="2E2FDEE9">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1、服务费总金额为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元，大写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（人民币）:。</w:t>
      </w:r>
    </w:p>
    <w:p w14:paraId="289EF46A">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合同约定服务费仅包含合同附件A中列明的工作。如果甲方要求扩大项目范围，或因甲方改变已经议定的项目内容导致乙方需重复进行项目步骤，对于增加工作部分，双方应及时协商，无论服务费是否发生变更，均需签署《项目变更补充合同》作为依据。</w:t>
      </w:r>
    </w:p>
    <w:p w14:paraId="7FAF8F60">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甲乙双方一致同意项目服务费按阶段以人民币形式支付。每阶段末，甲方将在验收确认该阶段服务完成合格，并且乙方发出该阶段工作的服务费账单及正式有效的税务发票后个工作日内，向乙方支付约定的服务费。</w:t>
      </w:r>
    </w:p>
    <w:p w14:paraId="29CA2028">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r>
        <w:rPr>
          <w:rFonts w:hint="default" w:ascii="Times New Roman" w:hAnsi="Times New Roman" w:eastAsia="宋体" w:cs="Times New Roman"/>
          <w:color w:val="auto"/>
          <w:sz w:val="21"/>
          <w:szCs w:val="21"/>
          <w:highlight w:val="none"/>
        </w:rPr>
        <w:t>结算模式</w:t>
      </w:r>
      <w:r>
        <w:rPr>
          <w:rFonts w:hint="default" w:ascii="Times New Roman" w:hAnsi="Times New Roman" w:cs="Times New Roman"/>
          <w:color w:val="auto"/>
          <w:szCs w:val="21"/>
          <w:highlight w:val="none"/>
        </w:rPr>
        <w:t>：</w:t>
      </w:r>
    </w:p>
    <w:p w14:paraId="2CD5BE3F">
      <w:pPr>
        <w:numPr>
          <w:ilvl w:val="0"/>
          <w:numId w:val="0"/>
        </w:numPr>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本项目采用按批次结算的方式。每批次样本完成“送样接收—质量检测—上机测序—数据分析”全流程服务后，双方依据该批次实际完成的样本数量进行费用核算与支付</w:t>
      </w:r>
      <w:r>
        <w:rPr>
          <w:rFonts w:hint="default" w:ascii="Times New Roman" w:hAnsi="Times New Roman" w:eastAsia="宋体" w:cs="Times New Roman"/>
          <w:color w:val="auto"/>
          <w:sz w:val="21"/>
          <w:szCs w:val="21"/>
          <w:highlight w:val="none"/>
        </w:rPr>
        <w:t>。</w:t>
      </w:r>
    </w:p>
    <w:p w14:paraId="75BA4F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4"/>
          <w:szCs w:val="24"/>
          <w:highlight w:val="none"/>
        </w:rPr>
      </w:pPr>
      <w:r>
        <w:rPr>
          <w:rFonts w:hint="default" w:ascii="Times New Roman" w:hAnsi="Times New Roman" w:cs="Times New Roman"/>
          <w:color w:val="auto"/>
          <w:szCs w:val="21"/>
          <w:highlight w:val="none"/>
        </w:rPr>
        <w:t>5、具体的付款方式：</w:t>
      </w:r>
      <w:r>
        <w:rPr>
          <w:rFonts w:hint="eastAsia" w:ascii="宋体" w:hAnsi="宋体" w:eastAsia="宋体" w:cs="宋体"/>
          <w:color w:val="auto"/>
          <w:kern w:val="0"/>
          <w:sz w:val="24"/>
          <w:szCs w:val="24"/>
          <w:highlight w:val="none"/>
          <w:lang w:val="en-US" w:eastAsia="zh-CN" w:bidi="ar"/>
        </w:rPr>
        <w:t>合同签订后，</w:t>
      </w:r>
      <w:r>
        <w:rPr>
          <w:rFonts w:hint="eastAsia" w:ascii="宋体" w:hAnsi="宋体" w:eastAsia="宋体" w:cs="宋体"/>
          <w:color w:val="auto"/>
          <w:kern w:val="0"/>
          <w:sz w:val="24"/>
          <w:szCs w:val="24"/>
          <w:highlight w:val="none"/>
          <w:lang w:val="en-US" w:eastAsia="en-US" w:bidi="ar"/>
        </w:rPr>
        <w:t>采购人支付合同金额的</w:t>
      </w:r>
      <w:r>
        <w:rPr>
          <w:rFonts w:hint="eastAsia" w:ascii="宋体" w:hAnsi="宋体" w:cs="宋体"/>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val="en-US" w:eastAsia="en-US" w:bidi="ar"/>
        </w:rPr>
        <w:t>0%</w:t>
      </w:r>
      <w:r>
        <w:rPr>
          <w:rFonts w:hint="eastAsia" w:ascii="宋体" w:hAnsi="宋体" w:eastAsia="宋体" w:cs="宋体"/>
          <w:color w:val="auto"/>
          <w:kern w:val="0"/>
          <w:sz w:val="24"/>
          <w:szCs w:val="24"/>
          <w:highlight w:val="none"/>
          <w:lang w:val="en-US" w:eastAsia="zh-CN" w:bidi="ar"/>
        </w:rPr>
        <w:t>，测序</w:t>
      </w:r>
      <w:r>
        <w:rPr>
          <w:rFonts w:hint="eastAsia" w:ascii="宋体" w:hAnsi="宋体" w:eastAsia="宋体" w:cs="宋体"/>
          <w:color w:val="auto"/>
          <w:kern w:val="0"/>
          <w:sz w:val="24"/>
          <w:szCs w:val="24"/>
          <w:highlight w:val="none"/>
          <w:lang w:val="en-US" w:eastAsia="en-US" w:bidi="ar"/>
        </w:rPr>
        <w:t>验收合格后采购人支付合同金额的</w:t>
      </w: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en-US" w:bidi="ar"/>
        </w:rPr>
        <w:t>0%</w:t>
      </w:r>
      <w:r>
        <w:rPr>
          <w:rFonts w:hint="eastAsia" w:ascii="宋体" w:hAnsi="宋体" w:eastAsia="宋体" w:cs="宋体"/>
          <w:color w:val="auto"/>
          <w:sz w:val="24"/>
          <w:szCs w:val="24"/>
          <w:highlight w:val="none"/>
        </w:rPr>
        <w:t>。</w:t>
      </w:r>
    </w:p>
    <w:p w14:paraId="01223575">
      <w:pPr>
        <w:snapToGrid w:val="0"/>
        <w:spacing w:line="360" w:lineRule="auto"/>
        <w:ind w:left="-61" w:leftChars="-29" w:firstLine="514" w:firstLineChars="245"/>
        <w:rPr>
          <w:rFonts w:hint="default" w:ascii="Times New Roman" w:hAnsi="Times New Roman" w:cs="Times New Roman"/>
          <w:color w:val="auto"/>
          <w:szCs w:val="21"/>
          <w:highlight w:val="none"/>
        </w:rPr>
      </w:pPr>
    </w:p>
    <w:p w14:paraId="11532FAC">
      <w:pPr>
        <w:snapToGrid w:val="0"/>
        <w:spacing w:line="360" w:lineRule="auto"/>
        <w:ind w:left="-61" w:leftChars="-29" w:firstLine="514" w:firstLineChars="245"/>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6、有关发票方面的任何问题，甲方应在收到发票后及时书面通知乙方，乙方应及时作出解释或解决问题，以使甲方能按时付款。</w:t>
      </w:r>
    </w:p>
    <w:p w14:paraId="2FA739B2">
      <w:pPr>
        <w:snapToGrid w:val="0"/>
        <w:spacing w:line="360" w:lineRule="auto"/>
        <w:ind w:left="-61" w:leftChars="-29" w:firstLine="514" w:firstLineChars="245"/>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7、乙方将自行承担项目实施范围内合理的差旅费用。</w:t>
      </w:r>
    </w:p>
    <w:p w14:paraId="1EF69A39">
      <w:pPr>
        <w:snapToGrid w:val="0"/>
        <w:spacing w:line="360" w:lineRule="auto"/>
        <w:ind w:left="-61" w:leftChars="-29" w:firstLine="514" w:firstLineChars="245"/>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8、乙方同意免除项目杂费。</w:t>
      </w:r>
    </w:p>
    <w:p w14:paraId="6047431E">
      <w:pPr>
        <w:snapToGrid w:val="0"/>
        <w:spacing w:line="360" w:lineRule="auto"/>
        <w:ind w:left="-61" w:leftChars="-29" w:firstLine="514" w:firstLineChars="245"/>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履约时间：自乙方收到甲方送达的合格组织切片样本之日起，2个月（60个自然日）内完成该批次样本的质检、透化、反转录、文库构建、上机测序及初步生物信息学分析，并向甲方交付原始测序数据（FASTQ格式）、表达矩阵及基础可视化报告。自该批次测序数据交付之日起2年内，乙方免费为甲方提供基于该批次数据的个性化深度分析服务（包括但不限于特定基因集空间定位分析、细胞互作推断、区域差异表达重分析等），个性化分析需求的响应周期由双方根据分析复杂度另行协商约定。</w:t>
      </w:r>
    </w:p>
    <w:p w14:paraId="660323FF">
      <w:pPr>
        <w:snapToGrid w:val="0"/>
        <w:spacing w:line="360" w:lineRule="auto"/>
        <w:ind w:left="-61" w:leftChars="-29" w:firstLine="588"/>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第三条　履约保证金</w:t>
      </w:r>
    </w:p>
    <w:p w14:paraId="12634068">
      <w:pPr>
        <w:snapToGrid w:val="0"/>
        <w:spacing w:line="360" w:lineRule="auto"/>
        <w:ind w:left="-61" w:leftChars="-29" w:firstLine="588"/>
        <w:rPr>
          <w:rFonts w:hint="default" w:ascii="Times New Roman" w:hAnsi="Times New Roman" w:cs="Times New Roman"/>
          <w:color w:val="auto"/>
          <w:szCs w:val="21"/>
          <w:highlight w:val="none"/>
        </w:rPr>
      </w:pPr>
      <w:r>
        <w:rPr>
          <w:rFonts w:hint="eastAsia" w:ascii="Times New Roman" w:hAnsi="Times New Roman" w:eastAsia="宋体" w:cs="Times New Roman"/>
          <w:b w:val="0"/>
          <w:bCs w:val="0"/>
          <w:color w:val="auto"/>
          <w:sz w:val="21"/>
          <w:szCs w:val="21"/>
          <w:highlight w:val="none"/>
          <w:u w:val="single"/>
          <w:lang w:val="en-US" w:eastAsia="zh-CN"/>
        </w:rPr>
        <w:t xml:space="preserve">    /   </w:t>
      </w:r>
      <w:r>
        <w:rPr>
          <w:rFonts w:hint="default" w:ascii="Times New Roman" w:hAnsi="Times New Roman" w:cs="Times New Roman"/>
          <w:color w:val="auto"/>
          <w:szCs w:val="21"/>
          <w:highlight w:val="none"/>
        </w:rPr>
        <w:t>。</w:t>
      </w:r>
    </w:p>
    <w:p w14:paraId="0296F737">
      <w:pPr>
        <w:snapToGrid w:val="0"/>
        <w:spacing w:line="360" w:lineRule="auto"/>
        <w:ind w:firstLine="48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第四条　合同的变更、终止与转让</w:t>
      </w:r>
    </w:p>
    <w:p w14:paraId="255AC2CA">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1、按照《中华人民共和国政府采购法》第50条规定，本合同一经签订，甲乙双方不得擅自变更、中止或终止。</w:t>
      </w:r>
    </w:p>
    <w:p w14:paraId="0736E3DA">
      <w:pPr>
        <w:snapToGrid w:val="0"/>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2、乙方不得擅自转让其应履行的合同义务。</w:t>
      </w:r>
    </w:p>
    <w:p w14:paraId="4ECAAAB1">
      <w:pPr>
        <w:snapToGrid w:val="0"/>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3、双方除非事先得到对方的书面同意或本合同另有约定，任何一方不得将本合同项下的任何权利、义务、责任转让给任何第三方。</w:t>
      </w:r>
    </w:p>
    <w:p w14:paraId="2A0250CE">
      <w:pPr>
        <w:snapToGrid w:val="0"/>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4、乙方逾期未完成约定义务超过日，甲方有权单方解除本合同。</w:t>
      </w:r>
    </w:p>
    <w:p w14:paraId="660E94D9">
      <w:pPr>
        <w:snapToGrid w:val="0"/>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5、乙方履行本合同约定义务时，未达到甲方要求，修改或整改超过次，仍然无法达到甲方要求，甲方有权单方解除本合同。</w:t>
      </w:r>
    </w:p>
    <w:p w14:paraId="4E9C6CB1">
      <w:pPr>
        <w:snapToGrid w:val="0"/>
        <w:spacing w:line="360" w:lineRule="auto"/>
        <w:ind w:left="56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第五条</w:t>
      </w:r>
      <w:r>
        <w:rPr>
          <w:rFonts w:hint="default" w:ascii="Times New Roman" w:hAnsi="Times New Roman" w:cs="Times New Roman"/>
          <w:b/>
          <w:color w:val="auto"/>
          <w:szCs w:val="21"/>
          <w:highlight w:val="none"/>
          <w:lang w:val="en-US" w:eastAsia="zh-CN"/>
        </w:rPr>
        <w:t xml:space="preserve">  </w:t>
      </w:r>
      <w:r>
        <w:rPr>
          <w:rFonts w:hint="default" w:ascii="Times New Roman" w:hAnsi="Times New Roman" w:cs="Times New Roman"/>
          <w:b/>
          <w:color w:val="auto"/>
          <w:szCs w:val="21"/>
          <w:highlight w:val="none"/>
        </w:rPr>
        <w:t>违约责任</w:t>
      </w:r>
    </w:p>
    <w:p w14:paraId="54E91141">
      <w:pPr>
        <w:snapToGrid w:val="0"/>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1、乙方应提供符合本合同约定和行业规范及惯例的专业化服务，如果达不到甲方的要求，乙方应立即更换人员或改进方法，以达到甲方要求。乙方如因服务错误、失误等原因导致甲方解除合同，乙方应承担全部责任外，还应退甲方还全部服务费。 </w:t>
      </w:r>
    </w:p>
    <w:p w14:paraId="3DB7806C">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乙方如果未按本合同约定的服务内容和方式履行合同项下义务，则甲方可以采取必要的补救措施，由此产生的风险和费用将由乙方承担。同时，甲方有权决定是否继续履行合同。如果甲方解除合同，则乙方应退还全部服务费并承担由此而给甲方造成的损失。</w:t>
      </w:r>
    </w:p>
    <w:p w14:paraId="1190FBC2">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3、乙方逾期完成服务的，乙方应按本合同约定服务费总金额每日1‰比例向甲方支付违约金，由甲方从待付款中扣除；逾期超过约定日期15个工作日不能完成服务的，甲方可解除本合同。</w:t>
      </w:r>
    </w:p>
    <w:p w14:paraId="4E3FB888">
      <w:pPr>
        <w:snapToGrid w:val="0"/>
        <w:spacing w:line="360" w:lineRule="auto"/>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4、乙方因逾期完成服务或因其他违约行为导致甲方解除合同的，乙方应向甲方支付本合同约定服务费总金额10%比例的违约金，如造成甲方损失超过违约金的，超出部分由乙方继续承担赔偿责任。</w:t>
      </w:r>
    </w:p>
    <w:p w14:paraId="56499131">
      <w:pPr>
        <w:snapToGrid w:val="0"/>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第六条　争议处理</w:t>
      </w:r>
    </w:p>
    <w:p w14:paraId="6AD9354A">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甲乙双方如对本合同约定条款的理解存在歧义或在本合同履行过程中发生争议，双方应友好协商解决，协商不能解决的，任何一方均可向甲方所在地人民法院提起诉讼。</w:t>
      </w:r>
    </w:p>
    <w:p w14:paraId="5EFE86B7">
      <w:pPr>
        <w:snapToGrid w:val="0"/>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第七条</w:t>
      </w:r>
      <w:r>
        <w:rPr>
          <w:rFonts w:hint="default" w:ascii="Times New Roman" w:hAnsi="Times New Roman" w:cs="Times New Roman"/>
          <w:b/>
          <w:color w:val="auto"/>
          <w:szCs w:val="21"/>
          <w:highlight w:val="none"/>
          <w:lang w:val="en-US" w:eastAsia="zh-CN"/>
        </w:rPr>
        <w:t xml:space="preserve">  </w:t>
      </w:r>
      <w:r>
        <w:rPr>
          <w:rFonts w:hint="default" w:ascii="Times New Roman" w:hAnsi="Times New Roman" w:cs="Times New Roman"/>
          <w:b/>
          <w:color w:val="auto"/>
          <w:szCs w:val="21"/>
          <w:highlight w:val="none"/>
        </w:rPr>
        <w:t>不可抗力</w:t>
      </w:r>
    </w:p>
    <w:p w14:paraId="2AFE7B3B">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不可抗力”是指所有超出本合同双方控制范围的事件，该事件应不可预见，或虽然可以预见，但通过合理努力无法阻止或避免其发生，且这类事件发生于本合同签字之后，并且阻止任何一方全部或部分履行本合同。</w:t>
      </w:r>
    </w:p>
    <w:p w14:paraId="7A70E607">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由于不可抗力事件，致使任何一方不能履行其在本合同项下的义务，该方不承担由此给另一方造成的损失；该方应及时通知另一方其不能履行或延迟履行合同义务的原因，并应尽快向另一方提供有关发生不可抗力的证明文件，按事故对本合同的影响程度，双方协商是否终止本合同，或部分免除本合同的义务。</w:t>
      </w:r>
    </w:p>
    <w:p w14:paraId="59E1A7E4">
      <w:pPr>
        <w:snapToGrid w:val="0"/>
        <w:spacing w:line="360" w:lineRule="auto"/>
        <w:ind w:firstLine="422" w:firstLineChars="200"/>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第八条</w:t>
      </w:r>
      <w:r>
        <w:rPr>
          <w:rFonts w:hint="default" w:ascii="Times New Roman" w:hAnsi="Times New Roman" w:cs="Times New Roman"/>
          <w:b/>
          <w:color w:val="auto"/>
          <w:szCs w:val="21"/>
          <w:highlight w:val="none"/>
          <w:lang w:val="en-US" w:eastAsia="zh-CN"/>
        </w:rPr>
        <w:t xml:space="preserve">  </w:t>
      </w:r>
      <w:r>
        <w:rPr>
          <w:rFonts w:hint="default" w:ascii="Times New Roman" w:hAnsi="Times New Roman" w:cs="Times New Roman"/>
          <w:b/>
          <w:color w:val="auto"/>
          <w:szCs w:val="21"/>
          <w:highlight w:val="none"/>
        </w:rPr>
        <w:t>其他</w:t>
      </w:r>
    </w:p>
    <w:p w14:paraId="1E91A9E0">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1、合同附件A和合同附件B是本合同不可分割的组成部分，与本合同具有同等法律效力。</w:t>
      </w:r>
    </w:p>
    <w:p w14:paraId="5AC2D839">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2、本合同未尽事宜，由甲乙双方负责人协商后达成书面补充协议，补充协议具备与本合同同等法律效力。</w:t>
      </w:r>
    </w:p>
    <w:p w14:paraId="33A1D8FE">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3、对本合同内容的任何修改和变更需要用书面形式，并经双方签字盖章后生效。</w:t>
      </w:r>
    </w:p>
    <w:p w14:paraId="43ADB1F5">
      <w:pPr>
        <w:snapToGrid w:val="0"/>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第九条　签订本合同依据</w:t>
      </w:r>
    </w:p>
    <w:p w14:paraId="7E1843C7">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1、甲方发出的采购文件、中标（成交）通知书；</w:t>
      </w:r>
    </w:p>
    <w:p w14:paraId="5B07F8F2">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2、乙方提供的投标（响应）文件；</w:t>
      </w:r>
    </w:p>
    <w:p w14:paraId="347930FB">
      <w:pPr>
        <w:snapToGrid w:val="0"/>
        <w:spacing w:line="360" w:lineRule="auto"/>
        <w:ind w:firstLine="420" w:firstLineChars="20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3、投标承诺书。</w:t>
      </w:r>
    </w:p>
    <w:p w14:paraId="533ADD1B">
      <w:pPr>
        <w:snapToGrid w:val="0"/>
        <w:spacing w:line="360" w:lineRule="auto"/>
        <w:ind w:firstLine="422" w:firstLineChars="200"/>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第十条　</w:t>
      </w:r>
      <w:r>
        <w:rPr>
          <w:rFonts w:hint="default" w:ascii="Times New Roman" w:hAnsi="Times New Roman" w:cs="Times New Roman"/>
          <w:color w:val="auto"/>
          <w:szCs w:val="21"/>
          <w:highlight w:val="none"/>
        </w:rPr>
        <w:t>本合同一式</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份，甲方</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份，乙方</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份。（如有需要可另增加）</w:t>
      </w:r>
    </w:p>
    <w:p w14:paraId="60961446">
      <w:pPr>
        <w:snapToGri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本合同自甲乙双方签字盖章后生效。</w:t>
      </w:r>
    </w:p>
    <w:p w14:paraId="2608ACE5">
      <w:pPr>
        <w:snapToGrid w:val="0"/>
        <w:spacing w:line="360" w:lineRule="auto"/>
        <w:ind w:firstLine="420" w:firstLineChars="200"/>
        <w:rPr>
          <w:rFonts w:hint="default" w:ascii="Times New Roman" w:hAnsi="Times New Roman" w:cs="Times New Roman"/>
          <w:color w:val="auto"/>
          <w:szCs w:val="21"/>
          <w:highlight w:val="none"/>
        </w:rPr>
      </w:pPr>
    </w:p>
    <w:p w14:paraId="097A352F">
      <w:pPr>
        <w:snapToGrid w:val="0"/>
        <w:spacing w:line="360" w:lineRule="auto"/>
        <w:ind w:firstLine="420" w:firstLineChars="200"/>
        <w:rPr>
          <w:rFonts w:hint="default" w:ascii="Times New Roman" w:hAnsi="Times New Roman" w:cs="Times New Roman"/>
          <w:color w:val="auto"/>
          <w:szCs w:val="21"/>
          <w:highlight w:val="none"/>
        </w:rPr>
      </w:pPr>
    </w:p>
    <w:p w14:paraId="40C90F6C">
      <w:pPr>
        <w:snapToGrid w:val="0"/>
        <w:spacing w:line="360" w:lineRule="auto"/>
        <w:ind w:firstLine="420" w:firstLineChars="200"/>
        <w:rPr>
          <w:rFonts w:hint="default" w:ascii="Times New Roman" w:hAnsi="Times New Roman" w:cs="Times New Roman"/>
          <w:color w:val="auto"/>
          <w:szCs w:val="21"/>
          <w:highlight w:val="none"/>
        </w:rPr>
      </w:pPr>
    </w:p>
    <w:p w14:paraId="7496C2BB">
      <w:pPr>
        <w:snapToGrid w:val="0"/>
        <w:spacing w:line="360" w:lineRule="auto"/>
        <w:ind w:firstLine="420" w:firstLineChars="200"/>
        <w:rPr>
          <w:rFonts w:hint="default" w:ascii="Times New Roman" w:hAnsi="Times New Roman" w:cs="Times New Roman"/>
          <w:color w:val="auto"/>
          <w:szCs w:val="21"/>
          <w:highlight w:val="none"/>
        </w:rPr>
      </w:pPr>
    </w:p>
    <w:p w14:paraId="3D89F530">
      <w:pPr>
        <w:snapToGrid w:val="0"/>
        <w:spacing w:line="360" w:lineRule="auto"/>
        <w:ind w:firstLine="420" w:firstLineChars="200"/>
        <w:rPr>
          <w:rFonts w:hint="default" w:ascii="Times New Roman" w:hAnsi="Times New Roman" w:cs="Times New Roman"/>
          <w:color w:val="auto"/>
          <w:szCs w:val="21"/>
          <w:highlight w:val="none"/>
        </w:rPr>
      </w:pPr>
    </w:p>
    <w:p w14:paraId="625C5C7B">
      <w:pPr>
        <w:widowControl/>
        <w:jc w:val="left"/>
        <w:rPr>
          <w:rFonts w:hint="default" w:ascii="Times New Roman" w:hAnsi="Times New Roman" w:cs="Times New Roman"/>
          <w:b/>
          <w:color w:val="auto"/>
          <w:szCs w:val="21"/>
          <w:highlight w:val="none"/>
        </w:rPr>
      </w:pPr>
    </w:p>
    <w:p w14:paraId="4D9FD06D">
      <w:pPr>
        <w:widowControl/>
        <w:jc w:val="left"/>
        <w:rPr>
          <w:rFonts w:hint="default" w:ascii="Times New Roman" w:hAnsi="Times New Roman" w:cs="Times New Roman"/>
          <w:b/>
          <w:color w:val="auto"/>
          <w:szCs w:val="21"/>
          <w:highlight w:val="none"/>
        </w:rPr>
      </w:pPr>
    </w:p>
    <w:p w14:paraId="64A64853">
      <w:pPr>
        <w:widowControl/>
        <w:jc w:val="left"/>
        <w:rPr>
          <w:rFonts w:hint="default" w:ascii="Times New Roman" w:hAnsi="Times New Roman" w:cs="Times New Roman"/>
          <w:b/>
          <w:color w:val="auto"/>
          <w:szCs w:val="21"/>
          <w:highlight w:val="none"/>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450D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19" w:hRule="atLeast"/>
        </w:trPr>
        <w:tc>
          <w:tcPr>
            <w:tcW w:w="4516" w:type="dxa"/>
            <w:noWrap w:val="0"/>
            <w:vAlign w:val="center"/>
          </w:tcPr>
          <w:p w14:paraId="5D020F66">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甲方（公章）</w:t>
            </w:r>
          </w:p>
          <w:p w14:paraId="75033916">
            <w:pPr>
              <w:spacing w:line="360" w:lineRule="auto"/>
              <w:ind w:firstLine="560"/>
              <w:jc w:val="left"/>
              <w:rPr>
                <w:rFonts w:hint="default" w:ascii="Times New Roman" w:hAnsi="Times New Roman" w:cs="Times New Roman"/>
                <w:color w:val="auto"/>
                <w:szCs w:val="21"/>
                <w:highlight w:val="none"/>
              </w:rPr>
            </w:pPr>
          </w:p>
          <w:p w14:paraId="7AFD2BB0">
            <w:pPr>
              <w:spacing w:line="360" w:lineRule="auto"/>
              <w:ind w:firstLine="560"/>
              <w:jc w:val="left"/>
              <w:rPr>
                <w:rFonts w:hint="default" w:ascii="Times New Roman" w:hAnsi="Times New Roman" w:cs="Times New Roman"/>
                <w:color w:val="auto"/>
                <w:szCs w:val="21"/>
                <w:highlight w:val="none"/>
              </w:rPr>
            </w:pPr>
          </w:p>
          <w:p w14:paraId="178D32B1">
            <w:pPr>
              <w:spacing w:line="360" w:lineRule="auto"/>
              <w:ind w:firstLine="525" w:firstLineChars="25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tc>
        <w:tc>
          <w:tcPr>
            <w:tcW w:w="4517" w:type="dxa"/>
            <w:noWrap w:val="0"/>
            <w:vAlign w:val="center"/>
          </w:tcPr>
          <w:p w14:paraId="2A45E084">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乙方（公章）</w:t>
            </w:r>
          </w:p>
          <w:p w14:paraId="09BFDF2A">
            <w:pPr>
              <w:spacing w:line="360" w:lineRule="auto"/>
              <w:ind w:firstLine="560"/>
              <w:jc w:val="left"/>
              <w:rPr>
                <w:rFonts w:hint="default" w:ascii="Times New Roman" w:hAnsi="Times New Roman" w:cs="Times New Roman"/>
                <w:color w:val="auto"/>
                <w:szCs w:val="21"/>
                <w:highlight w:val="none"/>
              </w:rPr>
            </w:pPr>
          </w:p>
          <w:p w14:paraId="42B96589">
            <w:pPr>
              <w:spacing w:line="360" w:lineRule="auto"/>
              <w:ind w:firstLine="560"/>
              <w:jc w:val="left"/>
              <w:rPr>
                <w:rFonts w:hint="default" w:ascii="Times New Roman" w:hAnsi="Times New Roman" w:cs="Times New Roman"/>
                <w:color w:val="auto"/>
                <w:szCs w:val="21"/>
                <w:highlight w:val="none"/>
              </w:rPr>
            </w:pPr>
          </w:p>
          <w:p w14:paraId="666874B8">
            <w:pPr>
              <w:spacing w:line="360" w:lineRule="auto"/>
              <w:ind w:firstLine="525" w:firstLineChars="25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tc>
      </w:tr>
      <w:tr w14:paraId="71F7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6" w:hRule="atLeast"/>
        </w:trPr>
        <w:tc>
          <w:tcPr>
            <w:tcW w:w="4516" w:type="dxa"/>
            <w:noWrap w:val="0"/>
            <w:vAlign w:val="center"/>
          </w:tcPr>
          <w:p w14:paraId="59C0F953">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单位地址： </w:t>
            </w:r>
          </w:p>
        </w:tc>
        <w:tc>
          <w:tcPr>
            <w:tcW w:w="4517" w:type="dxa"/>
            <w:noWrap w:val="0"/>
            <w:vAlign w:val="center"/>
          </w:tcPr>
          <w:p w14:paraId="1F6BAFD3">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单位地址：</w:t>
            </w:r>
            <w:r>
              <w:rPr>
                <w:rFonts w:hint="default" w:ascii="Times New Roman" w:hAnsi="Times New Roman" w:cs="Times New Roman"/>
                <w:color w:val="auto"/>
                <w:szCs w:val="21"/>
                <w:highlight w:val="none"/>
                <w:u w:val="single"/>
              </w:rPr>
              <w:t xml:space="preserve">                   </w:t>
            </w:r>
          </w:p>
        </w:tc>
      </w:tr>
      <w:tr w14:paraId="4560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7" w:hRule="atLeast"/>
        </w:trPr>
        <w:tc>
          <w:tcPr>
            <w:tcW w:w="4516" w:type="dxa"/>
            <w:noWrap w:val="0"/>
            <w:vAlign w:val="center"/>
          </w:tcPr>
          <w:p w14:paraId="1C18A338">
            <w:pPr>
              <w:spacing w:before="156" w:beforeLines="50"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法定代表人（或委托代理人）</w:t>
            </w:r>
          </w:p>
          <w:p w14:paraId="758319C4">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（签字）：</w:t>
            </w:r>
          </w:p>
          <w:p w14:paraId="1BEA43AA">
            <w:pPr>
              <w:spacing w:line="360" w:lineRule="auto"/>
              <w:jc w:val="left"/>
              <w:rPr>
                <w:rFonts w:hint="default" w:ascii="Times New Roman" w:hAnsi="Times New Roman" w:cs="Times New Roman"/>
                <w:color w:val="auto"/>
                <w:szCs w:val="21"/>
                <w:highlight w:val="none"/>
              </w:rPr>
            </w:pPr>
          </w:p>
          <w:p w14:paraId="50CF331F">
            <w:pPr>
              <w:spacing w:line="360" w:lineRule="auto"/>
              <w:jc w:val="left"/>
              <w:rPr>
                <w:rFonts w:hint="default" w:ascii="Times New Roman" w:hAnsi="Times New Roman" w:cs="Times New Roman"/>
                <w:color w:val="auto"/>
                <w:szCs w:val="21"/>
                <w:highlight w:val="none"/>
              </w:rPr>
            </w:pPr>
          </w:p>
        </w:tc>
        <w:tc>
          <w:tcPr>
            <w:tcW w:w="4517" w:type="dxa"/>
            <w:noWrap w:val="0"/>
            <w:vAlign w:val="center"/>
          </w:tcPr>
          <w:p w14:paraId="025FE0FB">
            <w:pPr>
              <w:spacing w:before="156" w:beforeLines="50"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法定代表人（或委托代理人）</w:t>
            </w:r>
          </w:p>
          <w:p w14:paraId="09C94C45">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（签字）：</w:t>
            </w:r>
          </w:p>
          <w:p w14:paraId="366464D0">
            <w:pPr>
              <w:spacing w:line="360" w:lineRule="auto"/>
              <w:jc w:val="left"/>
              <w:rPr>
                <w:rFonts w:hint="default" w:ascii="Times New Roman" w:hAnsi="Times New Roman" w:cs="Times New Roman"/>
                <w:color w:val="auto"/>
                <w:szCs w:val="21"/>
                <w:highlight w:val="none"/>
              </w:rPr>
            </w:pPr>
          </w:p>
          <w:p w14:paraId="3925BFB6">
            <w:pPr>
              <w:spacing w:line="360" w:lineRule="auto"/>
              <w:jc w:val="left"/>
              <w:rPr>
                <w:rFonts w:hint="default" w:ascii="Times New Roman" w:hAnsi="Times New Roman" w:cs="Times New Roman"/>
                <w:color w:val="auto"/>
                <w:szCs w:val="21"/>
                <w:highlight w:val="none"/>
              </w:rPr>
            </w:pPr>
          </w:p>
        </w:tc>
      </w:tr>
      <w:tr w14:paraId="4E71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trPr>
        <w:tc>
          <w:tcPr>
            <w:tcW w:w="4516" w:type="dxa"/>
            <w:noWrap w:val="0"/>
            <w:vAlign w:val="center"/>
          </w:tcPr>
          <w:p w14:paraId="229BEE5F">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4517" w:type="dxa"/>
            <w:noWrap w:val="0"/>
            <w:vAlign w:val="center"/>
          </w:tcPr>
          <w:p w14:paraId="694C7BD4">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r>
      <w:tr w14:paraId="7163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1" w:hRule="atLeast"/>
        </w:trPr>
        <w:tc>
          <w:tcPr>
            <w:tcW w:w="4516" w:type="dxa"/>
            <w:noWrap w:val="0"/>
            <w:vAlign w:val="center"/>
          </w:tcPr>
          <w:p w14:paraId="3144C38C">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电子邮箱：</w:t>
            </w:r>
          </w:p>
        </w:tc>
        <w:tc>
          <w:tcPr>
            <w:tcW w:w="4517" w:type="dxa"/>
            <w:noWrap w:val="0"/>
            <w:vAlign w:val="center"/>
          </w:tcPr>
          <w:p w14:paraId="7E53CCD3">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电子邮箱：</w:t>
            </w:r>
          </w:p>
        </w:tc>
      </w:tr>
      <w:tr w14:paraId="3063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9" w:hRule="atLeast"/>
        </w:trPr>
        <w:tc>
          <w:tcPr>
            <w:tcW w:w="4516" w:type="dxa"/>
            <w:noWrap w:val="0"/>
            <w:vAlign w:val="center"/>
          </w:tcPr>
          <w:p w14:paraId="2FC9C8BA">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开户银行：</w:t>
            </w:r>
          </w:p>
          <w:p w14:paraId="7683985C">
            <w:pPr>
              <w:spacing w:line="360" w:lineRule="auto"/>
              <w:rPr>
                <w:rFonts w:hint="default" w:ascii="Times New Roman" w:hAnsi="Times New Roman" w:cs="Times New Roman"/>
                <w:color w:val="auto"/>
                <w:szCs w:val="21"/>
                <w:highlight w:val="none"/>
                <w:u w:val="single"/>
              </w:rPr>
            </w:pPr>
          </w:p>
        </w:tc>
        <w:tc>
          <w:tcPr>
            <w:tcW w:w="4517" w:type="dxa"/>
            <w:noWrap w:val="0"/>
            <w:vAlign w:val="center"/>
          </w:tcPr>
          <w:p w14:paraId="1880D867">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开户银行：</w:t>
            </w:r>
          </w:p>
        </w:tc>
      </w:tr>
      <w:tr w14:paraId="484D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atLeast"/>
        </w:trPr>
        <w:tc>
          <w:tcPr>
            <w:tcW w:w="4516" w:type="dxa"/>
            <w:noWrap w:val="0"/>
            <w:vAlign w:val="center"/>
          </w:tcPr>
          <w:p w14:paraId="49C2E74C">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账号：</w:t>
            </w:r>
          </w:p>
        </w:tc>
        <w:tc>
          <w:tcPr>
            <w:tcW w:w="4517" w:type="dxa"/>
            <w:noWrap w:val="0"/>
            <w:vAlign w:val="center"/>
          </w:tcPr>
          <w:p w14:paraId="4DF3EF9A">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账号：</w:t>
            </w:r>
          </w:p>
        </w:tc>
      </w:tr>
      <w:tr w14:paraId="3BDE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 w:hRule="atLeast"/>
        </w:trPr>
        <w:tc>
          <w:tcPr>
            <w:tcW w:w="4516" w:type="dxa"/>
            <w:noWrap w:val="0"/>
            <w:vAlign w:val="center"/>
          </w:tcPr>
          <w:p w14:paraId="5AF4EACD">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c>
          <w:tcPr>
            <w:tcW w:w="4517" w:type="dxa"/>
            <w:noWrap w:val="0"/>
            <w:vAlign w:val="center"/>
          </w:tcPr>
          <w:p w14:paraId="325CED55">
            <w:pPr>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r>
    </w:tbl>
    <w:p w14:paraId="7F6193F2">
      <w:pPr>
        <w:widowControl/>
        <w:jc w:val="left"/>
        <w:rPr>
          <w:rFonts w:hint="default" w:ascii="Times New Roman" w:hAnsi="Times New Roman" w:cs="Times New Roman"/>
          <w:b/>
          <w:color w:val="auto"/>
          <w:szCs w:val="21"/>
          <w:highlight w:val="none"/>
        </w:rPr>
      </w:pPr>
    </w:p>
    <w:p w14:paraId="111C61E3">
      <w:pPr>
        <w:snapToGrid w:val="0"/>
        <w:spacing w:line="360" w:lineRule="auto"/>
        <w:rPr>
          <w:rFonts w:hint="default" w:ascii="Times New Roman" w:hAnsi="Times New Roman" w:cs="Times New Roman"/>
          <w:b/>
          <w:color w:val="auto"/>
          <w:szCs w:val="21"/>
          <w:highlight w:val="none"/>
        </w:rPr>
      </w:pPr>
    </w:p>
    <w:p w14:paraId="08D57FDD">
      <w:pPr>
        <w:snapToGrid w:val="0"/>
        <w:spacing w:line="360" w:lineRule="auto"/>
        <w:rPr>
          <w:rFonts w:hint="default" w:ascii="Times New Roman" w:hAnsi="Times New Roman" w:cs="Times New Roman"/>
          <w:b/>
          <w:color w:val="auto"/>
          <w:szCs w:val="21"/>
          <w:highlight w:val="none"/>
        </w:rPr>
      </w:pPr>
    </w:p>
    <w:p w14:paraId="6F79D223">
      <w:pPr>
        <w:snapToGrid w:val="0"/>
        <w:spacing w:line="360" w:lineRule="auto"/>
        <w:rPr>
          <w:rFonts w:hint="default" w:ascii="Times New Roman" w:hAnsi="Times New Roman" w:cs="Times New Roman"/>
          <w:b/>
          <w:color w:val="auto"/>
          <w:szCs w:val="21"/>
          <w:highlight w:val="none"/>
        </w:rPr>
      </w:pPr>
    </w:p>
    <w:p w14:paraId="4B73D740">
      <w:pPr>
        <w:snapToGrid w:val="0"/>
        <w:spacing w:line="360" w:lineRule="auto"/>
        <w:rPr>
          <w:rFonts w:hint="default" w:ascii="Times New Roman" w:hAnsi="Times New Roman" w:cs="Times New Roman"/>
          <w:b/>
          <w:color w:val="auto"/>
          <w:szCs w:val="21"/>
          <w:highlight w:val="none"/>
        </w:rPr>
      </w:pPr>
    </w:p>
    <w:p w14:paraId="1B09D1A5">
      <w:pPr>
        <w:snapToGrid w:val="0"/>
        <w:spacing w:line="360" w:lineRule="auto"/>
        <w:rPr>
          <w:rFonts w:hint="default" w:ascii="Times New Roman" w:hAnsi="Times New Roman" w:cs="Times New Roman"/>
          <w:b/>
          <w:color w:val="auto"/>
          <w:szCs w:val="21"/>
          <w:highlight w:val="none"/>
        </w:rPr>
        <w:sectPr>
          <w:footerReference r:id="rId4" w:type="first"/>
          <w:footerReference r:id="rId3" w:type="default"/>
          <w:pgSz w:w="11906" w:h="16838"/>
          <w:pgMar w:top="1134" w:right="1134" w:bottom="1084" w:left="1134" w:header="851" w:footer="992" w:gutter="0"/>
          <w:pgNumType w:fmt="decimal" w:start="1"/>
          <w:cols w:space="720" w:num="1"/>
          <w:titlePg/>
          <w:docGrid w:type="lines" w:linePitch="312" w:charSpace="0"/>
        </w:sectPr>
      </w:pPr>
    </w:p>
    <w:p w14:paraId="2353C479">
      <w:pPr>
        <w:snapToGrid w:val="0"/>
        <w:spacing w:line="360" w:lineRule="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附件A：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544"/>
        <w:gridCol w:w="283"/>
        <w:gridCol w:w="1406"/>
        <w:gridCol w:w="1406"/>
        <w:gridCol w:w="1411"/>
      </w:tblGrid>
      <w:tr w14:paraId="67B0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59" w:type="dxa"/>
            <w:noWrap w:val="0"/>
            <w:vAlign w:val="center"/>
          </w:tcPr>
          <w:p w14:paraId="79F510F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3827" w:type="dxa"/>
            <w:gridSpan w:val="2"/>
            <w:noWrap w:val="0"/>
            <w:vAlign w:val="center"/>
          </w:tcPr>
          <w:p w14:paraId="2C26BC9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服务内容</w:t>
            </w:r>
          </w:p>
        </w:tc>
        <w:tc>
          <w:tcPr>
            <w:tcW w:w="1406" w:type="dxa"/>
            <w:noWrap w:val="0"/>
            <w:vAlign w:val="center"/>
          </w:tcPr>
          <w:p w14:paraId="6EF4BEF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时限</w:t>
            </w:r>
          </w:p>
        </w:tc>
        <w:tc>
          <w:tcPr>
            <w:tcW w:w="1406" w:type="dxa"/>
            <w:noWrap w:val="0"/>
            <w:vAlign w:val="center"/>
          </w:tcPr>
          <w:p w14:paraId="4F4FBE7F">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完成标准</w:t>
            </w:r>
          </w:p>
        </w:tc>
        <w:tc>
          <w:tcPr>
            <w:tcW w:w="1411" w:type="dxa"/>
            <w:noWrap w:val="0"/>
            <w:vAlign w:val="center"/>
          </w:tcPr>
          <w:p w14:paraId="2F9C1EF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服务费（元）</w:t>
            </w:r>
          </w:p>
        </w:tc>
      </w:tr>
      <w:tr w14:paraId="56F5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79DFC7C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3827" w:type="dxa"/>
            <w:gridSpan w:val="2"/>
            <w:noWrap w:val="0"/>
            <w:vAlign w:val="center"/>
          </w:tcPr>
          <w:p w14:paraId="0493796A">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7478B68D">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6FC90BC9">
            <w:pPr>
              <w:snapToGrid w:val="0"/>
              <w:spacing w:line="360" w:lineRule="auto"/>
              <w:jc w:val="center"/>
              <w:rPr>
                <w:rFonts w:hint="default" w:ascii="Times New Roman" w:hAnsi="Times New Roman" w:cs="Times New Roman"/>
                <w:color w:val="auto"/>
                <w:szCs w:val="21"/>
                <w:highlight w:val="none"/>
              </w:rPr>
            </w:pPr>
          </w:p>
        </w:tc>
        <w:tc>
          <w:tcPr>
            <w:tcW w:w="1411" w:type="dxa"/>
            <w:noWrap w:val="0"/>
            <w:vAlign w:val="center"/>
          </w:tcPr>
          <w:p w14:paraId="18827DAE">
            <w:pPr>
              <w:snapToGrid w:val="0"/>
              <w:spacing w:line="360" w:lineRule="auto"/>
              <w:jc w:val="center"/>
              <w:rPr>
                <w:rFonts w:hint="default" w:ascii="Times New Roman" w:hAnsi="Times New Roman" w:cs="Times New Roman"/>
                <w:color w:val="auto"/>
                <w:szCs w:val="21"/>
                <w:highlight w:val="none"/>
              </w:rPr>
            </w:pPr>
          </w:p>
        </w:tc>
      </w:tr>
      <w:tr w14:paraId="54A9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A85A65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3827" w:type="dxa"/>
            <w:gridSpan w:val="2"/>
            <w:noWrap w:val="0"/>
            <w:vAlign w:val="center"/>
          </w:tcPr>
          <w:p w14:paraId="2B3D07EC">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13614645">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528DE30A">
            <w:pPr>
              <w:snapToGrid w:val="0"/>
              <w:spacing w:line="360" w:lineRule="auto"/>
              <w:jc w:val="center"/>
              <w:rPr>
                <w:rFonts w:hint="default" w:ascii="Times New Roman" w:hAnsi="Times New Roman" w:cs="Times New Roman"/>
                <w:color w:val="auto"/>
                <w:szCs w:val="21"/>
                <w:highlight w:val="none"/>
              </w:rPr>
            </w:pPr>
          </w:p>
        </w:tc>
        <w:tc>
          <w:tcPr>
            <w:tcW w:w="1411" w:type="dxa"/>
            <w:noWrap w:val="0"/>
            <w:vAlign w:val="center"/>
          </w:tcPr>
          <w:p w14:paraId="7C8A68BF">
            <w:pPr>
              <w:snapToGrid w:val="0"/>
              <w:spacing w:line="360" w:lineRule="auto"/>
              <w:jc w:val="center"/>
              <w:rPr>
                <w:rFonts w:hint="default" w:ascii="Times New Roman" w:hAnsi="Times New Roman" w:cs="Times New Roman"/>
                <w:color w:val="auto"/>
                <w:szCs w:val="21"/>
                <w:highlight w:val="none"/>
              </w:rPr>
            </w:pPr>
          </w:p>
        </w:tc>
      </w:tr>
      <w:tr w14:paraId="0BF8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761BE21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3827" w:type="dxa"/>
            <w:gridSpan w:val="2"/>
            <w:noWrap w:val="0"/>
            <w:vAlign w:val="center"/>
          </w:tcPr>
          <w:p w14:paraId="40D01677">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20F4B7CA">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14939F98">
            <w:pPr>
              <w:snapToGrid w:val="0"/>
              <w:spacing w:line="360" w:lineRule="auto"/>
              <w:jc w:val="center"/>
              <w:rPr>
                <w:rFonts w:hint="default" w:ascii="Times New Roman" w:hAnsi="Times New Roman" w:cs="Times New Roman"/>
                <w:color w:val="auto"/>
                <w:szCs w:val="21"/>
                <w:highlight w:val="none"/>
              </w:rPr>
            </w:pPr>
          </w:p>
        </w:tc>
        <w:tc>
          <w:tcPr>
            <w:tcW w:w="1411" w:type="dxa"/>
            <w:noWrap w:val="0"/>
            <w:vAlign w:val="center"/>
          </w:tcPr>
          <w:p w14:paraId="0A47DF81">
            <w:pPr>
              <w:snapToGrid w:val="0"/>
              <w:spacing w:line="360" w:lineRule="auto"/>
              <w:jc w:val="center"/>
              <w:rPr>
                <w:rFonts w:hint="default" w:ascii="Times New Roman" w:hAnsi="Times New Roman" w:cs="Times New Roman"/>
                <w:color w:val="auto"/>
                <w:szCs w:val="21"/>
                <w:highlight w:val="none"/>
              </w:rPr>
            </w:pPr>
          </w:p>
        </w:tc>
      </w:tr>
      <w:tr w14:paraId="20BE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5501B1D">
            <w:pPr>
              <w:snapToGrid w:val="0"/>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827" w:type="dxa"/>
            <w:gridSpan w:val="2"/>
            <w:noWrap w:val="0"/>
            <w:vAlign w:val="center"/>
          </w:tcPr>
          <w:p w14:paraId="215223E7">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6BFF60BA">
            <w:pPr>
              <w:snapToGrid w:val="0"/>
              <w:spacing w:line="360" w:lineRule="auto"/>
              <w:jc w:val="center"/>
              <w:rPr>
                <w:rFonts w:hint="default" w:ascii="Times New Roman" w:hAnsi="Times New Roman" w:cs="Times New Roman"/>
                <w:color w:val="auto"/>
                <w:szCs w:val="21"/>
                <w:highlight w:val="none"/>
              </w:rPr>
            </w:pPr>
          </w:p>
        </w:tc>
        <w:tc>
          <w:tcPr>
            <w:tcW w:w="1406" w:type="dxa"/>
            <w:noWrap w:val="0"/>
            <w:vAlign w:val="center"/>
          </w:tcPr>
          <w:p w14:paraId="4FB58B0F">
            <w:pPr>
              <w:snapToGrid w:val="0"/>
              <w:spacing w:line="360" w:lineRule="auto"/>
              <w:jc w:val="center"/>
              <w:rPr>
                <w:rFonts w:hint="default" w:ascii="Times New Roman" w:hAnsi="Times New Roman" w:cs="Times New Roman"/>
                <w:color w:val="auto"/>
                <w:szCs w:val="21"/>
                <w:highlight w:val="none"/>
              </w:rPr>
            </w:pPr>
          </w:p>
        </w:tc>
        <w:tc>
          <w:tcPr>
            <w:tcW w:w="1411" w:type="dxa"/>
            <w:noWrap w:val="0"/>
            <w:vAlign w:val="center"/>
          </w:tcPr>
          <w:p w14:paraId="0FABD936">
            <w:pPr>
              <w:snapToGrid w:val="0"/>
              <w:spacing w:line="360" w:lineRule="auto"/>
              <w:jc w:val="center"/>
              <w:rPr>
                <w:rFonts w:hint="default" w:ascii="Times New Roman" w:hAnsi="Times New Roman" w:cs="Times New Roman"/>
                <w:color w:val="auto"/>
                <w:szCs w:val="21"/>
                <w:highlight w:val="none"/>
              </w:rPr>
            </w:pPr>
          </w:p>
        </w:tc>
      </w:tr>
      <w:tr w14:paraId="371D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009" w:type="dxa"/>
            <w:gridSpan w:val="6"/>
            <w:noWrap w:val="0"/>
            <w:vAlign w:val="center"/>
          </w:tcPr>
          <w:p w14:paraId="6A1AC653">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人民币合计金额（大写）：（小写）</w:t>
            </w:r>
          </w:p>
        </w:tc>
      </w:tr>
      <w:tr w14:paraId="558C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7" w:hRule="atLeast"/>
        </w:trPr>
        <w:tc>
          <w:tcPr>
            <w:tcW w:w="4503" w:type="dxa"/>
            <w:gridSpan w:val="2"/>
            <w:tcBorders>
              <w:top w:val="single" w:color="auto" w:sz="4" w:space="0"/>
              <w:left w:val="single" w:color="auto" w:sz="4" w:space="0"/>
              <w:bottom w:val="single" w:color="auto" w:sz="4" w:space="0"/>
              <w:right w:val="single" w:color="auto" w:sz="4" w:space="0"/>
            </w:tcBorders>
            <w:noWrap w:val="0"/>
            <w:vAlign w:val="center"/>
          </w:tcPr>
          <w:p w14:paraId="314A8B5C">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甲方（公章）</w:t>
            </w:r>
          </w:p>
          <w:p w14:paraId="02C94621">
            <w:pPr>
              <w:snapToGrid w:val="0"/>
              <w:rPr>
                <w:rFonts w:hint="default" w:ascii="Times New Roman" w:hAnsi="Times New Roman" w:cs="Times New Roman"/>
                <w:color w:val="auto"/>
                <w:szCs w:val="21"/>
                <w:highlight w:val="none"/>
              </w:rPr>
            </w:pPr>
          </w:p>
          <w:p w14:paraId="12CA035F">
            <w:pPr>
              <w:snapToGrid w:val="0"/>
              <w:rPr>
                <w:rFonts w:hint="default" w:ascii="Times New Roman" w:hAnsi="Times New Roman" w:cs="Times New Roman"/>
                <w:color w:val="auto"/>
                <w:szCs w:val="21"/>
                <w:highlight w:val="none"/>
              </w:rPr>
            </w:pPr>
          </w:p>
          <w:p w14:paraId="6D4DA8FA">
            <w:pPr>
              <w:snapToGrid w:val="0"/>
              <w:rPr>
                <w:rFonts w:hint="default" w:ascii="Times New Roman" w:hAnsi="Times New Roman" w:cs="Times New Roman"/>
                <w:color w:val="auto"/>
                <w:szCs w:val="21"/>
                <w:highlight w:val="none"/>
              </w:rPr>
            </w:pPr>
          </w:p>
          <w:p w14:paraId="32BBD799">
            <w:pPr>
              <w:snapToGrid w:val="0"/>
              <w:rPr>
                <w:rFonts w:hint="default" w:ascii="Times New Roman" w:hAnsi="Times New Roman" w:cs="Times New Roman"/>
                <w:color w:val="auto"/>
                <w:szCs w:val="21"/>
                <w:highlight w:val="none"/>
              </w:rPr>
            </w:pPr>
          </w:p>
          <w:p w14:paraId="36B583BC">
            <w:pPr>
              <w:snapToGrid w:val="0"/>
              <w:ind w:firstLine="525" w:firstLineChars="2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tc>
        <w:tc>
          <w:tcPr>
            <w:tcW w:w="4506" w:type="dxa"/>
            <w:gridSpan w:val="4"/>
            <w:tcBorders>
              <w:top w:val="single" w:color="auto" w:sz="4" w:space="0"/>
              <w:left w:val="single" w:color="auto" w:sz="4" w:space="0"/>
              <w:bottom w:val="single" w:color="auto" w:sz="4" w:space="0"/>
              <w:right w:val="single" w:color="auto" w:sz="4" w:space="0"/>
            </w:tcBorders>
            <w:noWrap w:val="0"/>
            <w:vAlign w:val="center"/>
          </w:tcPr>
          <w:p w14:paraId="3CB9E2C6">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乙方（公章）</w:t>
            </w:r>
          </w:p>
          <w:p w14:paraId="39DD5B61">
            <w:pPr>
              <w:snapToGrid w:val="0"/>
              <w:rPr>
                <w:rFonts w:hint="default" w:ascii="Times New Roman" w:hAnsi="Times New Roman" w:cs="Times New Roman"/>
                <w:color w:val="auto"/>
                <w:szCs w:val="21"/>
                <w:highlight w:val="none"/>
              </w:rPr>
            </w:pPr>
          </w:p>
          <w:p w14:paraId="2584D09B">
            <w:pPr>
              <w:snapToGrid w:val="0"/>
              <w:rPr>
                <w:rFonts w:hint="default" w:ascii="Times New Roman" w:hAnsi="Times New Roman" w:cs="Times New Roman"/>
                <w:color w:val="auto"/>
                <w:szCs w:val="21"/>
                <w:highlight w:val="none"/>
              </w:rPr>
            </w:pPr>
          </w:p>
          <w:p w14:paraId="7A968851">
            <w:pPr>
              <w:snapToGrid w:val="0"/>
              <w:rPr>
                <w:rFonts w:hint="default" w:ascii="Times New Roman" w:hAnsi="Times New Roman" w:cs="Times New Roman"/>
                <w:color w:val="auto"/>
                <w:szCs w:val="21"/>
                <w:highlight w:val="none"/>
              </w:rPr>
            </w:pPr>
          </w:p>
          <w:p w14:paraId="31E1DD53">
            <w:pPr>
              <w:snapToGrid w:val="0"/>
              <w:rPr>
                <w:rFonts w:hint="default" w:ascii="Times New Roman" w:hAnsi="Times New Roman" w:cs="Times New Roman"/>
                <w:color w:val="auto"/>
                <w:szCs w:val="21"/>
                <w:highlight w:val="none"/>
              </w:rPr>
            </w:pPr>
          </w:p>
          <w:p w14:paraId="7C01453C">
            <w:pPr>
              <w:snapToGrid w:val="0"/>
              <w:rPr>
                <w:rFonts w:hint="default" w:ascii="Times New Roman" w:hAnsi="Times New Roman" w:cs="Times New Roman"/>
                <w:color w:val="auto"/>
                <w:szCs w:val="21"/>
                <w:highlight w:val="none"/>
              </w:rPr>
            </w:pPr>
          </w:p>
          <w:p w14:paraId="0AB73BF9">
            <w:pPr>
              <w:snapToGrid w:val="0"/>
              <w:ind w:firstLine="525" w:firstLineChars="2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tc>
      </w:tr>
    </w:tbl>
    <w:p w14:paraId="1ADCDE51">
      <w:pPr>
        <w:snapToGrid w:val="0"/>
        <w:spacing w:line="360" w:lineRule="auto"/>
        <w:jc w:val="center"/>
        <w:rPr>
          <w:rFonts w:hint="default" w:ascii="Times New Roman" w:hAnsi="Times New Roman" w:cs="Times New Roman"/>
          <w:color w:val="auto"/>
          <w:szCs w:val="21"/>
          <w:highlight w:val="none"/>
        </w:rPr>
      </w:pPr>
    </w:p>
    <w:p w14:paraId="0E27474D">
      <w:pPr>
        <w:snapToGrid w:val="0"/>
        <w:spacing w:line="360" w:lineRule="auto"/>
        <w:jc w:val="center"/>
        <w:rPr>
          <w:rFonts w:hint="default" w:ascii="Times New Roman" w:hAnsi="Times New Roman" w:cs="Times New Roman"/>
          <w:color w:val="auto"/>
          <w:szCs w:val="21"/>
          <w:highlight w:val="none"/>
        </w:rPr>
      </w:pPr>
    </w:p>
    <w:p w14:paraId="02FCADAA">
      <w:pPr>
        <w:snapToGrid w:val="0"/>
        <w:spacing w:line="360" w:lineRule="auto"/>
        <w:jc w:val="center"/>
        <w:rPr>
          <w:rFonts w:hint="default" w:ascii="Times New Roman" w:hAnsi="Times New Roman" w:cs="Times New Roman"/>
          <w:color w:val="auto"/>
          <w:szCs w:val="21"/>
          <w:highlight w:val="none"/>
        </w:rPr>
      </w:pPr>
    </w:p>
    <w:p w14:paraId="2F2386F0">
      <w:pPr>
        <w:snapToGrid w:val="0"/>
        <w:spacing w:line="360" w:lineRule="auto"/>
        <w:jc w:val="center"/>
        <w:rPr>
          <w:rFonts w:hint="default" w:ascii="Times New Roman" w:hAnsi="Times New Roman" w:cs="Times New Roman"/>
          <w:color w:val="auto"/>
          <w:szCs w:val="21"/>
          <w:highlight w:val="none"/>
        </w:rPr>
      </w:pPr>
    </w:p>
    <w:p w14:paraId="57CFB7CF">
      <w:pPr>
        <w:snapToGrid w:val="0"/>
        <w:spacing w:line="360" w:lineRule="auto"/>
        <w:jc w:val="center"/>
        <w:rPr>
          <w:rFonts w:hint="default" w:ascii="Times New Roman" w:hAnsi="Times New Roman" w:cs="Times New Roman"/>
          <w:color w:val="auto"/>
          <w:szCs w:val="21"/>
          <w:highlight w:val="none"/>
        </w:rPr>
      </w:pPr>
    </w:p>
    <w:p w14:paraId="04E21C93">
      <w:pPr>
        <w:snapToGrid w:val="0"/>
        <w:spacing w:line="360" w:lineRule="auto"/>
        <w:jc w:val="center"/>
        <w:rPr>
          <w:rFonts w:hint="default" w:ascii="Times New Roman" w:hAnsi="Times New Roman" w:cs="Times New Roman"/>
          <w:color w:val="auto"/>
          <w:szCs w:val="21"/>
          <w:highlight w:val="none"/>
        </w:rPr>
      </w:pPr>
    </w:p>
    <w:p w14:paraId="0644E52D">
      <w:pPr>
        <w:widowControl/>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p>
    <w:p w14:paraId="73C0F65F">
      <w:pPr>
        <w:snapToGrid w:val="0"/>
        <w:spacing w:line="360" w:lineRule="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附件B：</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8"/>
        <w:gridCol w:w="4274"/>
      </w:tblGrid>
      <w:tr w14:paraId="398E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top w:val="single" w:color="auto" w:sz="4" w:space="0"/>
              <w:left w:val="single" w:color="auto" w:sz="4" w:space="0"/>
              <w:right w:val="single" w:color="auto" w:sz="4" w:space="0"/>
            </w:tcBorders>
            <w:noWrap w:val="0"/>
            <w:vAlign w:val="center"/>
          </w:tcPr>
          <w:p w14:paraId="517A849F">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1、供应商承诺具体事项：</w:t>
            </w:r>
          </w:p>
        </w:tc>
      </w:tr>
      <w:tr w14:paraId="190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right w:val="single" w:color="auto" w:sz="4" w:space="0"/>
            </w:tcBorders>
            <w:noWrap w:val="0"/>
            <w:vAlign w:val="center"/>
          </w:tcPr>
          <w:p w14:paraId="7B8D24D1">
            <w:pPr>
              <w:snapToGrid w:val="0"/>
              <w:rPr>
                <w:rFonts w:hint="default" w:ascii="Times New Roman" w:hAnsi="Times New Roman" w:cs="Times New Roman"/>
                <w:color w:val="auto"/>
                <w:szCs w:val="21"/>
                <w:highlight w:val="none"/>
              </w:rPr>
            </w:pPr>
          </w:p>
        </w:tc>
      </w:tr>
      <w:tr w14:paraId="7111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bottom w:val="single" w:color="auto" w:sz="4" w:space="0"/>
              <w:right w:val="single" w:color="auto" w:sz="4" w:space="0"/>
            </w:tcBorders>
            <w:noWrap w:val="0"/>
            <w:vAlign w:val="center"/>
          </w:tcPr>
          <w:p w14:paraId="1BD4B9A4">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2、售后服务具体事项：</w:t>
            </w:r>
          </w:p>
        </w:tc>
      </w:tr>
      <w:tr w14:paraId="3671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top w:val="single" w:color="auto" w:sz="4" w:space="0"/>
              <w:left w:val="single" w:color="auto" w:sz="4" w:space="0"/>
              <w:right w:val="single" w:color="auto" w:sz="4" w:space="0"/>
            </w:tcBorders>
            <w:noWrap w:val="0"/>
            <w:vAlign w:val="center"/>
          </w:tcPr>
          <w:p w14:paraId="04609E38">
            <w:pPr>
              <w:snapToGrid w:val="0"/>
              <w:rPr>
                <w:rFonts w:hint="default" w:ascii="Times New Roman" w:hAnsi="Times New Roman" w:cs="Times New Roman"/>
                <w:color w:val="auto"/>
                <w:szCs w:val="21"/>
                <w:highlight w:val="none"/>
              </w:rPr>
            </w:pPr>
          </w:p>
        </w:tc>
      </w:tr>
      <w:tr w14:paraId="1240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right w:val="single" w:color="auto" w:sz="4" w:space="0"/>
            </w:tcBorders>
            <w:noWrap w:val="0"/>
            <w:vAlign w:val="center"/>
          </w:tcPr>
          <w:p w14:paraId="4C7205E3">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3、保修期责任：</w:t>
            </w:r>
          </w:p>
        </w:tc>
      </w:tr>
      <w:tr w14:paraId="2683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right w:val="single" w:color="auto" w:sz="4" w:space="0"/>
            </w:tcBorders>
            <w:noWrap w:val="0"/>
            <w:vAlign w:val="center"/>
          </w:tcPr>
          <w:p w14:paraId="5821BEFE">
            <w:pPr>
              <w:snapToGrid w:val="0"/>
              <w:rPr>
                <w:rFonts w:hint="default" w:ascii="Times New Roman" w:hAnsi="Times New Roman" w:cs="Times New Roman"/>
                <w:color w:val="auto"/>
                <w:szCs w:val="21"/>
                <w:highlight w:val="none"/>
              </w:rPr>
            </w:pPr>
          </w:p>
        </w:tc>
      </w:tr>
      <w:tr w14:paraId="7440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right w:val="single" w:color="auto" w:sz="4" w:space="0"/>
            </w:tcBorders>
            <w:noWrap w:val="0"/>
            <w:vAlign w:val="center"/>
          </w:tcPr>
          <w:p w14:paraId="68C42855">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4、其他具体事项：</w:t>
            </w:r>
          </w:p>
        </w:tc>
      </w:tr>
      <w:tr w14:paraId="357D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right w:val="single" w:color="auto" w:sz="4" w:space="0"/>
            </w:tcBorders>
            <w:noWrap w:val="0"/>
            <w:vAlign w:val="center"/>
          </w:tcPr>
          <w:p w14:paraId="6B77591A">
            <w:pPr>
              <w:snapToGrid w:val="0"/>
              <w:rPr>
                <w:rFonts w:hint="default" w:ascii="Times New Roman" w:hAnsi="Times New Roman" w:cs="Times New Roman"/>
                <w:color w:val="auto"/>
                <w:szCs w:val="21"/>
                <w:highlight w:val="none"/>
              </w:rPr>
            </w:pPr>
          </w:p>
        </w:tc>
      </w:tr>
      <w:tr w14:paraId="02DD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522" w:type="dxa"/>
            <w:gridSpan w:val="2"/>
            <w:tcBorders>
              <w:left w:val="single" w:color="auto" w:sz="4" w:space="0"/>
              <w:bottom w:val="single" w:color="auto" w:sz="4" w:space="0"/>
              <w:right w:val="single" w:color="auto" w:sz="4" w:space="0"/>
            </w:tcBorders>
            <w:noWrap w:val="0"/>
            <w:vAlign w:val="center"/>
          </w:tcPr>
          <w:p w14:paraId="0E917242">
            <w:pPr>
              <w:snapToGrid w:val="0"/>
              <w:rPr>
                <w:rFonts w:hint="default" w:ascii="Times New Roman" w:hAnsi="Times New Roman" w:cs="Times New Roman"/>
                <w:color w:val="auto"/>
                <w:szCs w:val="21"/>
                <w:highlight w:val="none"/>
              </w:rPr>
            </w:pPr>
          </w:p>
        </w:tc>
      </w:tr>
      <w:tr w14:paraId="7605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7" w:hRule="atLeast"/>
        </w:trPr>
        <w:tc>
          <w:tcPr>
            <w:tcW w:w="4248" w:type="dxa"/>
            <w:tcBorders>
              <w:top w:val="single" w:color="auto" w:sz="4" w:space="0"/>
              <w:left w:val="single" w:color="auto" w:sz="4" w:space="0"/>
              <w:bottom w:val="single" w:color="auto" w:sz="4" w:space="0"/>
              <w:right w:val="single" w:color="auto" w:sz="4" w:space="0"/>
            </w:tcBorders>
            <w:noWrap w:val="0"/>
            <w:vAlign w:val="center"/>
          </w:tcPr>
          <w:p w14:paraId="57ECF253">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甲方（公章）</w:t>
            </w:r>
          </w:p>
          <w:p w14:paraId="2E8D2DBC">
            <w:pPr>
              <w:snapToGrid w:val="0"/>
              <w:rPr>
                <w:rFonts w:hint="default" w:ascii="Times New Roman" w:hAnsi="Times New Roman" w:cs="Times New Roman"/>
                <w:color w:val="auto"/>
                <w:szCs w:val="21"/>
                <w:highlight w:val="none"/>
              </w:rPr>
            </w:pPr>
          </w:p>
          <w:p w14:paraId="4C78CCB1">
            <w:pPr>
              <w:snapToGrid w:val="0"/>
              <w:rPr>
                <w:rFonts w:hint="default" w:ascii="Times New Roman" w:hAnsi="Times New Roman" w:cs="Times New Roman"/>
                <w:color w:val="auto"/>
                <w:szCs w:val="21"/>
                <w:highlight w:val="none"/>
              </w:rPr>
            </w:pPr>
          </w:p>
          <w:p w14:paraId="264A1167">
            <w:pPr>
              <w:snapToGrid w:val="0"/>
              <w:rPr>
                <w:rFonts w:hint="default" w:ascii="Times New Roman" w:hAnsi="Times New Roman" w:cs="Times New Roman"/>
                <w:color w:val="auto"/>
                <w:szCs w:val="21"/>
                <w:highlight w:val="none"/>
              </w:rPr>
            </w:pPr>
          </w:p>
          <w:p w14:paraId="14622DE4">
            <w:pPr>
              <w:snapToGrid w:val="0"/>
              <w:rPr>
                <w:rFonts w:hint="default" w:ascii="Times New Roman" w:hAnsi="Times New Roman" w:cs="Times New Roman"/>
                <w:color w:val="auto"/>
                <w:szCs w:val="21"/>
                <w:highlight w:val="none"/>
              </w:rPr>
            </w:pPr>
          </w:p>
          <w:p w14:paraId="6DBCD51A">
            <w:pPr>
              <w:snapToGrid w:val="0"/>
              <w:rPr>
                <w:rFonts w:hint="default" w:ascii="Times New Roman" w:hAnsi="Times New Roman" w:cs="Times New Roman"/>
                <w:color w:val="auto"/>
                <w:szCs w:val="21"/>
                <w:highlight w:val="none"/>
              </w:rPr>
            </w:pPr>
          </w:p>
          <w:p w14:paraId="4288B054">
            <w:pPr>
              <w:snapToGrid w:val="0"/>
              <w:rPr>
                <w:rFonts w:hint="default" w:ascii="Times New Roman" w:hAnsi="Times New Roman" w:cs="Times New Roman"/>
                <w:color w:val="auto"/>
                <w:szCs w:val="21"/>
                <w:highlight w:val="none"/>
              </w:rPr>
            </w:pPr>
          </w:p>
          <w:p w14:paraId="2AD4F9C3">
            <w:pPr>
              <w:snapToGrid w:val="0"/>
              <w:ind w:firstLine="525" w:firstLineChars="2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tc>
        <w:tc>
          <w:tcPr>
            <w:tcW w:w="4274" w:type="dxa"/>
            <w:tcBorders>
              <w:top w:val="single" w:color="auto" w:sz="4" w:space="0"/>
              <w:left w:val="single" w:color="auto" w:sz="4" w:space="0"/>
              <w:bottom w:val="single" w:color="auto" w:sz="4" w:space="0"/>
              <w:right w:val="single" w:color="auto" w:sz="4" w:space="0"/>
            </w:tcBorders>
            <w:noWrap w:val="0"/>
            <w:vAlign w:val="center"/>
          </w:tcPr>
          <w:p w14:paraId="104BBBBF">
            <w:pPr>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乙方（公章）</w:t>
            </w:r>
          </w:p>
          <w:p w14:paraId="345C9655">
            <w:pPr>
              <w:snapToGrid w:val="0"/>
              <w:rPr>
                <w:rFonts w:hint="default" w:ascii="Times New Roman" w:hAnsi="Times New Roman" w:cs="Times New Roman"/>
                <w:color w:val="auto"/>
                <w:szCs w:val="21"/>
                <w:highlight w:val="none"/>
              </w:rPr>
            </w:pPr>
          </w:p>
          <w:p w14:paraId="7015FAE1">
            <w:pPr>
              <w:snapToGrid w:val="0"/>
              <w:rPr>
                <w:rFonts w:hint="default" w:ascii="Times New Roman" w:hAnsi="Times New Roman" w:cs="Times New Roman"/>
                <w:color w:val="auto"/>
                <w:szCs w:val="21"/>
                <w:highlight w:val="none"/>
              </w:rPr>
            </w:pPr>
          </w:p>
          <w:p w14:paraId="25FD7741">
            <w:pPr>
              <w:snapToGrid w:val="0"/>
              <w:rPr>
                <w:rFonts w:hint="default" w:ascii="Times New Roman" w:hAnsi="Times New Roman" w:cs="Times New Roman"/>
                <w:color w:val="auto"/>
                <w:szCs w:val="21"/>
                <w:highlight w:val="none"/>
              </w:rPr>
            </w:pPr>
          </w:p>
          <w:p w14:paraId="301DAA03">
            <w:pPr>
              <w:snapToGrid w:val="0"/>
              <w:rPr>
                <w:rFonts w:hint="default" w:ascii="Times New Roman" w:hAnsi="Times New Roman" w:cs="Times New Roman"/>
                <w:color w:val="auto"/>
                <w:szCs w:val="21"/>
                <w:highlight w:val="none"/>
              </w:rPr>
            </w:pPr>
          </w:p>
          <w:p w14:paraId="7CE1E8D8">
            <w:pPr>
              <w:snapToGrid w:val="0"/>
              <w:rPr>
                <w:rFonts w:hint="default" w:ascii="Times New Roman" w:hAnsi="Times New Roman" w:cs="Times New Roman"/>
                <w:color w:val="auto"/>
                <w:szCs w:val="21"/>
                <w:highlight w:val="none"/>
              </w:rPr>
            </w:pPr>
          </w:p>
          <w:p w14:paraId="02E22A5D">
            <w:pPr>
              <w:snapToGrid w:val="0"/>
              <w:rPr>
                <w:rFonts w:hint="default" w:ascii="Times New Roman" w:hAnsi="Times New Roman" w:cs="Times New Roman"/>
                <w:color w:val="auto"/>
                <w:szCs w:val="21"/>
                <w:highlight w:val="none"/>
              </w:rPr>
            </w:pPr>
          </w:p>
          <w:p w14:paraId="550AB620">
            <w:pPr>
              <w:snapToGrid w:val="0"/>
              <w:ind w:firstLine="630" w:firstLineChars="3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月  日</w:t>
            </w:r>
          </w:p>
          <w:p w14:paraId="079345A8">
            <w:pPr>
              <w:snapToGrid w:val="0"/>
              <w:ind w:firstLine="630" w:firstLineChars="300"/>
              <w:rPr>
                <w:rFonts w:hint="default" w:ascii="Times New Roman" w:hAnsi="Times New Roman" w:cs="Times New Roman"/>
                <w:color w:val="auto"/>
                <w:szCs w:val="21"/>
                <w:highlight w:val="none"/>
              </w:rPr>
            </w:pPr>
          </w:p>
        </w:tc>
      </w:tr>
    </w:tbl>
    <w:p w14:paraId="07FF9044">
      <w:pPr>
        <w:snapToGrid w:val="0"/>
        <w:spacing w:line="360" w:lineRule="auto"/>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 w:val="21"/>
          <w:szCs w:val="21"/>
          <w:highlight w:val="none"/>
        </w:rPr>
        <w:t>注：售后服务事项填不下时可另加附页</w:t>
      </w:r>
    </w:p>
    <w:p w14:paraId="6814642D">
      <w:pPr>
        <w:spacing w:line="360" w:lineRule="auto"/>
        <w:ind w:right="638" w:rightChars="304"/>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 w:val="84"/>
          <w:szCs w:val="84"/>
          <w:highlight w:val="none"/>
        </w:rPr>
        <w:br w:type="page"/>
      </w:r>
      <w:r>
        <w:rPr>
          <w:rFonts w:hint="default" w:ascii="Times New Roman" w:hAnsi="Times New Roman" w:cs="Times New Roman"/>
          <w:b/>
          <w:color w:val="auto"/>
          <w:szCs w:val="21"/>
          <w:highlight w:val="none"/>
        </w:rPr>
        <w:t xml:space="preserve">廉洁购销协议书 </w:t>
      </w:r>
    </w:p>
    <w:p w14:paraId="18C8A460">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甲方：中国医学科学院皮肤病医院（中国医学科学院皮肤病研究所）</w:t>
      </w:r>
    </w:p>
    <w:p w14:paraId="6A669B80">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乙方：</w:t>
      </w:r>
    </w:p>
    <w:p w14:paraId="57E13205">
      <w:pPr>
        <w:widowControl/>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贯彻落实中央和地方关于治理商业贿赂文件精神，促进院所党风廉政建设深入开展，进一步规范医院的购销行为，严格执行国家和地方卫生行政主管部门关于集中采购和政府采购的相关规定，防止违反《八项规定》精神和《九项准则》等事件，以及购销领域中不正之风的发生，营造公平交易、诚实守信的环境，维护正常的医疗和经营秩序。甲、乙双方特签订廉洁购销协议书。内容如下：</w:t>
      </w:r>
    </w:p>
    <w:p w14:paraId="7EBBEB6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一、甲方购进的货物（设备、耗材试剂等）、服务等不得以任何方式向乙方索取回扣，不得要求乙方代支任何费用。</w:t>
      </w:r>
    </w:p>
    <w:p w14:paraId="0678808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二、甲方和工作人员以暗示或其他形式索要回扣、提成、有价证券、现金、信用卡、购物卡等，乙方应予拒绝，并如实向甲方纪检监察部门反映情况。</w:t>
      </w:r>
    </w:p>
    <w:p w14:paraId="180D8C2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乙方不得暗中给予甲方和工作人员回扣，不得以提成和赠送有价证券、现金、信用卡、购物卡、宴请、娱乐等手段影响甲方和工作人员对所购货物、服务等的选择权。乙方提供甲方国内或境外学术活动必须按照相关规定办理手续。</w:t>
      </w:r>
    </w:p>
    <w:p w14:paraId="271DBCBA">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乙方为拓展业务进行的商务洽谈，必须在工作时间到甲方指定科室或办公室联系商谈，工作时间不得进入医院工作区。严格按照医院《医药代表备案管理制度》执行。乙方为履行合同义务进行的项目对接，可正常现场实施。</w:t>
      </w:r>
    </w:p>
    <w:p w14:paraId="41ED1546">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五、乙方如违反以上条款，经核实后，情节轻微，甲方给予乙方警告或暂停采购，并在单位内通报；拒不整改或情节严重的，甲方有权将乙方列入“非诚信交易黑名单”，终止供销合同；涉嫌违法的，由执法部门提起诉讼。</w:t>
      </w:r>
    </w:p>
    <w:p w14:paraId="431D5E0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六、甲方和工作人员如违反以上条款的，将按国家法律、法规和相关制度给予处理，涉嫌违法的，交由执法部门处理。</w:t>
      </w:r>
    </w:p>
    <w:p w14:paraId="5E50BBB9">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七、本协议书和廉洁购销承诺书作为货物、服务等购销合同的附件，与购销合同一并执行，具有同等的法律效力。</w:t>
      </w:r>
    </w:p>
    <w:p w14:paraId="5DBBAC44">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八、本协议书和廉洁购销承诺书一式两份，甲、乙双方各执一份，并从签订之日起生效。</w:t>
      </w:r>
    </w:p>
    <w:p w14:paraId="54A635C5">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甲方：中国医学科学院皮肤病医院（盖章）      乙方：                （盖章）</w:t>
      </w:r>
    </w:p>
    <w:p w14:paraId="41DA5B43">
      <w:pPr>
        <w:spacing w:line="360" w:lineRule="auto"/>
        <w:ind w:firstLine="630" w:firstLineChars="3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（中国医学科学院皮肤病研究所）</w:t>
      </w:r>
    </w:p>
    <w:p w14:paraId="1CB2FA08">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法人代表（或授权人）签名：</w:t>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ab/>
      </w:r>
      <w:r>
        <w:rPr>
          <w:rFonts w:hint="default" w:ascii="Times New Roman" w:hAnsi="Times New Roman" w:cs="Times New Roman"/>
          <w:color w:val="auto"/>
          <w:szCs w:val="21"/>
          <w:highlight w:val="none"/>
        </w:rPr>
        <w:t xml:space="preserve">        法人代表（或授权人）签名：</w:t>
      </w:r>
    </w:p>
    <w:p w14:paraId="4EA2A4F8">
      <w:pPr>
        <w:spacing w:before="158" w:line="289" w:lineRule="auto"/>
        <w:ind w:left="2" w:right="90" w:firstLine="418"/>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 xml:space="preserve"> 年    月    日                                       年    月    日</w:t>
      </w:r>
    </w:p>
    <w:p w14:paraId="1EF02371">
      <w:pPr>
        <w:pStyle w:val="3"/>
        <w:numPr>
          <w:ilvl w:val="0"/>
          <w:numId w:val="0"/>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第六章</w:t>
      </w:r>
      <w:bookmarkEnd w:id="17"/>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磋商响应文件格式</w:t>
      </w:r>
    </w:p>
    <w:p w14:paraId="1F7AA6D8">
      <w:pPr>
        <w:widowControl/>
        <w:adjustRightInd w:val="0"/>
        <w:spacing w:line="440" w:lineRule="exact"/>
        <w:jc w:val="left"/>
        <w:rPr>
          <w:rFonts w:hint="eastAsia" w:ascii="宋体" w:hAnsi="宋体" w:eastAsia="宋体" w:cs="宋体"/>
          <w:b/>
          <w:bCs/>
          <w:color w:val="auto"/>
          <w:szCs w:val="21"/>
          <w:highlight w:val="none"/>
        </w:rPr>
      </w:pPr>
    </w:p>
    <w:p w14:paraId="1DE2C362">
      <w:pPr>
        <w:spacing w:line="440" w:lineRule="exact"/>
        <w:rPr>
          <w:rFonts w:hint="eastAsia" w:ascii="宋体" w:hAnsi="宋体" w:eastAsia="宋体" w:cs="宋体"/>
          <w:color w:val="auto"/>
          <w:sz w:val="20"/>
          <w:szCs w:val="20"/>
          <w:highlight w:val="none"/>
        </w:rPr>
      </w:pPr>
    </w:p>
    <w:p w14:paraId="10509917">
      <w:pPr>
        <w:spacing w:line="440" w:lineRule="exact"/>
        <w:rPr>
          <w:rFonts w:hint="eastAsia" w:ascii="宋体" w:hAnsi="宋体" w:eastAsia="宋体" w:cs="宋体"/>
          <w:color w:val="auto"/>
          <w:sz w:val="20"/>
          <w:szCs w:val="20"/>
          <w:highlight w:val="none"/>
        </w:rPr>
      </w:pPr>
    </w:p>
    <w:p w14:paraId="4820DA6F">
      <w:pPr>
        <w:spacing w:line="440" w:lineRule="exact"/>
        <w:rPr>
          <w:rFonts w:hint="eastAsia" w:ascii="宋体" w:hAnsi="宋体" w:eastAsia="宋体" w:cs="宋体"/>
          <w:color w:val="auto"/>
          <w:sz w:val="20"/>
          <w:szCs w:val="20"/>
          <w:highlight w:val="none"/>
        </w:rPr>
      </w:pPr>
    </w:p>
    <w:p w14:paraId="20471721">
      <w:pPr>
        <w:spacing w:line="440" w:lineRule="exact"/>
        <w:rPr>
          <w:rFonts w:hint="eastAsia" w:ascii="宋体" w:hAnsi="宋体" w:eastAsia="宋体" w:cs="宋体"/>
          <w:color w:val="auto"/>
          <w:sz w:val="20"/>
          <w:szCs w:val="20"/>
          <w:highlight w:val="none"/>
        </w:rPr>
      </w:pPr>
    </w:p>
    <w:p w14:paraId="2C62D947">
      <w:pPr>
        <w:spacing w:line="440" w:lineRule="exact"/>
        <w:rPr>
          <w:rFonts w:hint="eastAsia" w:ascii="宋体" w:hAnsi="宋体" w:eastAsia="宋体" w:cs="宋体"/>
          <w:color w:val="auto"/>
          <w:sz w:val="20"/>
          <w:szCs w:val="20"/>
          <w:highlight w:val="none"/>
        </w:rPr>
      </w:pPr>
    </w:p>
    <w:p w14:paraId="6325EB78">
      <w:pPr>
        <w:spacing w:line="440" w:lineRule="exact"/>
        <w:rPr>
          <w:rFonts w:hint="eastAsia" w:ascii="宋体" w:hAnsi="宋体" w:eastAsia="宋体" w:cs="宋体"/>
          <w:color w:val="auto"/>
          <w:sz w:val="20"/>
          <w:szCs w:val="20"/>
          <w:highlight w:val="none"/>
        </w:rPr>
      </w:pPr>
    </w:p>
    <w:p w14:paraId="4A58B58C">
      <w:pPr>
        <w:spacing w:line="4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8"/>
          <w:szCs w:val="28"/>
          <w:highlight w:val="none"/>
        </w:rPr>
        <w:t>（项目名称）</w:t>
      </w:r>
    </w:p>
    <w:p w14:paraId="26705FAD">
      <w:pPr>
        <w:spacing w:line="440" w:lineRule="exact"/>
        <w:jc w:val="center"/>
        <w:rPr>
          <w:rFonts w:hint="eastAsia" w:ascii="宋体" w:hAnsi="宋体" w:eastAsia="宋体" w:cs="宋体"/>
          <w:color w:val="auto"/>
          <w:sz w:val="20"/>
          <w:szCs w:val="20"/>
          <w:highlight w:val="none"/>
        </w:rPr>
      </w:pPr>
    </w:p>
    <w:p w14:paraId="5BD51F12">
      <w:pPr>
        <w:spacing w:line="440" w:lineRule="exact"/>
        <w:rPr>
          <w:rFonts w:hint="eastAsia" w:ascii="宋体" w:hAnsi="宋体" w:eastAsia="宋体" w:cs="宋体"/>
          <w:color w:val="auto"/>
          <w:sz w:val="20"/>
          <w:szCs w:val="20"/>
          <w:highlight w:val="none"/>
        </w:rPr>
      </w:pPr>
    </w:p>
    <w:p w14:paraId="12D562F9">
      <w:pPr>
        <w:spacing w:line="44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4D54EF7">
      <w:pPr>
        <w:spacing w:line="440" w:lineRule="exact"/>
        <w:rPr>
          <w:rFonts w:hint="eastAsia" w:ascii="宋体" w:hAnsi="宋体" w:eastAsia="宋体" w:cs="宋体"/>
          <w:color w:val="auto"/>
          <w:sz w:val="28"/>
          <w:szCs w:val="28"/>
          <w:highlight w:val="none"/>
        </w:rPr>
      </w:pPr>
    </w:p>
    <w:p w14:paraId="4571F873">
      <w:pPr>
        <w:spacing w:line="440" w:lineRule="exact"/>
        <w:rPr>
          <w:rFonts w:hint="eastAsia" w:ascii="宋体" w:hAnsi="宋体" w:eastAsia="宋体" w:cs="宋体"/>
          <w:color w:val="auto"/>
          <w:sz w:val="28"/>
          <w:szCs w:val="28"/>
          <w:highlight w:val="none"/>
        </w:rPr>
      </w:pPr>
    </w:p>
    <w:p w14:paraId="0E1E9980">
      <w:pPr>
        <w:spacing w:line="440" w:lineRule="exact"/>
        <w:rPr>
          <w:rFonts w:hint="eastAsia" w:ascii="宋体" w:hAnsi="宋体" w:eastAsia="宋体" w:cs="宋体"/>
          <w:color w:val="auto"/>
          <w:sz w:val="28"/>
          <w:szCs w:val="28"/>
          <w:highlight w:val="none"/>
        </w:rPr>
      </w:pPr>
    </w:p>
    <w:p w14:paraId="1E6C0C94">
      <w:pPr>
        <w:spacing w:line="440" w:lineRule="exact"/>
        <w:rPr>
          <w:rFonts w:hint="eastAsia" w:ascii="宋体" w:hAnsi="宋体" w:eastAsia="宋体" w:cs="宋体"/>
          <w:color w:val="auto"/>
          <w:sz w:val="28"/>
          <w:szCs w:val="28"/>
          <w:highlight w:val="none"/>
        </w:rPr>
      </w:pPr>
    </w:p>
    <w:p w14:paraId="6ACAD4ED">
      <w:pPr>
        <w:spacing w:line="440" w:lineRule="exact"/>
        <w:rPr>
          <w:rFonts w:hint="eastAsia" w:ascii="宋体" w:hAnsi="宋体" w:eastAsia="宋体" w:cs="宋体"/>
          <w:color w:val="auto"/>
          <w:sz w:val="28"/>
          <w:szCs w:val="28"/>
          <w:highlight w:val="none"/>
        </w:rPr>
      </w:pPr>
    </w:p>
    <w:p w14:paraId="33D96079">
      <w:pPr>
        <w:spacing w:line="440" w:lineRule="exact"/>
        <w:rPr>
          <w:rFonts w:hint="eastAsia" w:ascii="宋体" w:hAnsi="宋体" w:eastAsia="宋体" w:cs="宋体"/>
          <w:color w:val="auto"/>
          <w:sz w:val="28"/>
          <w:szCs w:val="28"/>
          <w:highlight w:val="none"/>
        </w:rPr>
      </w:pPr>
    </w:p>
    <w:p w14:paraId="0686145C">
      <w:pPr>
        <w:spacing w:line="440" w:lineRule="exact"/>
        <w:rPr>
          <w:rFonts w:hint="eastAsia" w:ascii="宋体" w:hAnsi="宋体" w:eastAsia="宋体" w:cs="宋体"/>
          <w:color w:val="auto"/>
          <w:sz w:val="28"/>
          <w:szCs w:val="28"/>
          <w:highlight w:val="none"/>
        </w:rPr>
      </w:pPr>
    </w:p>
    <w:p w14:paraId="34C09BBD">
      <w:pPr>
        <w:spacing w:line="440" w:lineRule="exact"/>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供应商：（盖单位章）</w:t>
      </w:r>
    </w:p>
    <w:p w14:paraId="04E3473E">
      <w:pPr>
        <w:spacing w:line="44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法定代表人或其委托代理人：（签字）</w:t>
      </w:r>
    </w:p>
    <w:p w14:paraId="0CDCF768">
      <w:pPr>
        <w:spacing w:line="44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年月日</w:t>
      </w:r>
    </w:p>
    <w:p w14:paraId="20BC1E73">
      <w:pPr>
        <w:widowControl/>
        <w:spacing w:line="440" w:lineRule="exact"/>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84AD130">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（注：供应商根据附件顺序编制响应文件并制作目录（须生成页码））</w:t>
      </w:r>
    </w:p>
    <w:p w14:paraId="657ADB8A">
      <w:pPr>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highlight w:val="none"/>
        </w:rPr>
        <w:br w:type="page"/>
      </w:r>
      <w:r>
        <w:rPr>
          <w:rFonts w:hint="eastAsia" w:ascii="宋体" w:hAnsi="宋体" w:eastAsia="宋体" w:cs="宋体"/>
          <w:b/>
          <w:bCs/>
          <w:color w:val="auto"/>
          <w:kern w:val="0"/>
          <w:szCs w:val="21"/>
          <w:highlight w:val="none"/>
        </w:rPr>
        <w:t>附件一、磋商申请及声明格式</w:t>
      </w:r>
    </w:p>
    <w:p w14:paraId="331EBE7C">
      <w:pPr>
        <w:widowControl/>
        <w:shd w:val="clear" w:color="auto" w:fill="FFFFFF"/>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磋商申请及声明</w:t>
      </w:r>
    </w:p>
    <w:p w14:paraId="68E5F2DC">
      <w:pPr>
        <w:widowControl/>
        <w:shd w:val="clear" w:color="auto" w:fill="FFFFFF"/>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致：江苏省设备成套股份有限公司</w:t>
      </w:r>
    </w:p>
    <w:p w14:paraId="6F72BA87">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根据贵方</w:t>
      </w:r>
      <w:r>
        <w:rPr>
          <w:rFonts w:hint="eastAsia" w:ascii="宋体" w:hAnsi="宋体" w:eastAsia="宋体" w:cs="宋体"/>
          <w:color w:val="auto"/>
          <w:kern w:val="0"/>
          <w:szCs w:val="21"/>
          <w:highlight w:val="none"/>
          <w:u w:val="single"/>
        </w:rPr>
        <w:t>           </w:t>
      </w:r>
      <w:r>
        <w:rPr>
          <w:rFonts w:hint="eastAsia" w:ascii="宋体" w:hAnsi="宋体" w:eastAsia="宋体" w:cs="宋体"/>
          <w:b/>
          <w:bCs/>
          <w:color w:val="auto"/>
          <w:kern w:val="0"/>
          <w:szCs w:val="21"/>
          <w:highlight w:val="none"/>
          <w:u w:val="single"/>
        </w:rPr>
        <w:t>（</w:t>
      </w:r>
      <w:r>
        <w:rPr>
          <w:rFonts w:hint="eastAsia" w:ascii="宋体" w:hAnsi="宋体" w:eastAsia="宋体" w:cs="宋体"/>
          <w:color w:val="auto"/>
          <w:kern w:val="0"/>
          <w:szCs w:val="21"/>
          <w:highlight w:val="none"/>
        </w:rPr>
        <w:t>项目名称） </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（项目编号）磋商邀请，正式授权下述签字人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(姓名和职务)代表供应商</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（供应商名称），提交响应文件。</w:t>
      </w:r>
    </w:p>
    <w:p w14:paraId="7CEF42EF">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据此函，签字人兹宣布声明和承诺如下：</w:t>
      </w:r>
    </w:p>
    <w:p w14:paraId="0515766E">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b/>
          <w:bCs/>
          <w:color w:val="auto"/>
          <w:kern w:val="0"/>
          <w:szCs w:val="21"/>
          <w:highlight w:val="none"/>
        </w:rPr>
        <w:t>我们的资格条件完全符合政府采购法和本次采购要求</w:t>
      </w:r>
      <w:r>
        <w:rPr>
          <w:rFonts w:hint="eastAsia" w:ascii="宋体" w:hAnsi="宋体" w:eastAsia="宋体" w:cs="宋体"/>
          <w:color w:val="auto"/>
          <w:kern w:val="0"/>
          <w:szCs w:val="21"/>
          <w:highlight w:val="none"/>
        </w:rPr>
        <w:t>，我们同意并向贵方提供了与磋商有关的所有证据和资料。</w:t>
      </w:r>
    </w:p>
    <w:p w14:paraId="49B0FED2">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2、本项目交付时间为：</w:t>
      </w:r>
      <w:r>
        <w:rPr>
          <w:rFonts w:hint="eastAsia" w:ascii="宋体" w:hAnsi="宋体" w:eastAsia="宋体" w:cs="宋体"/>
          <w:color w:val="auto"/>
          <w:kern w:val="0"/>
          <w:szCs w:val="21"/>
          <w:highlight w:val="none"/>
          <w:u w:val="thick"/>
        </w:rPr>
        <w:t>满足磋商文件要求</w:t>
      </w:r>
      <w:r>
        <w:rPr>
          <w:rFonts w:hint="eastAsia" w:ascii="宋体" w:hAnsi="宋体" w:eastAsia="宋体" w:cs="宋体"/>
          <w:color w:val="auto"/>
          <w:kern w:val="0"/>
          <w:szCs w:val="21"/>
          <w:highlight w:val="none"/>
        </w:rPr>
        <w:t>。</w:t>
      </w:r>
    </w:p>
    <w:p w14:paraId="5978AED2">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3、我们已详细阅读全部磋商文件及其有效补充文件，我们放弃对磋商文件任何误解的权利，提交响应文件后，</w:t>
      </w:r>
      <w:r>
        <w:rPr>
          <w:rFonts w:hint="eastAsia" w:ascii="宋体" w:hAnsi="宋体" w:eastAsia="宋体" w:cs="宋体"/>
          <w:b/>
          <w:bCs/>
          <w:color w:val="auto"/>
          <w:kern w:val="0"/>
          <w:szCs w:val="21"/>
          <w:highlight w:val="none"/>
        </w:rPr>
        <w:t>不对磋商文件本身提出质疑</w:t>
      </w:r>
      <w:r>
        <w:rPr>
          <w:rFonts w:hint="eastAsia" w:ascii="宋体" w:hAnsi="宋体" w:eastAsia="宋体" w:cs="宋体"/>
          <w:color w:val="auto"/>
          <w:kern w:val="0"/>
          <w:szCs w:val="21"/>
          <w:highlight w:val="none"/>
        </w:rPr>
        <w:t>。</w:t>
      </w:r>
    </w:p>
    <w:p w14:paraId="685F20DE">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4、我们同意从规定的开标日期起遵循本响应文件，并在规定的磋商有效期期满之前均具有约束力。</w:t>
      </w:r>
    </w:p>
    <w:p w14:paraId="1FC64F4A">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5、磋商截止时间结束后参加磋商的供应商不足三家的，或在评标期间出现符合专业条件的供应商或者对磋商文件作出实质响应的供应商不足三家情形的，我们酌情决定是否参加</w:t>
      </w:r>
      <w:r>
        <w:rPr>
          <w:rFonts w:hint="eastAsia" w:ascii="宋体" w:hAnsi="宋体" w:eastAsia="宋体" w:cs="宋体"/>
          <w:color w:val="auto"/>
          <w:highlight w:val="none"/>
        </w:rPr>
        <w:t>贵方组织的其他采购方式采购</w:t>
      </w:r>
      <w:r>
        <w:rPr>
          <w:rFonts w:hint="eastAsia" w:ascii="宋体" w:hAnsi="宋体" w:eastAsia="宋体" w:cs="宋体"/>
          <w:color w:val="auto"/>
          <w:kern w:val="0"/>
          <w:szCs w:val="21"/>
          <w:highlight w:val="none"/>
        </w:rPr>
        <w:t>。</w:t>
      </w:r>
    </w:p>
    <w:p w14:paraId="75711925">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6、一旦我方成交，我方将根据磋商文件的规定严格履行合同，并保证于承诺的时间完成货物的启动/集成、调试等服务，交付采购人验收、使用。</w:t>
      </w:r>
    </w:p>
    <w:p w14:paraId="56FE9EFA">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我方决不提供虚假材料谋取中标、决不采取不正当手段诋毁、排挤其他供应商、决不与采购人、其它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265CD7EC">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8、与本磋商有关的正式联系方式为：</w:t>
      </w:r>
    </w:p>
    <w:p w14:paraId="2EED99FF">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地   址：</w:t>
      </w:r>
      <w:r>
        <w:rPr>
          <w:rFonts w:hint="eastAsia" w:ascii="宋体" w:hAnsi="宋体" w:eastAsia="宋体" w:cs="宋体"/>
          <w:color w:val="auto"/>
          <w:kern w:val="0"/>
          <w:szCs w:val="21"/>
          <w:highlight w:val="none"/>
          <w:u w:val="single"/>
        </w:rPr>
        <w:t>                      </w:t>
      </w:r>
    </w:p>
    <w:p w14:paraId="4F7556F1">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   话：</w:t>
      </w:r>
      <w:r>
        <w:rPr>
          <w:rFonts w:hint="eastAsia" w:ascii="宋体" w:hAnsi="宋体" w:eastAsia="宋体" w:cs="宋体"/>
          <w:color w:val="auto"/>
          <w:kern w:val="0"/>
          <w:szCs w:val="21"/>
          <w:highlight w:val="none"/>
          <w:u w:val="single"/>
        </w:rPr>
        <w:t>                      </w:t>
      </w:r>
    </w:p>
    <w:p w14:paraId="600484BB">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传   真：</w:t>
      </w:r>
      <w:r>
        <w:rPr>
          <w:rFonts w:hint="eastAsia" w:ascii="宋体" w:hAnsi="宋体" w:eastAsia="宋体" w:cs="宋体"/>
          <w:color w:val="auto"/>
          <w:kern w:val="0"/>
          <w:szCs w:val="21"/>
          <w:highlight w:val="none"/>
          <w:u w:val="single"/>
        </w:rPr>
        <w:t>                      </w:t>
      </w:r>
    </w:p>
    <w:p w14:paraId="269EEC45">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开户银行：</w:t>
      </w:r>
    </w:p>
    <w:p w14:paraId="3FE86A8F">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银行账号：</w:t>
      </w:r>
    </w:p>
    <w:p w14:paraId="279632AE">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供应商授权代表姓名（签字）：</w:t>
      </w:r>
      <w:r>
        <w:rPr>
          <w:rFonts w:hint="eastAsia" w:ascii="宋体" w:hAnsi="宋体" w:eastAsia="宋体" w:cs="宋体"/>
          <w:color w:val="auto"/>
          <w:kern w:val="0"/>
          <w:szCs w:val="21"/>
          <w:highlight w:val="none"/>
          <w:u w:val="single"/>
        </w:rPr>
        <w:t>        </w:t>
      </w:r>
    </w:p>
    <w:p w14:paraId="6A44C7E3">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（盖章）</w:t>
      </w:r>
    </w:p>
    <w:p w14:paraId="41A934DC">
      <w:pPr>
        <w:widowControl/>
        <w:shd w:val="clear" w:color="auto" w:fill="FFFFFF"/>
        <w:spacing w:line="440" w:lineRule="exact"/>
        <w:ind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    期：</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日</w:t>
      </w:r>
    </w:p>
    <w:p w14:paraId="5D3B84E8">
      <w:pPr>
        <w:widowControl/>
        <w:shd w:val="clear" w:color="auto" w:fill="FFFFFF"/>
        <w:spacing w:line="440" w:lineRule="exac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附件二、法定代表人授权委托书格式</w:t>
      </w:r>
    </w:p>
    <w:p w14:paraId="69B69C83">
      <w:pPr>
        <w:widowControl/>
        <w:shd w:val="clear" w:color="auto" w:fill="FFFFFF"/>
        <w:spacing w:line="440" w:lineRule="exact"/>
        <w:ind w:firstLine="720"/>
        <w:jc w:val="center"/>
        <w:rPr>
          <w:rFonts w:hint="eastAsia" w:ascii="宋体" w:hAnsi="宋体" w:eastAsia="宋体" w:cs="宋体"/>
          <w:color w:val="auto"/>
          <w:kern w:val="0"/>
          <w:sz w:val="36"/>
          <w:szCs w:val="36"/>
          <w:highlight w:val="none"/>
        </w:rPr>
      </w:pPr>
    </w:p>
    <w:p w14:paraId="1834C87D">
      <w:pPr>
        <w:widowControl/>
        <w:shd w:val="clear" w:color="auto" w:fill="FFFFFF"/>
        <w:spacing w:line="440" w:lineRule="exact"/>
        <w:ind w:firstLine="720"/>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法定代表人授权委托书</w:t>
      </w:r>
    </w:p>
    <w:p w14:paraId="179E429C">
      <w:pPr>
        <w:widowControl/>
        <w:shd w:val="clear" w:color="auto" w:fill="FFFFFF"/>
        <w:spacing w:line="440" w:lineRule="exact"/>
        <w:jc w:val="left"/>
        <w:rPr>
          <w:rFonts w:hint="eastAsia" w:ascii="宋体" w:hAnsi="宋体" w:eastAsia="宋体" w:cs="宋体"/>
          <w:color w:val="auto"/>
          <w:kern w:val="0"/>
          <w:szCs w:val="21"/>
          <w:highlight w:val="none"/>
        </w:rPr>
      </w:pPr>
    </w:p>
    <w:p w14:paraId="7E4F5E90">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致：江苏省设备成套股份有限公司</w:t>
      </w:r>
    </w:p>
    <w:p w14:paraId="333B280B">
      <w:pPr>
        <w:widowControl/>
        <w:shd w:val="clear" w:color="auto" w:fill="FFFFFF"/>
        <w:spacing w:line="44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本授权书声明：注册于</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（供应商住址）的</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（供应商名称）法定代表人</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（法定代表人姓名、职务）代表本公司授权在下面签字的</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（供应商代表姓名、职务）为本公司的合法代理人，就贵方组织的</w:t>
      </w:r>
      <w:r>
        <w:rPr>
          <w:rFonts w:hint="eastAsia" w:ascii="宋体" w:hAnsi="宋体" w:eastAsia="宋体" w:cs="宋体"/>
          <w:b/>
          <w:bCs/>
          <w:color w:val="auto"/>
          <w:kern w:val="0"/>
          <w:szCs w:val="21"/>
          <w:highlight w:val="none"/>
          <w:u w:val="single"/>
        </w:rPr>
        <w:t>                   </w:t>
      </w: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u w:val="single"/>
        </w:rPr>
        <w:t>        </w:t>
      </w:r>
      <w:r>
        <w:rPr>
          <w:rFonts w:hint="eastAsia" w:ascii="宋体" w:hAnsi="宋体" w:eastAsia="宋体" w:cs="宋体"/>
          <w:color w:val="auto"/>
          <w:kern w:val="0"/>
          <w:szCs w:val="21"/>
          <w:highlight w:val="none"/>
        </w:rPr>
        <w:t>（项目编号）磋商，以本公司名义处理一切与之有关的事务。</w:t>
      </w:r>
    </w:p>
    <w:p w14:paraId="303FA688">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本授权书于    年  月  日签字生效，特此声明。</w:t>
      </w:r>
    </w:p>
    <w:p w14:paraId="539B5FC5">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法定代表人签字：</w:t>
      </w:r>
    </w:p>
    <w:p w14:paraId="650FBC42">
      <w:pPr>
        <w:widowControl/>
        <w:shd w:val="clear" w:color="auto" w:fill="FFFFFF"/>
        <w:spacing w:line="440" w:lineRule="exact"/>
        <w:ind w:firstLine="825"/>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授权委托人签字：                   </w:t>
      </w:r>
    </w:p>
    <w:p w14:paraId="493D49FB">
      <w:pPr>
        <w:widowControl/>
        <w:shd w:val="clear" w:color="auto" w:fill="FFFFFF"/>
        <w:spacing w:line="440" w:lineRule="exact"/>
        <w:ind w:firstLine="840" w:firstLineChars="4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     期：        年    月    日</w:t>
      </w:r>
    </w:p>
    <w:p w14:paraId="4F1140B5">
      <w:pPr>
        <w:widowControl/>
        <w:shd w:val="clear" w:color="auto" w:fill="FFFFFF"/>
        <w:spacing w:line="440" w:lineRule="exact"/>
        <w:ind w:firstLine="840" w:firstLineChars="400"/>
        <w:jc w:val="left"/>
        <w:rPr>
          <w:rFonts w:hint="eastAsia" w:ascii="宋体" w:hAnsi="宋体" w:eastAsia="宋体" w:cs="宋体"/>
          <w:color w:val="auto"/>
          <w:kern w:val="0"/>
          <w:szCs w:val="21"/>
          <w:highlight w:val="none"/>
        </w:rPr>
      </w:pPr>
    </w:p>
    <w:p w14:paraId="6DC2A549">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委托代理人的身份证的复印件:</w:t>
      </w:r>
    </w:p>
    <w:p w14:paraId="589C4611">
      <w:pPr>
        <w:widowControl/>
        <w:shd w:val="clear" w:color="auto" w:fill="FFFFFF"/>
        <w:spacing w:line="44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614ABD24">
      <w:pPr>
        <w:widowControl/>
        <w:shd w:val="clear" w:color="auto" w:fill="FFFFFF"/>
        <w:spacing w:line="44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7B8881B">
      <w:pPr>
        <w:widowControl/>
        <w:shd w:val="clear" w:color="auto" w:fill="FFFFFF"/>
        <w:spacing w:line="44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B4635AA">
      <w:pPr>
        <w:autoSpaceDE w:val="0"/>
        <w:autoSpaceDN w:val="0"/>
        <w:adjustRightInd w:val="0"/>
        <w:spacing w:line="440" w:lineRule="exact"/>
        <w:rPr>
          <w:rFonts w:hint="eastAsia" w:ascii="宋体" w:hAnsi="宋体" w:eastAsia="宋体" w:cs="宋体"/>
          <w:color w:val="auto"/>
          <w:highlight w:val="none"/>
          <w:lang w:val="zh-CN"/>
        </w:rPr>
      </w:pPr>
      <w:r>
        <w:rPr>
          <w:rFonts w:hint="eastAsia" w:ascii="宋体" w:hAnsi="宋体" w:eastAsia="宋体" w:cs="宋体"/>
          <w:b/>
          <w:bCs/>
          <w:color w:val="auto"/>
          <w:kern w:val="0"/>
          <w:szCs w:val="21"/>
          <w:highlight w:val="none"/>
        </w:rPr>
        <w:br w:type="page"/>
      </w:r>
      <w:bookmarkStart w:id="18" w:name="_Toc26810"/>
      <w:r>
        <w:rPr>
          <w:rFonts w:hint="eastAsia" w:ascii="宋体" w:hAnsi="宋体" w:eastAsia="宋体" w:cs="宋体"/>
          <w:b/>
          <w:bCs/>
          <w:color w:val="auto"/>
          <w:kern w:val="0"/>
          <w:szCs w:val="21"/>
          <w:highlight w:val="none"/>
          <w:lang w:val="zh-CN"/>
        </w:rPr>
        <w:t>附件三、报价表</w:t>
      </w:r>
      <w:bookmarkEnd w:id="18"/>
    </w:p>
    <w:p w14:paraId="1D77013C">
      <w:pPr>
        <w:autoSpaceDE w:val="0"/>
        <w:autoSpaceDN w:val="0"/>
        <w:adjustRightInd w:val="0"/>
        <w:spacing w:line="440" w:lineRule="exact"/>
        <w:rPr>
          <w:rFonts w:hint="eastAsia" w:ascii="宋体" w:hAnsi="宋体" w:eastAsia="宋体" w:cs="宋体"/>
          <w:b/>
          <w:bCs/>
          <w:color w:val="auto"/>
          <w:highlight w:val="none"/>
          <w:lang w:val="zh-CN"/>
        </w:rPr>
      </w:pPr>
    </w:p>
    <w:p w14:paraId="64267AC5">
      <w:pPr>
        <w:spacing w:line="440" w:lineRule="exact"/>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磋商一览表</w:t>
      </w:r>
    </w:p>
    <w:p w14:paraId="0D5FCA6D">
      <w:pPr>
        <w:widowControl/>
        <w:shd w:val="clear" w:color="auto" w:fill="FFFFFF"/>
        <w:spacing w:line="440" w:lineRule="exact"/>
        <w:jc w:val="center"/>
        <w:rPr>
          <w:rFonts w:hint="eastAsia" w:ascii="宋体" w:hAnsi="宋体" w:eastAsia="宋体" w:cs="宋体"/>
          <w:color w:val="auto"/>
          <w:kern w:val="0"/>
          <w:sz w:val="24"/>
          <w:highlight w:val="none"/>
        </w:rPr>
      </w:pPr>
    </w:p>
    <w:p w14:paraId="626C0DAA">
      <w:pPr>
        <w:pStyle w:val="4"/>
        <w:spacing w:line="440" w:lineRule="exact"/>
        <w:ind w:firstLine="474" w:firstLineChars="22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项目编号： </w:t>
      </w:r>
    </w:p>
    <w:p w14:paraId="5F3BD55E">
      <w:pPr>
        <w:pStyle w:val="4"/>
        <w:spacing w:line="440" w:lineRule="exact"/>
        <w:ind w:firstLine="474" w:firstLineChars="225"/>
        <w:rPr>
          <w:rFonts w:hint="eastAsia" w:ascii="宋体" w:hAnsi="宋体" w:eastAsia="宋体" w:cs="宋体"/>
          <w:color w:val="auto"/>
          <w:sz w:val="21"/>
          <w:szCs w:val="21"/>
          <w:highlight w:val="none"/>
        </w:rPr>
      </w:pPr>
    </w:p>
    <w:tbl>
      <w:tblPr>
        <w:tblStyle w:val="11"/>
        <w:tblW w:w="8994"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1369"/>
        <w:gridCol w:w="7625"/>
      </w:tblGrid>
      <w:tr w14:paraId="0972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98" w:hRule="atLeast"/>
        </w:trPr>
        <w:tc>
          <w:tcPr>
            <w:tcW w:w="1369" w:type="dxa"/>
            <w:noWrap w:val="0"/>
            <w:vAlign w:val="center"/>
          </w:tcPr>
          <w:p w14:paraId="150AC614">
            <w:pPr>
              <w:pStyle w:val="4"/>
              <w:spacing w:line="440" w:lineRule="exact"/>
              <w:ind w:firstLine="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总价</w:t>
            </w:r>
          </w:p>
        </w:tc>
        <w:tc>
          <w:tcPr>
            <w:tcW w:w="7625" w:type="dxa"/>
            <w:noWrap w:val="0"/>
            <w:vAlign w:val="center"/>
          </w:tcPr>
          <w:p w14:paraId="6971433D">
            <w:pPr>
              <w:pStyle w:val="4"/>
              <w:spacing w:line="44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小写：人民币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792CA960">
            <w:pPr>
              <w:pStyle w:val="4"/>
              <w:spacing w:line="440" w:lineRule="exact"/>
              <w:ind w:left="0" w:leftChars="0" w:firstLine="2530" w:firstLineChars="120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大写：人民币</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 xml:space="preserve">  </w:t>
            </w:r>
          </w:p>
        </w:tc>
      </w:tr>
      <w:tr w14:paraId="46BA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9" w:hRule="atLeast"/>
        </w:trPr>
        <w:tc>
          <w:tcPr>
            <w:tcW w:w="1369" w:type="dxa"/>
            <w:noWrap w:val="0"/>
            <w:vAlign w:val="center"/>
          </w:tcPr>
          <w:p w14:paraId="0A514D60">
            <w:pPr>
              <w:pStyle w:val="4"/>
              <w:spacing w:line="44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服务时间/交付使用时间</w:t>
            </w:r>
          </w:p>
        </w:tc>
        <w:tc>
          <w:tcPr>
            <w:tcW w:w="7625" w:type="dxa"/>
            <w:noWrap w:val="0"/>
            <w:vAlign w:val="center"/>
          </w:tcPr>
          <w:p w14:paraId="375738B4">
            <w:pPr>
              <w:pStyle w:val="4"/>
              <w:tabs>
                <w:tab w:val="left" w:pos="3624"/>
              </w:tabs>
              <w:spacing w:line="440" w:lineRule="exact"/>
              <w:ind w:firstLine="474" w:firstLineChars="225"/>
              <w:jc w:val="cente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满足招标文件要求。</w:t>
            </w:r>
          </w:p>
        </w:tc>
      </w:tr>
      <w:tr w14:paraId="7018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06" w:hRule="atLeast"/>
        </w:trPr>
        <w:tc>
          <w:tcPr>
            <w:tcW w:w="1369" w:type="dxa"/>
            <w:noWrap w:val="0"/>
            <w:vAlign w:val="center"/>
          </w:tcPr>
          <w:p w14:paraId="5263E1AE">
            <w:pPr>
              <w:pStyle w:val="4"/>
              <w:ind w:firstLine="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c>
          <w:tcPr>
            <w:tcW w:w="7625" w:type="dxa"/>
            <w:noWrap w:val="0"/>
            <w:vAlign w:val="center"/>
          </w:tcPr>
          <w:p w14:paraId="3B8B1241">
            <w:pPr>
              <w:pStyle w:val="4"/>
              <w:ind w:firstLine="474" w:firstLineChars="225"/>
              <w:jc w:val="center"/>
              <w:rPr>
                <w:rFonts w:hint="eastAsia" w:ascii="宋体" w:hAnsi="宋体" w:eastAsia="宋体" w:cs="宋体"/>
                <w:color w:val="auto"/>
                <w:sz w:val="21"/>
                <w:szCs w:val="21"/>
                <w:highlight w:val="none"/>
              </w:rPr>
            </w:pPr>
          </w:p>
        </w:tc>
      </w:tr>
    </w:tbl>
    <w:p w14:paraId="72CC078B">
      <w:pPr>
        <w:widowControl/>
        <w:shd w:val="clear" w:color="auto" w:fill="FFFFFF"/>
        <w:spacing w:line="440" w:lineRule="exact"/>
        <w:jc w:val="left"/>
        <w:rPr>
          <w:rFonts w:hint="eastAsia" w:ascii="宋体" w:hAnsi="宋体" w:eastAsia="宋体" w:cs="宋体"/>
          <w:color w:val="auto"/>
          <w:kern w:val="0"/>
          <w:szCs w:val="21"/>
          <w:highlight w:val="none"/>
        </w:rPr>
      </w:pPr>
    </w:p>
    <w:p w14:paraId="6D74F45C">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供应商名称（盖章）：</w:t>
      </w:r>
      <w:r>
        <w:rPr>
          <w:rFonts w:hint="eastAsia" w:ascii="宋体" w:hAnsi="宋体" w:eastAsia="宋体" w:cs="宋体"/>
          <w:color w:val="auto"/>
          <w:kern w:val="0"/>
          <w:szCs w:val="21"/>
          <w:highlight w:val="none"/>
          <w:u w:val="single"/>
        </w:rPr>
        <w:t>                             </w:t>
      </w:r>
    </w:p>
    <w:p w14:paraId="6B0CE92C">
      <w:pPr>
        <w:widowControl/>
        <w:shd w:val="clear" w:color="auto" w:fill="FFFFFF"/>
        <w:spacing w:line="440" w:lineRule="exact"/>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u w:val="single"/>
        </w:rPr>
        <w:t>                              </w:t>
      </w:r>
    </w:p>
    <w:p w14:paraId="544E73FC">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w:t>
      </w:r>
    </w:p>
    <w:p w14:paraId="7AE8EF5B">
      <w:pPr>
        <w:widowControl/>
        <w:numPr>
          <w:ilvl w:val="0"/>
          <w:numId w:val="3"/>
        </w:numPr>
        <w:shd w:val="clear" w:color="auto" w:fill="FFFFFF"/>
        <w:spacing w:line="440" w:lineRule="exact"/>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本项目仅接受一个价格，不得填报有选择性报价方案。若有优惠条款须注明，但不得影响报价，影响产品整体功能。</w:t>
      </w:r>
    </w:p>
    <w:p w14:paraId="1FB6076B">
      <w:pPr>
        <w:widowControl/>
        <w:numPr>
          <w:ilvl w:val="0"/>
          <w:numId w:val="3"/>
        </w:numPr>
        <w:shd w:val="clear" w:color="auto" w:fill="FFFFFF"/>
        <w:spacing w:line="440" w:lineRule="exact"/>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超过最高限价的报价按无效应答处理。</w:t>
      </w:r>
    </w:p>
    <w:p w14:paraId="5F71FD64">
      <w:pPr>
        <w:widowControl/>
        <w:numPr>
          <w:ilvl w:val="0"/>
          <w:numId w:val="3"/>
        </w:numPr>
        <w:shd w:val="clear" w:color="auto" w:fill="FFFFFF"/>
        <w:spacing w:line="440" w:lineRule="exact"/>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磋商结束后，磋商小组将要求所有实质性响应的供应商在规定时间内提交最后报价。</w:t>
      </w:r>
    </w:p>
    <w:p w14:paraId="7079F6A2">
      <w:pPr>
        <w:widowControl/>
        <w:shd w:val="clear" w:color="auto" w:fill="FFFFFF"/>
        <w:spacing w:line="440" w:lineRule="exact"/>
        <w:jc w:val="left"/>
        <w:rPr>
          <w:rFonts w:hint="eastAsia" w:ascii="宋体" w:hAnsi="宋体" w:eastAsia="宋体" w:cs="宋体"/>
          <w:color w:val="auto"/>
          <w:kern w:val="0"/>
          <w:szCs w:val="21"/>
          <w:highlight w:val="none"/>
        </w:rPr>
      </w:pPr>
      <w:bookmarkStart w:id="19" w:name="_Toc12264"/>
      <w:r>
        <w:rPr>
          <w:rFonts w:hint="eastAsia" w:ascii="宋体" w:hAnsi="宋体" w:eastAsia="宋体" w:cs="宋体"/>
          <w:b/>
          <w:bCs/>
          <w:color w:val="auto"/>
          <w:kern w:val="0"/>
          <w:szCs w:val="21"/>
          <w:highlight w:val="none"/>
          <w:lang w:val="zh-CN"/>
        </w:rPr>
        <w:br w:type="page"/>
      </w:r>
      <w:r>
        <w:rPr>
          <w:rFonts w:hint="eastAsia" w:ascii="宋体" w:hAnsi="宋体" w:eastAsia="宋体" w:cs="宋体"/>
          <w:b/>
          <w:bCs/>
          <w:color w:val="auto"/>
          <w:kern w:val="0"/>
          <w:szCs w:val="21"/>
          <w:highlight w:val="none"/>
          <w:lang w:val="zh-CN"/>
        </w:rPr>
        <w:t>附件四</w:t>
      </w:r>
      <w:bookmarkEnd w:id="19"/>
      <w:r>
        <w:rPr>
          <w:rFonts w:hint="eastAsia" w:ascii="宋体" w:hAnsi="宋体" w:eastAsia="宋体" w:cs="宋体"/>
          <w:b/>
          <w:bCs/>
          <w:color w:val="auto"/>
          <w:kern w:val="0"/>
          <w:szCs w:val="21"/>
          <w:highlight w:val="none"/>
        </w:rPr>
        <w:t>、技术规格偏离表格式</w:t>
      </w:r>
    </w:p>
    <w:p w14:paraId="1B47B08A">
      <w:pPr>
        <w:widowControl/>
        <w:shd w:val="clear" w:color="auto" w:fill="FFFFFF"/>
        <w:spacing w:line="440" w:lineRule="exact"/>
        <w:ind w:left="435"/>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 </w:t>
      </w:r>
    </w:p>
    <w:p w14:paraId="1A1027C2">
      <w:pPr>
        <w:widowControl/>
        <w:shd w:val="clear" w:color="auto" w:fill="FFFFFF"/>
        <w:spacing w:line="440" w:lineRule="exact"/>
        <w:ind w:left="420"/>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技术条款偏离表</w:t>
      </w:r>
    </w:p>
    <w:p w14:paraId="10E54556">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4D497BB4">
      <w:pPr>
        <w:widowControl/>
        <w:tabs>
          <w:tab w:val="left" w:pos="5397"/>
        </w:tabs>
        <w:spacing w:line="440" w:lineRule="exact"/>
        <w:ind w:firstLine="84" w:firstLineChars="4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项目编号：   </w:t>
      </w:r>
    </w:p>
    <w:tbl>
      <w:tblPr>
        <w:tblStyle w:val="11"/>
        <w:tblW w:w="8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2"/>
        <w:gridCol w:w="1678"/>
        <w:gridCol w:w="1931"/>
        <w:gridCol w:w="3012"/>
        <w:gridCol w:w="1246"/>
      </w:tblGrid>
      <w:tr w14:paraId="0D8E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2D69A5FD">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678" w:type="dxa"/>
            <w:noWrap w:val="0"/>
            <w:tcMar>
              <w:top w:w="0" w:type="dxa"/>
              <w:left w:w="10" w:type="dxa"/>
              <w:bottom w:w="0" w:type="dxa"/>
              <w:right w:w="10" w:type="dxa"/>
            </w:tcMar>
            <w:vAlign w:val="center"/>
          </w:tcPr>
          <w:p w14:paraId="1497FFFC">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磋商文件条目号</w:t>
            </w:r>
          </w:p>
        </w:tc>
        <w:tc>
          <w:tcPr>
            <w:tcW w:w="1931" w:type="dxa"/>
            <w:noWrap w:val="0"/>
            <w:tcMar>
              <w:top w:w="0" w:type="dxa"/>
              <w:left w:w="10" w:type="dxa"/>
              <w:bottom w:w="0" w:type="dxa"/>
              <w:right w:w="10" w:type="dxa"/>
            </w:tcMar>
            <w:vAlign w:val="center"/>
          </w:tcPr>
          <w:p w14:paraId="7A0A2233">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磋商文件要求规格</w:t>
            </w:r>
          </w:p>
        </w:tc>
        <w:tc>
          <w:tcPr>
            <w:tcW w:w="3012" w:type="dxa"/>
            <w:noWrap w:val="0"/>
            <w:tcMar>
              <w:top w:w="0" w:type="dxa"/>
              <w:left w:w="10" w:type="dxa"/>
              <w:bottom w:w="0" w:type="dxa"/>
              <w:right w:w="10" w:type="dxa"/>
            </w:tcMar>
            <w:vAlign w:val="center"/>
          </w:tcPr>
          <w:p w14:paraId="340A905A">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磋商响应</w:t>
            </w:r>
          </w:p>
        </w:tc>
        <w:tc>
          <w:tcPr>
            <w:tcW w:w="1246" w:type="dxa"/>
            <w:noWrap w:val="0"/>
            <w:tcMar>
              <w:top w:w="0" w:type="dxa"/>
              <w:left w:w="10" w:type="dxa"/>
              <w:bottom w:w="0" w:type="dxa"/>
              <w:right w:w="10" w:type="dxa"/>
            </w:tcMar>
            <w:vAlign w:val="center"/>
          </w:tcPr>
          <w:p w14:paraId="507424A7">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偏离</w:t>
            </w:r>
          </w:p>
        </w:tc>
      </w:tr>
      <w:tr w14:paraId="5188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6190EEA8">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noWrap w:val="0"/>
            <w:tcMar>
              <w:top w:w="0" w:type="dxa"/>
              <w:left w:w="10" w:type="dxa"/>
              <w:bottom w:w="0" w:type="dxa"/>
              <w:right w:w="10" w:type="dxa"/>
            </w:tcMar>
            <w:vAlign w:val="center"/>
          </w:tcPr>
          <w:p w14:paraId="1014ECB2">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noWrap w:val="0"/>
            <w:tcMar>
              <w:top w:w="0" w:type="dxa"/>
              <w:left w:w="10" w:type="dxa"/>
              <w:bottom w:w="0" w:type="dxa"/>
              <w:right w:w="10" w:type="dxa"/>
            </w:tcMar>
            <w:vAlign w:val="center"/>
          </w:tcPr>
          <w:p w14:paraId="2817F8FE">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noWrap w:val="0"/>
            <w:tcMar>
              <w:top w:w="0" w:type="dxa"/>
              <w:left w:w="10" w:type="dxa"/>
              <w:bottom w:w="0" w:type="dxa"/>
              <w:right w:w="10" w:type="dxa"/>
            </w:tcMar>
            <w:vAlign w:val="center"/>
          </w:tcPr>
          <w:p w14:paraId="56DC19CF">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noWrap w:val="0"/>
            <w:tcMar>
              <w:top w:w="0" w:type="dxa"/>
              <w:left w:w="10" w:type="dxa"/>
              <w:bottom w:w="0" w:type="dxa"/>
              <w:right w:w="10" w:type="dxa"/>
            </w:tcMar>
            <w:vAlign w:val="center"/>
          </w:tcPr>
          <w:p w14:paraId="31A49FCE">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248C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12AD7392">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noWrap w:val="0"/>
            <w:tcMar>
              <w:top w:w="0" w:type="dxa"/>
              <w:left w:w="10" w:type="dxa"/>
              <w:bottom w:w="0" w:type="dxa"/>
              <w:right w:w="10" w:type="dxa"/>
            </w:tcMar>
            <w:vAlign w:val="center"/>
          </w:tcPr>
          <w:p w14:paraId="52E0DD07">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noWrap w:val="0"/>
            <w:tcMar>
              <w:top w:w="0" w:type="dxa"/>
              <w:left w:w="10" w:type="dxa"/>
              <w:bottom w:w="0" w:type="dxa"/>
              <w:right w:w="10" w:type="dxa"/>
            </w:tcMar>
            <w:vAlign w:val="center"/>
          </w:tcPr>
          <w:p w14:paraId="258BFC4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noWrap w:val="0"/>
            <w:tcMar>
              <w:top w:w="0" w:type="dxa"/>
              <w:left w:w="10" w:type="dxa"/>
              <w:bottom w:w="0" w:type="dxa"/>
              <w:right w:w="10" w:type="dxa"/>
            </w:tcMar>
            <w:vAlign w:val="center"/>
          </w:tcPr>
          <w:p w14:paraId="1E666882">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noWrap w:val="0"/>
            <w:tcMar>
              <w:top w:w="0" w:type="dxa"/>
              <w:left w:w="10" w:type="dxa"/>
              <w:bottom w:w="0" w:type="dxa"/>
              <w:right w:w="10" w:type="dxa"/>
            </w:tcMar>
            <w:vAlign w:val="center"/>
          </w:tcPr>
          <w:p w14:paraId="2E9DFC58">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39DF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74587BC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8" w:type="dxa"/>
            <w:noWrap w:val="0"/>
            <w:tcMar>
              <w:top w:w="0" w:type="dxa"/>
              <w:left w:w="10" w:type="dxa"/>
              <w:bottom w:w="0" w:type="dxa"/>
              <w:right w:w="10" w:type="dxa"/>
            </w:tcMar>
            <w:vAlign w:val="center"/>
          </w:tcPr>
          <w:p w14:paraId="68B399D4">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931" w:type="dxa"/>
            <w:noWrap w:val="0"/>
            <w:tcMar>
              <w:top w:w="0" w:type="dxa"/>
              <w:left w:w="10" w:type="dxa"/>
              <w:bottom w:w="0" w:type="dxa"/>
              <w:right w:w="10" w:type="dxa"/>
            </w:tcMar>
            <w:vAlign w:val="center"/>
          </w:tcPr>
          <w:p w14:paraId="090B59DD">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12" w:type="dxa"/>
            <w:noWrap w:val="0"/>
            <w:tcMar>
              <w:top w:w="0" w:type="dxa"/>
              <w:left w:w="10" w:type="dxa"/>
              <w:bottom w:w="0" w:type="dxa"/>
              <w:right w:w="10" w:type="dxa"/>
            </w:tcMar>
            <w:vAlign w:val="center"/>
          </w:tcPr>
          <w:p w14:paraId="524217DA">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46" w:type="dxa"/>
            <w:noWrap w:val="0"/>
            <w:tcMar>
              <w:top w:w="0" w:type="dxa"/>
              <w:left w:w="10" w:type="dxa"/>
              <w:bottom w:w="0" w:type="dxa"/>
              <w:right w:w="10" w:type="dxa"/>
            </w:tcMar>
            <w:vAlign w:val="center"/>
          </w:tcPr>
          <w:p w14:paraId="2A05C40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1513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130514DA">
            <w:pPr>
              <w:widowControl/>
              <w:spacing w:line="440" w:lineRule="exact"/>
              <w:jc w:val="center"/>
              <w:rPr>
                <w:rFonts w:hint="eastAsia" w:ascii="宋体" w:hAnsi="宋体" w:eastAsia="宋体" w:cs="宋体"/>
                <w:color w:val="auto"/>
                <w:kern w:val="0"/>
                <w:szCs w:val="21"/>
                <w:highlight w:val="none"/>
              </w:rPr>
            </w:pPr>
          </w:p>
        </w:tc>
        <w:tc>
          <w:tcPr>
            <w:tcW w:w="1678" w:type="dxa"/>
            <w:noWrap w:val="0"/>
            <w:tcMar>
              <w:top w:w="0" w:type="dxa"/>
              <w:left w:w="10" w:type="dxa"/>
              <w:bottom w:w="0" w:type="dxa"/>
              <w:right w:w="10" w:type="dxa"/>
            </w:tcMar>
            <w:vAlign w:val="center"/>
          </w:tcPr>
          <w:p w14:paraId="5A79A5D9">
            <w:pPr>
              <w:widowControl/>
              <w:spacing w:line="440" w:lineRule="exact"/>
              <w:jc w:val="center"/>
              <w:rPr>
                <w:rFonts w:hint="eastAsia" w:ascii="宋体" w:hAnsi="宋体" w:eastAsia="宋体" w:cs="宋体"/>
                <w:color w:val="auto"/>
                <w:kern w:val="0"/>
                <w:szCs w:val="21"/>
                <w:highlight w:val="none"/>
              </w:rPr>
            </w:pPr>
          </w:p>
        </w:tc>
        <w:tc>
          <w:tcPr>
            <w:tcW w:w="1931" w:type="dxa"/>
            <w:noWrap w:val="0"/>
            <w:tcMar>
              <w:top w:w="0" w:type="dxa"/>
              <w:left w:w="10" w:type="dxa"/>
              <w:bottom w:w="0" w:type="dxa"/>
              <w:right w:w="10" w:type="dxa"/>
            </w:tcMar>
            <w:vAlign w:val="center"/>
          </w:tcPr>
          <w:p w14:paraId="58972B0D">
            <w:pPr>
              <w:widowControl/>
              <w:spacing w:line="440" w:lineRule="exact"/>
              <w:jc w:val="center"/>
              <w:rPr>
                <w:rFonts w:hint="eastAsia" w:ascii="宋体" w:hAnsi="宋体" w:eastAsia="宋体" w:cs="宋体"/>
                <w:color w:val="auto"/>
                <w:kern w:val="0"/>
                <w:szCs w:val="21"/>
                <w:highlight w:val="none"/>
              </w:rPr>
            </w:pPr>
          </w:p>
        </w:tc>
        <w:tc>
          <w:tcPr>
            <w:tcW w:w="3012" w:type="dxa"/>
            <w:noWrap w:val="0"/>
            <w:tcMar>
              <w:top w:w="0" w:type="dxa"/>
              <w:left w:w="10" w:type="dxa"/>
              <w:bottom w:w="0" w:type="dxa"/>
              <w:right w:w="10" w:type="dxa"/>
            </w:tcMar>
            <w:vAlign w:val="center"/>
          </w:tcPr>
          <w:p w14:paraId="7DCF83A7">
            <w:pPr>
              <w:widowControl/>
              <w:spacing w:line="440" w:lineRule="exact"/>
              <w:jc w:val="center"/>
              <w:rPr>
                <w:rFonts w:hint="eastAsia" w:ascii="宋体" w:hAnsi="宋体" w:eastAsia="宋体" w:cs="宋体"/>
                <w:color w:val="auto"/>
                <w:kern w:val="0"/>
                <w:szCs w:val="21"/>
                <w:highlight w:val="none"/>
              </w:rPr>
            </w:pPr>
          </w:p>
        </w:tc>
        <w:tc>
          <w:tcPr>
            <w:tcW w:w="1246" w:type="dxa"/>
            <w:noWrap w:val="0"/>
            <w:tcMar>
              <w:top w:w="0" w:type="dxa"/>
              <w:left w:w="10" w:type="dxa"/>
              <w:bottom w:w="0" w:type="dxa"/>
              <w:right w:w="10" w:type="dxa"/>
            </w:tcMar>
            <w:vAlign w:val="center"/>
          </w:tcPr>
          <w:p w14:paraId="59EAB9AB">
            <w:pPr>
              <w:widowControl/>
              <w:spacing w:line="440" w:lineRule="exact"/>
              <w:jc w:val="center"/>
              <w:rPr>
                <w:rFonts w:hint="eastAsia" w:ascii="宋体" w:hAnsi="宋体" w:eastAsia="宋体" w:cs="宋体"/>
                <w:color w:val="auto"/>
                <w:kern w:val="0"/>
                <w:szCs w:val="21"/>
                <w:highlight w:val="none"/>
              </w:rPr>
            </w:pPr>
          </w:p>
        </w:tc>
      </w:tr>
      <w:tr w14:paraId="622E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191BB384">
            <w:pPr>
              <w:widowControl/>
              <w:spacing w:line="440" w:lineRule="exact"/>
              <w:jc w:val="center"/>
              <w:rPr>
                <w:rFonts w:hint="eastAsia" w:ascii="宋体" w:hAnsi="宋体" w:eastAsia="宋体" w:cs="宋体"/>
                <w:color w:val="auto"/>
                <w:kern w:val="0"/>
                <w:szCs w:val="21"/>
                <w:highlight w:val="none"/>
              </w:rPr>
            </w:pPr>
          </w:p>
        </w:tc>
        <w:tc>
          <w:tcPr>
            <w:tcW w:w="1678" w:type="dxa"/>
            <w:noWrap w:val="0"/>
            <w:tcMar>
              <w:top w:w="0" w:type="dxa"/>
              <w:left w:w="10" w:type="dxa"/>
              <w:bottom w:w="0" w:type="dxa"/>
              <w:right w:w="10" w:type="dxa"/>
            </w:tcMar>
            <w:vAlign w:val="center"/>
          </w:tcPr>
          <w:p w14:paraId="39C7D11D">
            <w:pPr>
              <w:widowControl/>
              <w:spacing w:line="440" w:lineRule="exact"/>
              <w:jc w:val="center"/>
              <w:rPr>
                <w:rFonts w:hint="eastAsia" w:ascii="宋体" w:hAnsi="宋体" w:eastAsia="宋体" w:cs="宋体"/>
                <w:color w:val="auto"/>
                <w:kern w:val="0"/>
                <w:szCs w:val="21"/>
                <w:highlight w:val="none"/>
              </w:rPr>
            </w:pPr>
          </w:p>
        </w:tc>
        <w:tc>
          <w:tcPr>
            <w:tcW w:w="1931" w:type="dxa"/>
            <w:noWrap w:val="0"/>
            <w:tcMar>
              <w:top w:w="0" w:type="dxa"/>
              <w:left w:w="10" w:type="dxa"/>
              <w:bottom w:w="0" w:type="dxa"/>
              <w:right w:w="10" w:type="dxa"/>
            </w:tcMar>
            <w:vAlign w:val="center"/>
          </w:tcPr>
          <w:p w14:paraId="70DFD524">
            <w:pPr>
              <w:widowControl/>
              <w:spacing w:line="440" w:lineRule="exact"/>
              <w:jc w:val="center"/>
              <w:rPr>
                <w:rFonts w:hint="eastAsia" w:ascii="宋体" w:hAnsi="宋体" w:eastAsia="宋体" w:cs="宋体"/>
                <w:color w:val="auto"/>
                <w:kern w:val="0"/>
                <w:szCs w:val="21"/>
                <w:highlight w:val="none"/>
              </w:rPr>
            </w:pPr>
          </w:p>
        </w:tc>
        <w:tc>
          <w:tcPr>
            <w:tcW w:w="3012" w:type="dxa"/>
            <w:noWrap w:val="0"/>
            <w:tcMar>
              <w:top w:w="0" w:type="dxa"/>
              <w:left w:w="10" w:type="dxa"/>
              <w:bottom w:w="0" w:type="dxa"/>
              <w:right w:w="10" w:type="dxa"/>
            </w:tcMar>
            <w:vAlign w:val="center"/>
          </w:tcPr>
          <w:p w14:paraId="27C1E2F7">
            <w:pPr>
              <w:widowControl/>
              <w:spacing w:line="440" w:lineRule="exact"/>
              <w:jc w:val="center"/>
              <w:rPr>
                <w:rFonts w:hint="eastAsia" w:ascii="宋体" w:hAnsi="宋体" w:eastAsia="宋体" w:cs="宋体"/>
                <w:color w:val="auto"/>
                <w:kern w:val="0"/>
                <w:szCs w:val="21"/>
                <w:highlight w:val="none"/>
              </w:rPr>
            </w:pPr>
          </w:p>
        </w:tc>
        <w:tc>
          <w:tcPr>
            <w:tcW w:w="1246" w:type="dxa"/>
            <w:noWrap w:val="0"/>
            <w:tcMar>
              <w:top w:w="0" w:type="dxa"/>
              <w:left w:w="10" w:type="dxa"/>
              <w:bottom w:w="0" w:type="dxa"/>
              <w:right w:w="10" w:type="dxa"/>
            </w:tcMar>
            <w:vAlign w:val="center"/>
          </w:tcPr>
          <w:p w14:paraId="256221B9">
            <w:pPr>
              <w:widowControl/>
              <w:spacing w:line="440" w:lineRule="exact"/>
              <w:jc w:val="center"/>
              <w:rPr>
                <w:rFonts w:hint="eastAsia" w:ascii="宋体" w:hAnsi="宋体" w:eastAsia="宋体" w:cs="宋体"/>
                <w:color w:val="auto"/>
                <w:kern w:val="0"/>
                <w:szCs w:val="21"/>
                <w:highlight w:val="none"/>
              </w:rPr>
            </w:pPr>
          </w:p>
        </w:tc>
      </w:tr>
      <w:tr w14:paraId="7489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42" w:type="dxa"/>
            <w:noWrap w:val="0"/>
            <w:tcMar>
              <w:top w:w="0" w:type="dxa"/>
              <w:left w:w="10" w:type="dxa"/>
              <w:bottom w:w="0" w:type="dxa"/>
              <w:right w:w="10" w:type="dxa"/>
            </w:tcMar>
            <w:vAlign w:val="center"/>
          </w:tcPr>
          <w:p w14:paraId="3521B0B3">
            <w:pPr>
              <w:widowControl/>
              <w:spacing w:line="440" w:lineRule="exact"/>
              <w:jc w:val="center"/>
              <w:rPr>
                <w:rFonts w:hint="eastAsia" w:ascii="宋体" w:hAnsi="宋体" w:eastAsia="宋体" w:cs="宋体"/>
                <w:color w:val="auto"/>
                <w:kern w:val="0"/>
                <w:szCs w:val="21"/>
                <w:highlight w:val="none"/>
              </w:rPr>
            </w:pPr>
          </w:p>
        </w:tc>
        <w:tc>
          <w:tcPr>
            <w:tcW w:w="1678" w:type="dxa"/>
            <w:noWrap w:val="0"/>
            <w:tcMar>
              <w:top w:w="0" w:type="dxa"/>
              <w:left w:w="10" w:type="dxa"/>
              <w:bottom w:w="0" w:type="dxa"/>
              <w:right w:w="10" w:type="dxa"/>
            </w:tcMar>
            <w:vAlign w:val="center"/>
          </w:tcPr>
          <w:p w14:paraId="542EDF73">
            <w:pPr>
              <w:widowControl/>
              <w:spacing w:line="440" w:lineRule="exact"/>
              <w:jc w:val="center"/>
              <w:rPr>
                <w:rFonts w:hint="eastAsia" w:ascii="宋体" w:hAnsi="宋体" w:eastAsia="宋体" w:cs="宋体"/>
                <w:color w:val="auto"/>
                <w:kern w:val="0"/>
                <w:szCs w:val="21"/>
                <w:highlight w:val="none"/>
              </w:rPr>
            </w:pPr>
          </w:p>
        </w:tc>
        <w:tc>
          <w:tcPr>
            <w:tcW w:w="1931" w:type="dxa"/>
            <w:noWrap w:val="0"/>
            <w:tcMar>
              <w:top w:w="0" w:type="dxa"/>
              <w:left w:w="10" w:type="dxa"/>
              <w:bottom w:w="0" w:type="dxa"/>
              <w:right w:w="10" w:type="dxa"/>
            </w:tcMar>
            <w:vAlign w:val="center"/>
          </w:tcPr>
          <w:p w14:paraId="1F001119">
            <w:pPr>
              <w:widowControl/>
              <w:spacing w:line="440" w:lineRule="exact"/>
              <w:jc w:val="center"/>
              <w:rPr>
                <w:rFonts w:hint="eastAsia" w:ascii="宋体" w:hAnsi="宋体" w:eastAsia="宋体" w:cs="宋体"/>
                <w:color w:val="auto"/>
                <w:kern w:val="0"/>
                <w:szCs w:val="21"/>
                <w:highlight w:val="none"/>
              </w:rPr>
            </w:pPr>
          </w:p>
        </w:tc>
        <w:tc>
          <w:tcPr>
            <w:tcW w:w="3012" w:type="dxa"/>
            <w:noWrap w:val="0"/>
            <w:tcMar>
              <w:top w:w="0" w:type="dxa"/>
              <w:left w:w="10" w:type="dxa"/>
              <w:bottom w:w="0" w:type="dxa"/>
              <w:right w:w="10" w:type="dxa"/>
            </w:tcMar>
            <w:vAlign w:val="center"/>
          </w:tcPr>
          <w:p w14:paraId="2AFB105B">
            <w:pPr>
              <w:widowControl/>
              <w:spacing w:line="440" w:lineRule="exact"/>
              <w:jc w:val="center"/>
              <w:rPr>
                <w:rFonts w:hint="eastAsia" w:ascii="宋体" w:hAnsi="宋体" w:eastAsia="宋体" w:cs="宋体"/>
                <w:color w:val="auto"/>
                <w:kern w:val="0"/>
                <w:szCs w:val="21"/>
                <w:highlight w:val="none"/>
              </w:rPr>
            </w:pPr>
          </w:p>
        </w:tc>
        <w:tc>
          <w:tcPr>
            <w:tcW w:w="1246" w:type="dxa"/>
            <w:noWrap w:val="0"/>
            <w:tcMar>
              <w:top w:w="0" w:type="dxa"/>
              <w:left w:w="10" w:type="dxa"/>
              <w:bottom w:w="0" w:type="dxa"/>
              <w:right w:w="10" w:type="dxa"/>
            </w:tcMar>
            <w:vAlign w:val="center"/>
          </w:tcPr>
          <w:p w14:paraId="27A29AA3">
            <w:pPr>
              <w:widowControl/>
              <w:spacing w:line="440" w:lineRule="exact"/>
              <w:jc w:val="center"/>
              <w:rPr>
                <w:rFonts w:hint="eastAsia" w:ascii="宋体" w:hAnsi="宋体" w:eastAsia="宋体" w:cs="宋体"/>
                <w:color w:val="auto"/>
                <w:kern w:val="0"/>
                <w:szCs w:val="21"/>
                <w:highlight w:val="none"/>
              </w:rPr>
            </w:pPr>
          </w:p>
        </w:tc>
      </w:tr>
    </w:tbl>
    <w:p w14:paraId="56252037">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说明：如果行数不够，请自行增加。</w:t>
      </w:r>
    </w:p>
    <w:p w14:paraId="27E51948">
      <w:pPr>
        <w:widowControl/>
        <w:shd w:val="clear" w:color="auto" w:fill="FFFFFF"/>
        <w:spacing w:line="440" w:lineRule="exact"/>
        <w:jc w:val="left"/>
        <w:rPr>
          <w:rFonts w:hint="eastAsia" w:ascii="宋体" w:hAnsi="宋体" w:eastAsia="宋体" w:cs="宋体"/>
          <w:color w:val="auto"/>
          <w:kern w:val="0"/>
          <w:szCs w:val="21"/>
          <w:highlight w:val="none"/>
        </w:rPr>
      </w:pPr>
    </w:p>
    <w:p w14:paraId="54395F1F">
      <w:pPr>
        <w:widowControl/>
        <w:shd w:val="clear" w:color="auto" w:fill="FFFFFF"/>
        <w:spacing w:line="440" w:lineRule="exact"/>
        <w:jc w:val="left"/>
        <w:rPr>
          <w:rFonts w:hint="eastAsia" w:ascii="宋体" w:hAnsi="宋体" w:eastAsia="宋体" w:cs="宋体"/>
          <w:color w:val="auto"/>
          <w:kern w:val="0"/>
          <w:szCs w:val="21"/>
          <w:highlight w:val="none"/>
        </w:rPr>
      </w:pPr>
    </w:p>
    <w:p w14:paraId="5852B652">
      <w:pPr>
        <w:widowControl/>
        <w:shd w:val="clear" w:color="auto" w:fill="FFFFFF"/>
        <w:spacing w:line="440" w:lineRule="exact"/>
        <w:jc w:val="left"/>
        <w:rPr>
          <w:rFonts w:hint="eastAsia" w:ascii="宋体" w:hAnsi="宋体" w:eastAsia="宋体" w:cs="宋体"/>
          <w:color w:val="auto"/>
          <w:kern w:val="0"/>
          <w:szCs w:val="21"/>
          <w:highlight w:val="none"/>
        </w:rPr>
      </w:pPr>
    </w:p>
    <w:p w14:paraId="0E3324D4">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供应商名称（盖章）：</w:t>
      </w:r>
      <w:r>
        <w:rPr>
          <w:rFonts w:hint="eastAsia" w:ascii="宋体" w:hAnsi="宋体" w:eastAsia="宋体" w:cs="宋体"/>
          <w:color w:val="auto"/>
          <w:kern w:val="0"/>
          <w:szCs w:val="21"/>
          <w:highlight w:val="none"/>
          <w:u w:val="single"/>
        </w:rPr>
        <w:t>                             </w:t>
      </w:r>
    </w:p>
    <w:p w14:paraId="40F7A88C">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u w:val="single"/>
        </w:rPr>
        <w:t>                              </w:t>
      </w:r>
    </w:p>
    <w:p w14:paraId="046D5F0A">
      <w:pPr>
        <w:widowControl/>
        <w:shd w:val="clear" w:color="auto" w:fill="FFFFFF"/>
        <w:spacing w:line="440" w:lineRule="exact"/>
        <w:jc w:val="left"/>
        <w:rPr>
          <w:rFonts w:hint="eastAsia" w:ascii="宋体" w:hAnsi="宋体" w:eastAsia="宋体" w:cs="宋体"/>
          <w:color w:val="auto"/>
          <w:kern w:val="0"/>
          <w:szCs w:val="21"/>
          <w:highlight w:val="none"/>
        </w:rPr>
      </w:pPr>
    </w:p>
    <w:p w14:paraId="321530E5">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564A6030">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3DD09917">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4F5A2B46">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3862CEB7">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D6F649B">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A5545FA">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w:t>
      </w:r>
      <w:r>
        <w:rPr>
          <w:rFonts w:hint="eastAsia" w:ascii="宋体" w:hAnsi="宋体" w:eastAsia="宋体" w:cs="宋体"/>
          <w:b/>
          <w:bCs/>
          <w:color w:val="auto"/>
          <w:kern w:val="0"/>
          <w:szCs w:val="21"/>
          <w:highlight w:val="none"/>
          <w:lang w:val="en-US" w:eastAsia="zh-CN"/>
        </w:rPr>
        <w:t>五</w:t>
      </w:r>
      <w:r>
        <w:rPr>
          <w:rFonts w:hint="eastAsia" w:ascii="宋体" w:hAnsi="宋体" w:eastAsia="宋体" w:cs="宋体"/>
          <w:b/>
          <w:bCs/>
          <w:color w:val="auto"/>
          <w:kern w:val="0"/>
          <w:szCs w:val="21"/>
          <w:highlight w:val="none"/>
        </w:rPr>
        <w:t>、商务条款偏离表格式</w:t>
      </w:r>
    </w:p>
    <w:p w14:paraId="79729B8C">
      <w:pPr>
        <w:widowControl/>
        <w:shd w:val="clear" w:color="auto" w:fill="FFFFFF"/>
        <w:spacing w:line="44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3AB04A5">
      <w:pPr>
        <w:widowControl/>
        <w:shd w:val="clear" w:color="auto" w:fill="FFFFFF"/>
        <w:spacing w:line="440" w:lineRule="exact"/>
        <w:ind w:left="420"/>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 w:val="36"/>
          <w:szCs w:val="36"/>
          <w:highlight w:val="none"/>
        </w:rPr>
        <w:t>商务条款偏离表</w:t>
      </w:r>
    </w:p>
    <w:p w14:paraId="715726D4">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 </w:t>
      </w:r>
    </w:p>
    <w:p w14:paraId="2734CBCF">
      <w:pPr>
        <w:widowControl/>
        <w:tabs>
          <w:tab w:val="left" w:pos="5366"/>
        </w:tabs>
        <w:spacing w:line="440" w:lineRule="exact"/>
        <w:ind w:firstLine="96" w:firstLineChars="46"/>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r>
        <w:rPr>
          <w:rFonts w:hint="eastAsia" w:ascii="宋体" w:hAnsi="宋体" w:eastAsia="宋体" w:cs="宋体"/>
          <w:color w:val="auto"/>
          <w:kern w:val="0"/>
          <w:szCs w:val="21"/>
          <w:highlight w:val="none"/>
        </w:rPr>
        <w:tab/>
      </w:r>
      <w:r>
        <w:rPr>
          <w:rFonts w:hint="eastAsia" w:ascii="宋体" w:hAnsi="宋体" w:eastAsia="宋体" w:cs="宋体"/>
          <w:color w:val="auto"/>
          <w:kern w:val="0"/>
          <w:szCs w:val="21"/>
          <w:highlight w:val="none"/>
        </w:rPr>
        <w:t>项目编号：          </w:t>
      </w:r>
    </w:p>
    <w:tbl>
      <w:tblPr>
        <w:tblStyle w:val="11"/>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0"/>
        <w:gridCol w:w="1679"/>
        <w:gridCol w:w="2488"/>
        <w:gridCol w:w="3004"/>
        <w:gridCol w:w="1201"/>
      </w:tblGrid>
      <w:tr w14:paraId="1ED4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31F89D43">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1679" w:type="dxa"/>
            <w:noWrap w:val="0"/>
            <w:tcMar>
              <w:top w:w="0" w:type="dxa"/>
              <w:left w:w="10" w:type="dxa"/>
              <w:bottom w:w="0" w:type="dxa"/>
              <w:right w:w="10" w:type="dxa"/>
            </w:tcMar>
            <w:vAlign w:val="center"/>
          </w:tcPr>
          <w:p w14:paraId="45487FC8">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磋商文件条目号</w:t>
            </w:r>
          </w:p>
        </w:tc>
        <w:tc>
          <w:tcPr>
            <w:tcW w:w="2488" w:type="dxa"/>
            <w:noWrap w:val="0"/>
            <w:tcMar>
              <w:top w:w="0" w:type="dxa"/>
              <w:left w:w="10" w:type="dxa"/>
              <w:bottom w:w="0" w:type="dxa"/>
              <w:right w:w="10" w:type="dxa"/>
            </w:tcMar>
            <w:vAlign w:val="center"/>
          </w:tcPr>
          <w:p w14:paraId="12B7CE7D">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磋商文件要求的商务条款</w:t>
            </w:r>
          </w:p>
        </w:tc>
        <w:tc>
          <w:tcPr>
            <w:tcW w:w="3004" w:type="dxa"/>
            <w:noWrap w:val="0"/>
            <w:tcMar>
              <w:top w:w="0" w:type="dxa"/>
              <w:left w:w="10" w:type="dxa"/>
              <w:bottom w:w="0" w:type="dxa"/>
              <w:right w:w="10" w:type="dxa"/>
            </w:tcMar>
            <w:vAlign w:val="center"/>
          </w:tcPr>
          <w:p w14:paraId="289C2756">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磋商响应</w:t>
            </w:r>
          </w:p>
        </w:tc>
        <w:tc>
          <w:tcPr>
            <w:tcW w:w="1201" w:type="dxa"/>
            <w:noWrap w:val="0"/>
            <w:tcMar>
              <w:top w:w="0" w:type="dxa"/>
              <w:left w:w="10" w:type="dxa"/>
              <w:bottom w:w="0" w:type="dxa"/>
              <w:right w:w="10" w:type="dxa"/>
            </w:tcMar>
            <w:vAlign w:val="center"/>
          </w:tcPr>
          <w:p w14:paraId="6D82B2C5">
            <w:pPr>
              <w:widowControl/>
              <w:spacing w:line="44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偏离</w:t>
            </w:r>
          </w:p>
        </w:tc>
      </w:tr>
      <w:tr w14:paraId="1CFA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3982174B">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noWrap w:val="0"/>
            <w:tcMar>
              <w:top w:w="0" w:type="dxa"/>
              <w:left w:w="10" w:type="dxa"/>
              <w:bottom w:w="0" w:type="dxa"/>
              <w:right w:w="10" w:type="dxa"/>
            </w:tcMar>
            <w:vAlign w:val="center"/>
          </w:tcPr>
          <w:p w14:paraId="4E1D8ED3">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noWrap w:val="0"/>
            <w:tcMar>
              <w:top w:w="0" w:type="dxa"/>
              <w:left w:w="10" w:type="dxa"/>
              <w:bottom w:w="0" w:type="dxa"/>
              <w:right w:w="10" w:type="dxa"/>
            </w:tcMar>
            <w:vAlign w:val="center"/>
          </w:tcPr>
          <w:p w14:paraId="21B2A745">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noWrap w:val="0"/>
            <w:tcMar>
              <w:top w:w="0" w:type="dxa"/>
              <w:left w:w="10" w:type="dxa"/>
              <w:bottom w:w="0" w:type="dxa"/>
              <w:right w:w="10" w:type="dxa"/>
            </w:tcMar>
            <w:vAlign w:val="center"/>
          </w:tcPr>
          <w:p w14:paraId="739187DB">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noWrap w:val="0"/>
            <w:tcMar>
              <w:top w:w="0" w:type="dxa"/>
              <w:left w:w="10" w:type="dxa"/>
              <w:bottom w:w="0" w:type="dxa"/>
              <w:right w:w="10" w:type="dxa"/>
            </w:tcMar>
            <w:vAlign w:val="center"/>
          </w:tcPr>
          <w:p w14:paraId="356829C6">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21D2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14C87CAF">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noWrap w:val="0"/>
            <w:tcMar>
              <w:top w:w="0" w:type="dxa"/>
              <w:left w:w="10" w:type="dxa"/>
              <w:bottom w:w="0" w:type="dxa"/>
              <w:right w:w="10" w:type="dxa"/>
            </w:tcMar>
            <w:vAlign w:val="center"/>
          </w:tcPr>
          <w:p w14:paraId="64701EFE">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noWrap w:val="0"/>
            <w:tcMar>
              <w:top w:w="0" w:type="dxa"/>
              <w:left w:w="10" w:type="dxa"/>
              <w:bottom w:w="0" w:type="dxa"/>
              <w:right w:w="10" w:type="dxa"/>
            </w:tcMar>
            <w:vAlign w:val="center"/>
          </w:tcPr>
          <w:p w14:paraId="5C1F4E6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noWrap w:val="0"/>
            <w:tcMar>
              <w:top w:w="0" w:type="dxa"/>
              <w:left w:w="10" w:type="dxa"/>
              <w:bottom w:w="0" w:type="dxa"/>
              <w:right w:w="10" w:type="dxa"/>
            </w:tcMar>
            <w:vAlign w:val="center"/>
          </w:tcPr>
          <w:p w14:paraId="00FBB165">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noWrap w:val="0"/>
            <w:tcMar>
              <w:top w:w="0" w:type="dxa"/>
              <w:left w:w="10" w:type="dxa"/>
              <w:bottom w:w="0" w:type="dxa"/>
              <w:right w:w="10" w:type="dxa"/>
            </w:tcMar>
            <w:vAlign w:val="center"/>
          </w:tcPr>
          <w:p w14:paraId="672F4C6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5FDC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3C97BD47">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noWrap w:val="0"/>
            <w:tcMar>
              <w:top w:w="0" w:type="dxa"/>
              <w:left w:w="10" w:type="dxa"/>
              <w:bottom w:w="0" w:type="dxa"/>
              <w:right w:w="10" w:type="dxa"/>
            </w:tcMar>
            <w:vAlign w:val="center"/>
          </w:tcPr>
          <w:p w14:paraId="5E15A6DA">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noWrap w:val="0"/>
            <w:tcMar>
              <w:top w:w="0" w:type="dxa"/>
              <w:left w:w="10" w:type="dxa"/>
              <w:bottom w:w="0" w:type="dxa"/>
              <w:right w:w="10" w:type="dxa"/>
            </w:tcMar>
            <w:vAlign w:val="center"/>
          </w:tcPr>
          <w:p w14:paraId="2BEB167E">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noWrap w:val="0"/>
            <w:tcMar>
              <w:top w:w="0" w:type="dxa"/>
              <w:left w:w="10" w:type="dxa"/>
              <w:bottom w:w="0" w:type="dxa"/>
              <w:right w:w="10" w:type="dxa"/>
            </w:tcMar>
            <w:vAlign w:val="center"/>
          </w:tcPr>
          <w:p w14:paraId="09550E03">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noWrap w:val="0"/>
            <w:tcMar>
              <w:top w:w="0" w:type="dxa"/>
              <w:left w:w="10" w:type="dxa"/>
              <w:bottom w:w="0" w:type="dxa"/>
              <w:right w:w="10" w:type="dxa"/>
            </w:tcMar>
            <w:vAlign w:val="center"/>
          </w:tcPr>
          <w:p w14:paraId="715C989B">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0681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08354C54">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noWrap w:val="0"/>
            <w:tcMar>
              <w:top w:w="0" w:type="dxa"/>
              <w:left w:w="10" w:type="dxa"/>
              <w:bottom w:w="0" w:type="dxa"/>
              <w:right w:w="10" w:type="dxa"/>
            </w:tcMar>
            <w:vAlign w:val="center"/>
          </w:tcPr>
          <w:p w14:paraId="586E9EC8">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noWrap w:val="0"/>
            <w:tcMar>
              <w:top w:w="0" w:type="dxa"/>
              <w:left w:w="10" w:type="dxa"/>
              <w:bottom w:w="0" w:type="dxa"/>
              <w:right w:w="10" w:type="dxa"/>
            </w:tcMar>
            <w:vAlign w:val="center"/>
          </w:tcPr>
          <w:p w14:paraId="6044932C">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noWrap w:val="0"/>
            <w:tcMar>
              <w:top w:w="0" w:type="dxa"/>
              <w:left w:w="10" w:type="dxa"/>
              <w:bottom w:w="0" w:type="dxa"/>
              <w:right w:w="10" w:type="dxa"/>
            </w:tcMar>
            <w:vAlign w:val="center"/>
          </w:tcPr>
          <w:p w14:paraId="098BCDAD">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noWrap w:val="0"/>
            <w:tcMar>
              <w:top w:w="0" w:type="dxa"/>
              <w:left w:w="10" w:type="dxa"/>
              <w:bottom w:w="0" w:type="dxa"/>
              <w:right w:w="10" w:type="dxa"/>
            </w:tcMar>
            <w:vAlign w:val="center"/>
          </w:tcPr>
          <w:p w14:paraId="3B59C53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1576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1705F709">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679" w:type="dxa"/>
            <w:noWrap w:val="0"/>
            <w:tcMar>
              <w:top w:w="0" w:type="dxa"/>
              <w:left w:w="10" w:type="dxa"/>
              <w:bottom w:w="0" w:type="dxa"/>
              <w:right w:w="10" w:type="dxa"/>
            </w:tcMar>
            <w:vAlign w:val="center"/>
          </w:tcPr>
          <w:p w14:paraId="2EA7FA62">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2488" w:type="dxa"/>
            <w:noWrap w:val="0"/>
            <w:tcMar>
              <w:top w:w="0" w:type="dxa"/>
              <w:left w:w="10" w:type="dxa"/>
              <w:bottom w:w="0" w:type="dxa"/>
              <w:right w:w="10" w:type="dxa"/>
            </w:tcMar>
            <w:vAlign w:val="center"/>
          </w:tcPr>
          <w:p w14:paraId="26AC4928">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3004" w:type="dxa"/>
            <w:noWrap w:val="0"/>
            <w:tcMar>
              <w:top w:w="0" w:type="dxa"/>
              <w:left w:w="10" w:type="dxa"/>
              <w:bottom w:w="0" w:type="dxa"/>
              <w:right w:w="10" w:type="dxa"/>
            </w:tcMar>
            <w:vAlign w:val="center"/>
          </w:tcPr>
          <w:p w14:paraId="65DB62F8">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c>
          <w:tcPr>
            <w:tcW w:w="1201" w:type="dxa"/>
            <w:noWrap w:val="0"/>
            <w:tcMar>
              <w:top w:w="0" w:type="dxa"/>
              <w:left w:w="10" w:type="dxa"/>
              <w:bottom w:w="0" w:type="dxa"/>
              <w:right w:w="10" w:type="dxa"/>
            </w:tcMar>
            <w:vAlign w:val="center"/>
          </w:tcPr>
          <w:p w14:paraId="744A1A24">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tc>
      </w:tr>
      <w:tr w14:paraId="15BA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1ED1088D">
            <w:pPr>
              <w:widowControl/>
              <w:spacing w:line="440" w:lineRule="exact"/>
              <w:jc w:val="center"/>
              <w:rPr>
                <w:rFonts w:hint="eastAsia" w:ascii="宋体" w:hAnsi="宋体" w:eastAsia="宋体" w:cs="宋体"/>
                <w:color w:val="auto"/>
                <w:kern w:val="0"/>
                <w:szCs w:val="21"/>
                <w:highlight w:val="none"/>
              </w:rPr>
            </w:pPr>
          </w:p>
        </w:tc>
        <w:tc>
          <w:tcPr>
            <w:tcW w:w="1679" w:type="dxa"/>
            <w:noWrap w:val="0"/>
            <w:tcMar>
              <w:top w:w="0" w:type="dxa"/>
              <w:left w:w="10" w:type="dxa"/>
              <w:bottom w:w="0" w:type="dxa"/>
              <w:right w:w="10" w:type="dxa"/>
            </w:tcMar>
            <w:vAlign w:val="center"/>
          </w:tcPr>
          <w:p w14:paraId="0A20E7EB">
            <w:pPr>
              <w:widowControl/>
              <w:spacing w:line="440" w:lineRule="exact"/>
              <w:jc w:val="center"/>
              <w:rPr>
                <w:rFonts w:hint="eastAsia" w:ascii="宋体" w:hAnsi="宋体" w:eastAsia="宋体" w:cs="宋体"/>
                <w:color w:val="auto"/>
                <w:kern w:val="0"/>
                <w:szCs w:val="21"/>
                <w:highlight w:val="none"/>
              </w:rPr>
            </w:pPr>
          </w:p>
        </w:tc>
        <w:tc>
          <w:tcPr>
            <w:tcW w:w="2488" w:type="dxa"/>
            <w:noWrap w:val="0"/>
            <w:tcMar>
              <w:top w:w="0" w:type="dxa"/>
              <w:left w:w="10" w:type="dxa"/>
              <w:bottom w:w="0" w:type="dxa"/>
              <w:right w:w="10" w:type="dxa"/>
            </w:tcMar>
            <w:vAlign w:val="center"/>
          </w:tcPr>
          <w:p w14:paraId="0D70B926">
            <w:pPr>
              <w:widowControl/>
              <w:spacing w:line="440" w:lineRule="exact"/>
              <w:jc w:val="center"/>
              <w:rPr>
                <w:rFonts w:hint="eastAsia" w:ascii="宋体" w:hAnsi="宋体" w:eastAsia="宋体" w:cs="宋体"/>
                <w:color w:val="auto"/>
                <w:kern w:val="0"/>
                <w:szCs w:val="21"/>
                <w:highlight w:val="none"/>
              </w:rPr>
            </w:pPr>
          </w:p>
        </w:tc>
        <w:tc>
          <w:tcPr>
            <w:tcW w:w="3004" w:type="dxa"/>
            <w:noWrap w:val="0"/>
            <w:tcMar>
              <w:top w:w="0" w:type="dxa"/>
              <w:left w:w="10" w:type="dxa"/>
              <w:bottom w:w="0" w:type="dxa"/>
              <w:right w:w="10" w:type="dxa"/>
            </w:tcMar>
            <w:vAlign w:val="center"/>
          </w:tcPr>
          <w:p w14:paraId="10D814AF">
            <w:pPr>
              <w:widowControl/>
              <w:spacing w:line="440" w:lineRule="exact"/>
              <w:jc w:val="center"/>
              <w:rPr>
                <w:rFonts w:hint="eastAsia" w:ascii="宋体" w:hAnsi="宋体" w:eastAsia="宋体" w:cs="宋体"/>
                <w:color w:val="auto"/>
                <w:kern w:val="0"/>
                <w:szCs w:val="21"/>
                <w:highlight w:val="none"/>
              </w:rPr>
            </w:pPr>
          </w:p>
        </w:tc>
        <w:tc>
          <w:tcPr>
            <w:tcW w:w="1201" w:type="dxa"/>
            <w:noWrap w:val="0"/>
            <w:tcMar>
              <w:top w:w="0" w:type="dxa"/>
              <w:left w:w="10" w:type="dxa"/>
              <w:bottom w:w="0" w:type="dxa"/>
              <w:right w:w="10" w:type="dxa"/>
            </w:tcMar>
            <w:vAlign w:val="center"/>
          </w:tcPr>
          <w:p w14:paraId="02971CBC">
            <w:pPr>
              <w:widowControl/>
              <w:spacing w:line="440" w:lineRule="exact"/>
              <w:jc w:val="center"/>
              <w:rPr>
                <w:rFonts w:hint="eastAsia" w:ascii="宋体" w:hAnsi="宋体" w:eastAsia="宋体" w:cs="宋体"/>
                <w:color w:val="auto"/>
                <w:kern w:val="0"/>
                <w:szCs w:val="21"/>
                <w:highlight w:val="none"/>
              </w:rPr>
            </w:pPr>
          </w:p>
        </w:tc>
      </w:tr>
      <w:tr w14:paraId="7DAA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60" w:type="dxa"/>
            <w:noWrap w:val="0"/>
            <w:tcMar>
              <w:top w:w="0" w:type="dxa"/>
              <w:left w:w="10" w:type="dxa"/>
              <w:bottom w:w="0" w:type="dxa"/>
              <w:right w:w="10" w:type="dxa"/>
            </w:tcMar>
            <w:vAlign w:val="center"/>
          </w:tcPr>
          <w:p w14:paraId="24ACB675">
            <w:pPr>
              <w:widowControl/>
              <w:spacing w:line="440" w:lineRule="exact"/>
              <w:jc w:val="center"/>
              <w:rPr>
                <w:rFonts w:hint="eastAsia" w:ascii="宋体" w:hAnsi="宋体" w:eastAsia="宋体" w:cs="宋体"/>
                <w:color w:val="auto"/>
                <w:kern w:val="0"/>
                <w:szCs w:val="21"/>
                <w:highlight w:val="none"/>
              </w:rPr>
            </w:pPr>
          </w:p>
        </w:tc>
        <w:tc>
          <w:tcPr>
            <w:tcW w:w="1679" w:type="dxa"/>
            <w:noWrap w:val="0"/>
            <w:tcMar>
              <w:top w:w="0" w:type="dxa"/>
              <w:left w:w="10" w:type="dxa"/>
              <w:bottom w:w="0" w:type="dxa"/>
              <w:right w:w="10" w:type="dxa"/>
            </w:tcMar>
            <w:vAlign w:val="center"/>
          </w:tcPr>
          <w:p w14:paraId="24E4F7A6">
            <w:pPr>
              <w:widowControl/>
              <w:spacing w:line="440" w:lineRule="exact"/>
              <w:jc w:val="center"/>
              <w:rPr>
                <w:rFonts w:hint="eastAsia" w:ascii="宋体" w:hAnsi="宋体" w:eastAsia="宋体" w:cs="宋体"/>
                <w:color w:val="auto"/>
                <w:kern w:val="0"/>
                <w:szCs w:val="21"/>
                <w:highlight w:val="none"/>
              </w:rPr>
            </w:pPr>
          </w:p>
        </w:tc>
        <w:tc>
          <w:tcPr>
            <w:tcW w:w="2488" w:type="dxa"/>
            <w:noWrap w:val="0"/>
            <w:tcMar>
              <w:top w:w="0" w:type="dxa"/>
              <w:left w:w="10" w:type="dxa"/>
              <w:bottom w:w="0" w:type="dxa"/>
              <w:right w:w="10" w:type="dxa"/>
            </w:tcMar>
            <w:vAlign w:val="center"/>
          </w:tcPr>
          <w:p w14:paraId="19BAE5D4">
            <w:pPr>
              <w:widowControl/>
              <w:spacing w:line="440" w:lineRule="exact"/>
              <w:jc w:val="center"/>
              <w:rPr>
                <w:rFonts w:hint="eastAsia" w:ascii="宋体" w:hAnsi="宋体" w:eastAsia="宋体" w:cs="宋体"/>
                <w:color w:val="auto"/>
                <w:kern w:val="0"/>
                <w:szCs w:val="21"/>
                <w:highlight w:val="none"/>
              </w:rPr>
            </w:pPr>
          </w:p>
        </w:tc>
        <w:tc>
          <w:tcPr>
            <w:tcW w:w="3004" w:type="dxa"/>
            <w:noWrap w:val="0"/>
            <w:tcMar>
              <w:top w:w="0" w:type="dxa"/>
              <w:left w:w="10" w:type="dxa"/>
              <w:bottom w:w="0" w:type="dxa"/>
              <w:right w:w="10" w:type="dxa"/>
            </w:tcMar>
            <w:vAlign w:val="center"/>
          </w:tcPr>
          <w:p w14:paraId="409F3CF1">
            <w:pPr>
              <w:widowControl/>
              <w:spacing w:line="440" w:lineRule="exact"/>
              <w:jc w:val="center"/>
              <w:rPr>
                <w:rFonts w:hint="eastAsia" w:ascii="宋体" w:hAnsi="宋体" w:eastAsia="宋体" w:cs="宋体"/>
                <w:color w:val="auto"/>
                <w:kern w:val="0"/>
                <w:szCs w:val="21"/>
                <w:highlight w:val="none"/>
              </w:rPr>
            </w:pPr>
          </w:p>
        </w:tc>
        <w:tc>
          <w:tcPr>
            <w:tcW w:w="1201" w:type="dxa"/>
            <w:noWrap w:val="0"/>
            <w:tcMar>
              <w:top w:w="0" w:type="dxa"/>
              <w:left w:w="10" w:type="dxa"/>
              <w:bottom w:w="0" w:type="dxa"/>
              <w:right w:w="10" w:type="dxa"/>
            </w:tcMar>
            <w:vAlign w:val="center"/>
          </w:tcPr>
          <w:p w14:paraId="5CA0D3C3">
            <w:pPr>
              <w:widowControl/>
              <w:spacing w:line="440" w:lineRule="exact"/>
              <w:jc w:val="center"/>
              <w:rPr>
                <w:rFonts w:hint="eastAsia" w:ascii="宋体" w:hAnsi="宋体" w:eastAsia="宋体" w:cs="宋体"/>
                <w:color w:val="auto"/>
                <w:kern w:val="0"/>
                <w:szCs w:val="21"/>
                <w:highlight w:val="none"/>
              </w:rPr>
            </w:pPr>
          </w:p>
        </w:tc>
      </w:tr>
    </w:tbl>
    <w:p w14:paraId="2BFE591E">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说明：如果行数不够，请自行增加。</w:t>
      </w:r>
    </w:p>
    <w:p w14:paraId="214C708B">
      <w:pPr>
        <w:widowControl/>
        <w:shd w:val="clear" w:color="auto" w:fill="FFFFFF"/>
        <w:spacing w:line="440" w:lineRule="exact"/>
        <w:jc w:val="left"/>
        <w:rPr>
          <w:rFonts w:hint="eastAsia" w:ascii="宋体" w:hAnsi="宋体" w:eastAsia="宋体" w:cs="宋体"/>
          <w:color w:val="auto"/>
          <w:kern w:val="0"/>
          <w:szCs w:val="21"/>
          <w:highlight w:val="none"/>
        </w:rPr>
      </w:pPr>
    </w:p>
    <w:p w14:paraId="4C3DC107">
      <w:pPr>
        <w:widowControl/>
        <w:shd w:val="clear" w:color="auto" w:fill="FFFFFF"/>
        <w:spacing w:line="440" w:lineRule="exact"/>
        <w:jc w:val="left"/>
        <w:rPr>
          <w:rFonts w:hint="eastAsia" w:ascii="宋体" w:hAnsi="宋体" w:eastAsia="宋体" w:cs="宋体"/>
          <w:color w:val="auto"/>
          <w:kern w:val="0"/>
          <w:szCs w:val="21"/>
          <w:highlight w:val="none"/>
        </w:rPr>
      </w:pPr>
    </w:p>
    <w:p w14:paraId="7D1359AE">
      <w:pPr>
        <w:widowControl/>
        <w:shd w:val="clear" w:color="auto" w:fill="FFFFFF"/>
        <w:spacing w:line="440" w:lineRule="exact"/>
        <w:jc w:val="left"/>
        <w:rPr>
          <w:rFonts w:hint="eastAsia" w:ascii="宋体" w:hAnsi="宋体" w:eastAsia="宋体" w:cs="宋体"/>
          <w:color w:val="auto"/>
          <w:kern w:val="0"/>
          <w:szCs w:val="21"/>
          <w:highlight w:val="none"/>
        </w:rPr>
      </w:pPr>
    </w:p>
    <w:p w14:paraId="33E5A0D2">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供应商名称（盖章）：</w:t>
      </w:r>
      <w:r>
        <w:rPr>
          <w:rFonts w:hint="eastAsia" w:ascii="宋体" w:hAnsi="宋体" w:eastAsia="宋体" w:cs="宋体"/>
          <w:color w:val="auto"/>
          <w:kern w:val="0"/>
          <w:szCs w:val="21"/>
          <w:highlight w:val="none"/>
          <w:u w:val="single"/>
        </w:rPr>
        <w:t>                             </w:t>
      </w:r>
    </w:p>
    <w:p w14:paraId="1D01A347">
      <w:pPr>
        <w:widowControl/>
        <w:shd w:val="clear" w:color="auto" w:fill="FFFFFF"/>
        <w:spacing w:line="440" w:lineRule="exact"/>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u w:val="single"/>
        </w:rPr>
        <w:t>                              </w:t>
      </w:r>
    </w:p>
    <w:p w14:paraId="4B14DAAB">
      <w:pPr>
        <w:widowControl/>
        <w:shd w:val="clear" w:color="auto" w:fill="FFFFFF"/>
        <w:spacing w:line="440" w:lineRule="exact"/>
        <w:jc w:val="left"/>
        <w:rPr>
          <w:rFonts w:hint="eastAsia" w:ascii="宋体" w:hAnsi="宋体" w:eastAsia="宋体" w:cs="宋体"/>
          <w:color w:val="auto"/>
          <w:kern w:val="0"/>
          <w:szCs w:val="21"/>
          <w:highlight w:val="none"/>
        </w:rPr>
      </w:pPr>
    </w:p>
    <w:p w14:paraId="157FEE07">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331F8B27">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0EBC0010">
      <w:pPr>
        <w:widowControl/>
        <w:shd w:val="clear" w:color="auto" w:fill="FFFFFF"/>
        <w:spacing w:line="440" w:lineRule="exact"/>
        <w:jc w:val="left"/>
        <w:rPr>
          <w:rFonts w:hint="eastAsia" w:ascii="宋体" w:hAnsi="宋体" w:eastAsia="宋体" w:cs="宋体"/>
          <w:color w:val="auto"/>
          <w:kern w:val="0"/>
          <w:szCs w:val="21"/>
          <w:highlight w:val="none"/>
        </w:rPr>
      </w:pPr>
    </w:p>
    <w:p w14:paraId="15DB520C">
      <w:pPr>
        <w:widowControl/>
        <w:shd w:val="clear" w:color="auto" w:fill="FFFFFF"/>
        <w:spacing w:line="440" w:lineRule="exact"/>
        <w:jc w:val="left"/>
        <w:rPr>
          <w:rFonts w:hint="eastAsia" w:ascii="宋体" w:hAnsi="宋体" w:eastAsia="宋体" w:cs="宋体"/>
          <w:b/>
          <w:color w:val="auto"/>
          <w:szCs w:val="21"/>
          <w:highlight w:val="none"/>
          <w:lang w:val="zh-CN"/>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w:t>
      </w:r>
      <w:r>
        <w:rPr>
          <w:rFonts w:hint="eastAsia" w:ascii="宋体" w:hAnsi="宋体" w:eastAsia="宋体" w:cs="宋体"/>
          <w:b/>
          <w:bCs/>
          <w:color w:val="auto"/>
          <w:kern w:val="0"/>
          <w:szCs w:val="21"/>
          <w:highlight w:val="none"/>
          <w:lang w:val="en-US" w:eastAsia="zh-CN"/>
        </w:rPr>
        <w:t>六</w:t>
      </w:r>
      <w:r>
        <w:rPr>
          <w:rFonts w:hint="eastAsia" w:ascii="宋体" w:hAnsi="宋体" w:eastAsia="宋体" w:cs="宋体"/>
          <w:b/>
          <w:bCs/>
          <w:color w:val="auto"/>
          <w:kern w:val="0"/>
          <w:szCs w:val="21"/>
          <w:highlight w:val="none"/>
        </w:rPr>
        <w:t>、</w:t>
      </w:r>
      <w:r>
        <w:rPr>
          <w:rFonts w:hint="eastAsia" w:ascii="宋体" w:hAnsi="宋体" w:eastAsia="宋体" w:cs="宋体"/>
          <w:b/>
          <w:color w:val="auto"/>
          <w:szCs w:val="21"/>
          <w:highlight w:val="none"/>
          <w:lang w:val="zh-CN"/>
        </w:rPr>
        <w:t>技术说明与服务方案</w:t>
      </w:r>
    </w:p>
    <w:p w14:paraId="6DF16A79">
      <w:pPr>
        <w:widowControl/>
        <w:shd w:val="clear" w:color="auto" w:fill="FFFFFF"/>
        <w:spacing w:line="440" w:lineRule="exact"/>
        <w:jc w:val="left"/>
        <w:rPr>
          <w:rFonts w:hint="eastAsia" w:ascii="宋体" w:hAnsi="宋体" w:eastAsia="宋体" w:cs="宋体"/>
          <w:b/>
          <w:color w:val="auto"/>
          <w:szCs w:val="21"/>
          <w:highlight w:val="none"/>
          <w:lang w:val="zh-CN"/>
        </w:rPr>
      </w:pPr>
    </w:p>
    <w:p w14:paraId="59450B9A">
      <w:pPr>
        <w:pStyle w:val="16"/>
        <w:snapToGrid w:val="0"/>
        <w:spacing w:before="0" w:after="0" w:line="440" w:lineRule="exact"/>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技术方案及服务承诺应根据采购人对项目的要求、评标标准的要求及项目本身的特点编写，内容应包括但不限于以下内容：</w:t>
      </w:r>
    </w:p>
    <w:p w14:paraId="4DEA2486">
      <w:pPr>
        <w:pStyle w:val="16"/>
        <w:snapToGrid w:val="0"/>
        <w:spacing w:before="0" w:after="0" w:line="440" w:lineRule="exact"/>
        <w:ind w:firstLine="420" w:firstLineChars="200"/>
        <w:rPr>
          <w:rFonts w:hint="eastAsia" w:ascii="宋体" w:hAnsi="宋体" w:eastAsia="宋体" w:cs="宋体"/>
          <w:color w:val="auto"/>
          <w:kern w:val="2"/>
          <w:sz w:val="21"/>
          <w:szCs w:val="21"/>
          <w:highlight w:val="none"/>
        </w:rPr>
      </w:pPr>
    </w:p>
    <w:p w14:paraId="4C3E3843">
      <w:pPr>
        <w:widowControl/>
        <w:shd w:val="clear" w:color="auto" w:fill="FFFFFF"/>
        <w:spacing w:line="440" w:lineRule="exact"/>
        <w:jc w:val="left"/>
        <w:rPr>
          <w:rFonts w:hint="eastAsia" w:ascii="宋体" w:hAnsi="宋体" w:eastAsia="宋体" w:cs="宋体"/>
          <w:color w:val="auto"/>
          <w:kern w:val="0"/>
          <w:szCs w:val="21"/>
          <w:highlight w:val="none"/>
        </w:rPr>
      </w:pPr>
    </w:p>
    <w:p w14:paraId="6158DBAE">
      <w:pPr>
        <w:widowControl/>
        <w:shd w:val="clear" w:color="auto" w:fill="FFFFFF"/>
        <w:spacing w:line="440" w:lineRule="exact"/>
        <w:jc w:val="left"/>
        <w:rPr>
          <w:rFonts w:hint="eastAsia" w:ascii="宋体" w:hAnsi="宋体" w:eastAsia="宋体" w:cs="宋体"/>
          <w:color w:val="auto"/>
          <w:kern w:val="0"/>
          <w:szCs w:val="21"/>
          <w:highlight w:val="none"/>
        </w:rPr>
      </w:pPr>
    </w:p>
    <w:p w14:paraId="0869D3AE">
      <w:pPr>
        <w:widowControl/>
        <w:shd w:val="clear" w:color="auto" w:fill="FFFFFF"/>
        <w:spacing w:line="440" w:lineRule="exact"/>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 </w:t>
      </w:r>
    </w:p>
    <w:p w14:paraId="3CA99142">
      <w:pPr>
        <w:widowControl/>
        <w:adjustRightInd w:val="0"/>
        <w:spacing w:line="440" w:lineRule="exact"/>
        <w:rPr>
          <w:rFonts w:hint="eastAsia" w:ascii="宋体" w:hAnsi="宋体" w:eastAsia="宋体" w:cs="宋体"/>
          <w:b/>
          <w:bCs/>
          <w:color w:val="auto"/>
          <w:kern w:val="0"/>
          <w:sz w:val="24"/>
          <w:highlight w:val="none"/>
        </w:rPr>
      </w:pPr>
      <w:r>
        <w:rPr>
          <w:rFonts w:hint="eastAsia" w:ascii="宋体" w:hAnsi="宋体" w:eastAsia="宋体" w:cs="宋体"/>
          <w:color w:val="auto"/>
          <w:highlight w:val="none"/>
        </w:rPr>
        <w:br w:type="page"/>
      </w: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七</w:t>
      </w:r>
      <w:r>
        <w:rPr>
          <w:rFonts w:hint="eastAsia" w:ascii="宋体" w:hAnsi="宋体" w:eastAsia="宋体" w:cs="宋体"/>
          <w:b/>
          <w:bCs/>
          <w:color w:val="auto"/>
          <w:kern w:val="0"/>
          <w:sz w:val="24"/>
          <w:highlight w:val="none"/>
        </w:rPr>
        <w:t>、拟参与本项目服务人员一览表</w:t>
      </w:r>
    </w:p>
    <w:p w14:paraId="66816ADA">
      <w:pPr>
        <w:widowControl/>
        <w:adjustRightInd w:val="0"/>
        <w:spacing w:line="440" w:lineRule="exact"/>
        <w:rPr>
          <w:rFonts w:hint="eastAsia" w:ascii="宋体" w:hAnsi="宋体" w:eastAsia="宋体" w:cs="宋体"/>
          <w:b/>
          <w:bCs/>
          <w:color w:val="auto"/>
          <w:kern w:val="0"/>
          <w:sz w:val="24"/>
          <w:highlight w:val="none"/>
        </w:rPr>
      </w:pPr>
    </w:p>
    <w:p w14:paraId="4DC2CD8F">
      <w:pPr>
        <w:widowControl/>
        <w:adjustRightInd w:val="0"/>
        <w:spacing w:line="440" w:lineRule="exact"/>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拟参与本项目服务人员一览表</w:t>
      </w:r>
    </w:p>
    <w:p w14:paraId="1F016F65">
      <w:pPr>
        <w:widowControl/>
        <w:adjustRightInd w:val="0"/>
        <w:spacing w:line="440" w:lineRule="exact"/>
        <w:jc w:val="center"/>
        <w:rPr>
          <w:rFonts w:hint="eastAsia" w:ascii="宋体" w:hAnsi="宋体" w:eastAsia="宋体" w:cs="宋体"/>
          <w:b/>
          <w:bCs/>
          <w:color w:val="auto"/>
          <w:kern w:val="0"/>
          <w:sz w:val="24"/>
          <w:highlight w:val="none"/>
        </w:rPr>
      </w:pPr>
    </w:p>
    <w:p w14:paraId="75120647">
      <w:pPr>
        <w:widowControl/>
        <w:adjustRightInd w:val="0"/>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项目名称：项目编号： </w:t>
      </w:r>
    </w:p>
    <w:tbl>
      <w:tblPr>
        <w:tblStyle w:val="11"/>
        <w:tblW w:w="9464" w:type="dxa"/>
        <w:jc w:val="center"/>
        <w:tblLayout w:type="fixed"/>
        <w:tblCellMar>
          <w:top w:w="0" w:type="dxa"/>
          <w:left w:w="108" w:type="dxa"/>
          <w:bottom w:w="0" w:type="dxa"/>
          <w:right w:w="108" w:type="dxa"/>
        </w:tblCellMar>
      </w:tblPr>
      <w:tblGrid>
        <w:gridCol w:w="534"/>
        <w:gridCol w:w="896"/>
        <w:gridCol w:w="663"/>
        <w:gridCol w:w="709"/>
        <w:gridCol w:w="1134"/>
        <w:gridCol w:w="931"/>
        <w:gridCol w:w="1020"/>
        <w:gridCol w:w="994"/>
        <w:gridCol w:w="882"/>
        <w:gridCol w:w="850"/>
        <w:gridCol w:w="851"/>
      </w:tblGrid>
      <w:tr w14:paraId="5CB39CA4">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center"/>
          </w:tcPr>
          <w:p w14:paraId="022B2860">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896" w:type="dxa"/>
            <w:tcBorders>
              <w:top w:val="single" w:color="000000" w:sz="4" w:space="0"/>
              <w:left w:val="nil"/>
              <w:bottom w:val="single" w:color="000000" w:sz="4" w:space="0"/>
              <w:right w:val="single" w:color="000000" w:sz="4" w:space="0"/>
            </w:tcBorders>
            <w:noWrap w:val="0"/>
            <w:vAlign w:val="center"/>
          </w:tcPr>
          <w:p w14:paraId="486033E8">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姓名</w:t>
            </w:r>
          </w:p>
        </w:tc>
        <w:tc>
          <w:tcPr>
            <w:tcW w:w="663" w:type="dxa"/>
            <w:tcBorders>
              <w:top w:val="single" w:color="000000" w:sz="4" w:space="0"/>
              <w:left w:val="nil"/>
              <w:bottom w:val="single" w:color="000000" w:sz="4" w:space="0"/>
              <w:right w:val="single" w:color="000000" w:sz="4" w:space="0"/>
            </w:tcBorders>
            <w:noWrap w:val="0"/>
            <w:vAlign w:val="center"/>
          </w:tcPr>
          <w:p w14:paraId="6E6E64CB">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性别</w:t>
            </w:r>
          </w:p>
        </w:tc>
        <w:tc>
          <w:tcPr>
            <w:tcW w:w="709" w:type="dxa"/>
            <w:tcBorders>
              <w:top w:val="single" w:color="000000" w:sz="4" w:space="0"/>
              <w:left w:val="nil"/>
              <w:bottom w:val="single" w:color="000000" w:sz="4" w:space="0"/>
              <w:right w:val="single" w:color="000000" w:sz="4" w:space="0"/>
            </w:tcBorders>
            <w:noWrap w:val="0"/>
            <w:vAlign w:val="center"/>
          </w:tcPr>
          <w:p w14:paraId="6AA096D0">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年龄</w:t>
            </w:r>
          </w:p>
        </w:tc>
        <w:tc>
          <w:tcPr>
            <w:tcW w:w="1134" w:type="dxa"/>
            <w:tcBorders>
              <w:top w:val="single" w:color="000000" w:sz="4" w:space="0"/>
              <w:left w:val="nil"/>
              <w:bottom w:val="single" w:color="000000" w:sz="4" w:space="0"/>
              <w:right w:val="single" w:color="000000" w:sz="4" w:space="0"/>
            </w:tcBorders>
            <w:noWrap w:val="0"/>
            <w:vAlign w:val="center"/>
          </w:tcPr>
          <w:p w14:paraId="09FEBBA0">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专业</w:t>
            </w:r>
          </w:p>
        </w:tc>
        <w:tc>
          <w:tcPr>
            <w:tcW w:w="931" w:type="dxa"/>
            <w:tcBorders>
              <w:top w:val="single" w:color="000000" w:sz="4" w:space="0"/>
              <w:left w:val="nil"/>
              <w:bottom w:val="single" w:color="000000" w:sz="4" w:space="0"/>
              <w:right w:val="single" w:color="000000" w:sz="4" w:space="0"/>
            </w:tcBorders>
            <w:noWrap w:val="0"/>
            <w:vAlign w:val="center"/>
          </w:tcPr>
          <w:p w14:paraId="6F0FA04C">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学历</w:t>
            </w:r>
          </w:p>
        </w:tc>
        <w:tc>
          <w:tcPr>
            <w:tcW w:w="1020" w:type="dxa"/>
            <w:tcBorders>
              <w:top w:val="single" w:color="000000" w:sz="4" w:space="0"/>
              <w:left w:val="nil"/>
              <w:bottom w:val="single" w:color="000000" w:sz="4" w:space="0"/>
              <w:right w:val="single" w:color="000000" w:sz="4" w:space="0"/>
            </w:tcBorders>
            <w:noWrap w:val="0"/>
            <w:vAlign w:val="center"/>
          </w:tcPr>
          <w:p w14:paraId="7AC48F1B">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执业</w:t>
            </w:r>
          </w:p>
          <w:p w14:paraId="175BFC60">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资格</w:t>
            </w:r>
          </w:p>
        </w:tc>
        <w:tc>
          <w:tcPr>
            <w:tcW w:w="994" w:type="dxa"/>
            <w:tcBorders>
              <w:top w:val="single" w:color="000000" w:sz="4" w:space="0"/>
              <w:left w:val="nil"/>
              <w:bottom w:val="single" w:color="000000" w:sz="4" w:space="0"/>
              <w:right w:val="single" w:color="000000" w:sz="4" w:space="0"/>
            </w:tcBorders>
            <w:noWrap w:val="0"/>
            <w:vAlign w:val="center"/>
          </w:tcPr>
          <w:p w14:paraId="084EE2AA">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证书号</w:t>
            </w:r>
          </w:p>
        </w:tc>
        <w:tc>
          <w:tcPr>
            <w:tcW w:w="882" w:type="dxa"/>
            <w:tcBorders>
              <w:top w:val="single" w:color="000000" w:sz="4" w:space="0"/>
              <w:left w:val="nil"/>
              <w:bottom w:val="single" w:color="000000" w:sz="4" w:space="0"/>
              <w:right w:val="single" w:color="000000" w:sz="4" w:space="0"/>
            </w:tcBorders>
            <w:noWrap w:val="0"/>
            <w:vAlign w:val="center"/>
          </w:tcPr>
          <w:p w14:paraId="37EBE358">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技术职称</w:t>
            </w:r>
          </w:p>
        </w:tc>
        <w:tc>
          <w:tcPr>
            <w:tcW w:w="850" w:type="dxa"/>
            <w:tcBorders>
              <w:top w:val="single" w:color="000000" w:sz="4" w:space="0"/>
              <w:left w:val="nil"/>
              <w:bottom w:val="single" w:color="000000" w:sz="4" w:space="0"/>
              <w:right w:val="single" w:color="000000" w:sz="4" w:space="0"/>
            </w:tcBorders>
            <w:noWrap w:val="0"/>
            <w:vAlign w:val="center"/>
          </w:tcPr>
          <w:p w14:paraId="56227A9B">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相关工作年限</w:t>
            </w:r>
          </w:p>
        </w:tc>
        <w:tc>
          <w:tcPr>
            <w:tcW w:w="851" w:type="dxa"/>
            <w:tcBorders>
              <w:top w:val="single" w:color="000000" w:sz="4" w:space="0"/>
              <w:left w:val="nil"/>
              <w:bottom w:val="single" w:color="000000" w:sz="4" w:space="0"/>
              <w:right w:val="single" w:color="000000" w:sz="4" w:space="0"/>
            </w:tcBorders>
            <w:noWrap w:val="0"/>
            <w:vAlign w:val="center"/>
          </w:tcPr>
          <w:p w14:paraId="24BD3497">
            <w:pPr>
              <w:widowControl/>
              <w:adjustRightInd w:val="0"/>
              <w:spacing w:line="44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备注</w:t>
            </w:r>
          </w:p>
        </w:tc>
      </w:tr>
      <w:tr w14:paraId="47E10046">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0B518013">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3251A8AE">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6CBD42E8">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45D3E58F">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06DFB7F2">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0F4283A8">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6B8DEDA3">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54BFA627">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64A6760F">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6F0F94ED">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7A507737">
            <w:pPr>
              <w:widowControl/>
              <w:adjustRightInd w:val="0"/>
              <w:spacing w:line="440" w:lineRule="exact"/>
              <w:rPr>
                <w:rFonts w:hint="eastAsia" w:ascii="宋体" w:hAnsi="宋体" w:eastAsia="宋体" w:cs="宋体"/>
                <w:color w:val="auto"/>
                <w:kern w:val="0"/>
                <w:szCs w:val="21"/>
                <w:highlight w:val="none"/>
              </w:rPr>
            </w:pPr>
          </w:p>
        </w:tc>
      </w:tr>
      <w:tr w14:paraId="416C4B92">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1E18ED85">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6DCA88D2">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1E06B0D6">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780383E1">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5425FADB">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0CEBB4A0">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54BA4ADB">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1692E397">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639FCB01">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6AA5AF74">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36E8A8DF">
            <w:pPr>
              <w:widowControl/>
              <w:adjustRightInd w:val="0"/>
              <w:spacing w:line="440" w:lineRule="exact"/>
              <w:rPr>
                <w:rFonts w:hint="eastAsia" w:ascii="宋体" w:hAnsi="宋体" w:eastAsia="宋体" w:cs="宋体"/>
                <w:color w:val="auto"/>
                <w:kern w:val="0"/>
                <w:szCs w:val="21"/>
                <w:highlight w:val="none"/>
              </w:rPr>
            </w:pPr>
          </w:p>
        </w:tc>
      </w:tr>
      <w:tr w14:paraId="13EA3A41">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697AD007">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7B848DAB">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11B45C12">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159B6DD2">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617A0052">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03EB1EE2">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2F090211">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7BCF0297">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2509D6C0">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604B925C">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0E8108BA">
            <w:pPr>
              <w:widowControl/>
              <w:adjustRightInd w:val="0"/>
              <w:spacing w:line="440" w:lineRule="exact"/>
              <w:rPr>
                <w:rFonts w:hint="eastAsia" w:ascii="宋体" w:hAnsi="宋体" w:eastAsia="宋体" w:cs="宋体"/>
                <w:color w:val="auto"/>
                <w:kern w:val="0"/>
                <w:szCs w:val="21"/>
                <w:highlight w:val="none"/>
              </w:rPr>
            </w:pPr>
          </w:p>
        </w:tc>
      </w:tr>
      <w:tr w14:paraId="4029D4FE">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125BAAF4">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7E33C052">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0517C6C2">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72B06CE2">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7E587476">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6EE391C8">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2DD2328F">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3234D1C4">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1C36F0DD">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7976E849">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4428345F">
            <w:pPr>
              <w:widowControl/>
              <w:adjustRightInd w:val="0"/>
              <w:spacing w:line="440" w:lineRule="exact"/>
              <w:rPr>
                <w:rFonts w:hint="eastAsia" w:ascii="宋体" w:hAnsi="宋体" w:eastAsia="宋体" w:cs="宋体"/>
                <w:color w:val="auto"/>
                <w:kern w:val="0"/>
                <w:szCs w:val="21"/>
                <w:highlight w:val="none"/>
              </w:rPr>
            </w:pPr>
          </w:p>
        </w:tc>
      </w:tr>
      <w:tr w14:paraId="720400AC">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2669F68F">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18F3D752">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52F3D1D1">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0963CEFF">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7FAEADCC">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57E3F784">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2BE97DF4">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50E0F73C">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5DFDADD0">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4D1EF07D">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7788AF56">
            <w:pPr>
              <w:widowControl/>
              <w:adjustRightInd w:val="0"/>
              <w:spacing w:line="440" w:lineRule="exact"/>
              <w:rPr>
                <w:rFonts w:hint="eastAsia" w:ascii="宋体" w:hAnsi="宋体" w:eastAsia="宋体" w:cs="宋体"/>
                <w:color w:val="auto"/>
                <w:kern w:val="0"/>
                <w:szCs w:val="21"/>
                <w:highlight w:val="none"/>
              </w:rPr>
            </w:pPr>
          </w:p>
        </w:tc>
      </w:tr>
      <w:tr w14:paraId="638203F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3EE7A529">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362A08E3">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10C5AA34">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57D1B5D1">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20D3C1E2">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45BF3E1C">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39EAB86C">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58C95BCC">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63B93E08">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326404AD">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4B1446D3">
            <w:pPr>
              <w:widowControl/>
              <w:adjustRightInd w:val="0"/>
              <w:spacing w:line="440" w:lineRule="exact"/>
              <w:rPr>
                <w:rFonts w:hint="eastAsia" w:ascii="宋体" w:hAnsi="宋体" w:eastAsia="宋体" w:cs="宋体"/>
                <w:color w:val="auto"/>
                <w:kern w:val="0"/>
                <w:szCs w:val="21"/>
                <w:highlight w:val="none"/>
              </w:rPr>
            </w:pPr>
          </w:p>
        </w:tc>
      </w:tr>
      <w:tr w14:paraId="75F94012">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3DEF66CB">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4E4DA079">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14F0BA63">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1F5426F9">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071DE3D3">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400B7522">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0EEDB4B1">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28DCE212">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3B6ABCCB">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043AABA0">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2D6F7623">
            <w:pPr>
              <w:widowControl/>
              <w:adjustRightInd w:val="0"/>
              <w:spacing w:line="440" w:lineRule="exact"/>
              <w:rPr>
                <w:rFonts w:hint="eastAsia" w:ascii="宋体" w:hAnsi="宋体" w:eastAsia="宋体" w:cs="宋体"/>
                <w:color w:val="auto"/>
                <w:kern w:val="0"/>
                <w:szCs w:val="21"/>
                <w:highlight w:val="none"/>
              </w:rPr>
            </w:pPr>
          </w:p>
        </w:tc>
      </w:tr>
      <w:tr w14:paraId="0871FABA">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noWrap w:val="0"/>
            <w:vAlign w:val="top"/>
          </w:tcPr>
          <w:p w14:paraId="1455891F">
            <w:pPr>
              <w:widowControl/>
              <w:adjustRightInd w:val="0"/>
              <w:spacing w:line="440" w:lineRule="exact"/>
              <w:rPr>
                <w:rFonts w:hint="eastAsia" w:ascii="宋体" w:hAnsi="宋体" w:eastAsia="宋体" w:cs="宋体"/>
                <w:color w:val="auto"/>
                <w:kern w:val="0"/>
                <w:szCs w:val="21"/>
                <w:highlight w:val="none"/>
              </w:rPr>
            </w:pPr>
          </w:p>
        </w:tc>
        <w:tc>
          <w:tcPr>
            <w:tcW w:w="896" w:type="dxa"/>
            <w:tcBorders>
              <w:top w:val="single" w:color="000000" w:sz="4" w:space="0"/>
              <w:left w:val="nil"/>
              <w:bottom w:val="single" w:color="000000" w:sz="4" w:space="0"/>
              <w:right w:val="single" w:color="000000" w:sz="4" w:space="0"/>
            </w:tcBorders>
            <w:noWrap w:val="0"/>
            <w:vAlign w:val="top"/>
          </w:tcPr>
          <w:p w14:paraId="22C5D887">
            <w:pPr>
              <w:widowControl/>
              <w:adjustRightInd w:val="0"/>
              <w:spacing w:line="440" w:lineRule="exact"/>
              <w:rPr>
                <w:rFonts w:hint="eastAsia" w:ascii="宋体" w:hAnsi="宋体" w:eastAsia="宋体" w:cs="宋体"/>
                <w:color w:val="auto"/>
                <w:kern w:val="0"/>
                <w:szCs w:val="21"/>
                <w:highlight w:val="none"/>
              </w:rPr>
            </w:pPr>
          </w:p>
        </w:tc>
        <w:tc>
          <w:tcPr>
            <w:tcW w:w="663" w:type="dxa"/>
            <w:tcBorders>
              <w:top w:val="single" w:color="000000" w:sz="4" w:space="0"/>
              <w:left w:val="nil"/>
              <w:bottom w:val="single" w:color="000000" w:sz="4" w:space="0"/>
              <w:right w:val="single" w:color="000000" w:sz="4" w:space="0"/>
            </w:tcBorders>
            <w:noWrap w:val="0"/>
            <w:vAlign w:val="top"/>
          </w:tcPr>
          <w:p w14:paraId="21C2E8F7">
            <w:pPr>
              <w:widowControl/>
              <w:adjustRightInd w:val="0"/>
              <w:spacing w:line="440" w:lineRule="exact"/>
              <w:rPr>
                <w:rFonts w:hint="eastAsia" w:ascii="宋体" w:hAnsi="宋体" w:eastAsia="宋体" w:cs="宋体"/>
                <w:color w:val="auto"/>
                <w:kern w:val="0"/>
                <w:szCs w:val="21"/>
                <w:highlight w:val="none"/>
              </w:rPr>
            </w:pPr>
          </w:p>
        </w:tc>
        <w:tc>
          <w:tcPr>
            <w:tcW w:w="709" w:type="dxa"/>
            <w:tcBorders>
              <w:top w:val="single" w:color="000000" w:sz="4" w:space="0"/>
              <w:left w:val="nil"/>
              <w:bottom w:val="single" w:color="000000" w:sz="4" w:space="0"/>
              <w:right w:val="single" w:color="000000" w:sz="4" w:space="0"/>
            </w:tcBorders>
            <w:noWrap w:val="0"/>
            <w:vAlign w:val="top"/>
          </w:tcPr>
          <w:p w14:paraId="382FB66D">
            <w:pPr>
              <w:widowControl/>
              <w:adjustRightInd w:val="0"/>
              <w:spacing w:line="440" w:lineRule="exact"/>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01F18F5A">
            <w:pPr>
              <w:widowControl/>
              <w:adjustRightInd w:val="0"/>
              <w:spacing w:line="440" w:lineRule="exact"/>
              <w:rPr>
                <w:rFonts w:hint="eastAsia" w:ascii="宋体" w:hAnsi="宋体" w:eastAsia="宋体" w:cs="宋体"/>
                <w:color w:val="auto"/>
                <w:kern w:val="0"/>
                <w:szCs w:val="21"/>
                <w:highlight w:val="none"/>
              </w:rPr>
            </w:pPr>
          </w:p>
        </w:tc>
        <w:tc>
          <w:tcPr>
            <w:tcW w:w="931" w:type="dxa"/>
            <w:tcBorders>
              <w:top w:val="single" w:color="000000" w:sz="4" w:space="0"/>
              <w:left w:val="nil"/>
              <w:bottom w:val="single" w:color="000000" w:sz="4" w:space="0"/>
              <w:right w:val="single" w:color="000000" w:sz="4" w:space="0"/>
            </w:tcBorders>
            <w:noWrap w:val="0"/>
            <w:vAlign w:val="top"/>
          </w:tcPr>
          <w:p w14:paraId="1BD9F9E4">
            <w:pPr>
              <w:widowControl/>
              <w:adjustRightInd w:val="0"/>
              <w:spacing w:line="440" w:lineRule="exact"/>
              <w:rPr>
                <w:rFonts w:hint="eastAsia" w:ascii="宋体" w:hAnsi="宋体" w:eastAsia="宋体" w:cs="宋体"/>
                <w:color w:val="auto"/>
                <w:kern w:val="0"/>
                <w:szCs w:val="21"/>
                <w:highlight w:val="none"/>
              </w:rPr>
            </w:pPr>
          </w:p>
        </w:tc>
        <w:tc>
          <w:tcPr>
            <w:tcW w:w="1020" w:type="dxa"/>
            <w:tcBorders>
              <w:top w:val="single" w:color="000000" w:sz="4" w:space="0"/>
              <w:left w:val="nil"/>
              <w:bottom w:val="single" w:color="000000" w:sz="4" w:space="0"/>
              <w:right w:val="single" w:color="000000" w:sz="4" w:space="0"/>
            </w:tcBorders>
            <w:noWrap w:val="0"/>
            <w:vAlign w:val="top"/>
          </w:tcPr>
          <w:p w14:paraId="164CA6F8">
            <w:pPr>
              <w:widowControl/>
              <w:adjustRightInd w:val="0"/>
              <w:spacing w:line="440" w:lineRule="exact"/>
              <w:rPr>
                <w:rFonts w:hint="eastAsia" w:ascii="宋体" w:hAnsi="宋体" w:eastAsia="宋体" w:cs="宋体"/>
                <w:color w:val="auto"/>
                <w:kern w:val="0"/>
                <w:szCs w:val="21"/>
                <w:highlight w:val="none"/>
              </w:rPr>
            </w:pPr>
          </w:p>
        </w:tc>
        <w:tc>
          <w:tcPr>
            <w:tcW w:w="994" w:type="dxa"/>
            <w:tcBorders>
              <w:top w:val="single" w:color="000000" w:sz="4" w:space="0"/>
              <w:left w:val="nil"/>
              <w:bottom w:val="single" w:color="000000" w:sz="4" w:space="0"/>
              <w:right w:val="single" w:color="000000" w:sz="4" w:space="0"/>
            </w:tcBorders>
            <w:noWrap w:val="0"/>
            <w:vAlign w:val="top"/>
          </w:tcPr>
          <w:p w14:paraId="1FD21B88">
            <w:pPr>
              <w:widowControl/>
              <w:adjustRightInd w:val="0"/>
              <w:spacing w:line="440" w:lineRule="exact"/>
              <w:rPr>
                <w:rFonts w:hint="eastAsia" w:ascii="宋体" w:hAnsi="宋体" w:eastAsia="宋体" w:cs="宋体"/>
                <w:color w:val="auto"/>
                <w:kern w:val="0"/>
                <w:szCs w:val="21"/>
                <w:highlight w:val="none"/>
              </w:rPr>
            </w:pPr>
          </w:p>
        </w:tc>
        <w:tc>
          <w:tcPr>
            <w:tcW w:w="882" w:type="dxa"/>
            <w:tcBorders>
              <w:top w:val="single" w:color="000000" w:sz="4" w:space="0"/>
              <w:left w:val="nil"/>
              <w:bottom w:val="single" w:color="000000" w:sz="4" w:space="0"/>
              <w:right w:val="single" w:color="000000" w:sz="4" w:space="0"/>
            </w:tcBorders>
            <w:noWrap w:val="0"/>
            <w:vAlign w:val="top"/>
          </w:tcPr>
          <w:p w14:paraId="6F8C5138">
            <w:pPr>
              <w:widowControl/>
              <w:adjustRightInd w:val="0"/>
              <w:spacing w:line="440" w:lineRule="exact"/>
              <w:rPr>
                <w:rFonts w:hint="eastAsia" w:ascii="宋体" w:hAnsi="宋体" w:eastAsia="宋体" w:cs="宋体"/>
                <w:color w:val="auto"/>
                <w:kern w:val="0"/>
                <w:szCs w:val="21"/>
                <w:highlight w:val="none"/>
              </w:rPr>
            </w:pPr>
          </w:p>
        </w:tc>
        <w:tc>
          <w:tcPr>
            <w:tcW w:w="850" w:type="dxa"/>
            <w:tcBorders>
              <w:top w:val="single" w:color="000000" w:sz="4" w:space="0"/>
              <w:left w:val="nil"/>
              <w:bottom w:val="single" w:color="000000" w:sz="4" w:space="0"/>
              <w:right w:val="single" w:color="000000" w:sz="4" w:space="0"/>
            </w:tcBorders>
            <w:noWrap w:val="0"/>
            <w:vAlign w:val="top"/>
          </w:tcPr>
          <w:p w14:paraId="18F74976">
            <w:pPr>
              <w:widowControl/>
              <w:adjustRightInd w:val="0"/>
              <w:spacing w:line="440" w:lineRule="exact"/>
              <w:rPr>
                <w:rFonts w:hint="eastAsia" w:ascii="宋体" w:hAnsi="宋体" w:eastAsia="宋体" w:cs="宋体"/>
                <w:color w:val="auto"/>
                <w:kern w:val="0"/>
                <w:szCs w:val="21"/>
                <w:highlight w:val="none"/>
              </w:rPr>
            </w:pPr>
          </w:p>
        </w:tc>
        <w:tc>
          <w:tcPr>
            <w:tcW w:w="851" w:type="dxa"/>
            <w:tcBorders>
              <w:top w:val="single" w:color="000000" w:sz="4" w:space="0"/>
              <w:left w:val="nil"/>
              <w:bottom w:val="single" w:color="000000" w:sz="4" w:space="0"/>
              <w:right w:val="single" w:color="000000" w:sz="4" w:space="0"/>
            </w:tcBorders>
            <w:noWrap w:val="0"/>
            <w:vAlign w:val="top"/>
          </w:tcPr>
          <w:p w14:paraId="50AEF3A5">
            <w:pPr>
              <w:widowControl/>
              <w:adjustRightInd w:val="0"/>
              <w:spacing w:line="440" w:lineRule="exact"/>
              <w:rPr>
                <w:rFonts w:hint="eastAsia" w:ascii="宋体" w:hAnsi="宋体" w:eastAsia="宋体" w:cs="宋体"/>
                <w:color w:val="auto"/>
                <w:kern w:val="0"/>
                <w:szCs w:val="21"/>
                <w:highlight w:val="none"/>
              </w:rPr>
            </w:pPr>
          </w:p>
        </w:tc>
      </w:tr>
    </w:tbl>
    <w:p w14:paraId="6B250711">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供应商名称（盖章）：</w:t>
      </w:r>
      <w:r>
        <w:rPr>
          <w:rFonts w:hint="eastAsia" w:ascii="宋体" w:hAnsi="宋体" w:eastAsia="宋体" w:cs="宋体"/>
          <w:color w:val="auto"/>
          <w:kern w:val="0"/>
          <w:szCs w:val="21"/>
          <w:highlight w:val="none"/>
          <w:u w:val="single"/>
        </w:rPr>
        <w:t>                             </w:t>
      </w:r>
    </w:p>
    <w:p w14:paraId="28B0C824">
      <w:pPr>
        <w:widowControl/>
        <w:shd w:val="clear" w:color="auto" w:fill="FFFFFF"/>
        <w:spacing w:line="440" w:lineRule="exact"/>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u w:val="single"/>
        </w:rPr>
        <w:t>                              </w:t>
      </w:r>
    </w:p>
    <w:p w14:paraId="6A13B648">
      <w:pPr>
        <w:widowControl/>
        <w:adjustRightInd w:val="0"/>
        <w:spacing w:line="440" w:lineRule="exact"/>
        <w:rPr>
          <w:rFonts w:hint="eastAsia" w:ascii="宋体" w:hAnsi="宋体" w:eastAsia="宋体" w:cs="宋体"/>
          <w:color w:val="auto"/>
          <w:kern w:val="0"/>
          <w:szCs w:val="21"/>
          <w:highlight w:val="none"/>
        </w:rPr>
      </w:pPr>
    </w:p>
    <w:p w14:paraId="5F76BA23">
      <w:pPr>
        <w:widowControl/>
        <w:adjustRightInd w:val="0"/>
        <w:spacing w:line="440" w:lineRule="exact"/>
        <w:rPr>
          <w:rFonts w:hint="eastAsia" w:ascii="宋体" w:hAnsi="宋体" w:eastAsia="宋体" w:cs="宋体"/>
          <w:b/>
          <w:bCs/>
          <w:color w:val="auto"/>
          <w:kern w:val="0"/>
          <w:szCs w:val="21"/>
          <w:highlight w:val="none"/>
        </w:rPr>
      </w:pPr>
    </w:p>
    <w:p w14:paraId="39C66FE4">
      <w:pPr>
        <w:widowControl/>
        <w:adjustRightInd w:val="0"/>
        <w:spacing w:line="440" w:lineRule="exac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br w:type="page"/>
      </w: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八</w:t>
      </w:r>
      <w:r>
        <w:rPr>
          <w:rFonts w:hint="eastAsia" w:ascii="宋体" w:hAnsi="宋体" w:eastAsia="宋体" w:cs="宋体"/>
          <w:b/>
          <w:bCs/>
          <w:color w:val="auto"/>
          <w:kern w:val="0"/>
          <w:sz w:val="24"/>
          <w:highlight w:val="none"/>
        </w:rPr>
        <w:t>、供应商类似业绩情况表</w:t>
      </w:r>
    </w:p>
    <w:p w14:paraId="76EF712B">
      <w:pPr>
        <w:widowControl/>
        <w:adjustRightInd w:val="0"/>
        <w:spacing w:line="440" w:lineRule="exact"/>
        <w:jc w:val="center"/>
        <w:rPr>
          <w:rFonts w:hint="eastAsia" w:ascii="宋体" w:hAnsi="宋体" w:eastAsia="宋体" w:cs="宋体"/>
          <w:b/>
          <w:bCs/>
          <w:color w:val="auto"/>
          <w:kern w:val="0"/>
          <w:sz w:val="24"/>
          <w:highlight w:val="none"/>
        </w:rPr>
      </w:pPr>
    </w:p>
    <w:p w14:paraId="10A9A773">
      <w:pPr>
        <w:widowControl/>
        <w:adjustRightInd w:val="0"/>
        <w:spacing w:line="440" w:lineRule="exact"/>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供应商近三年类似业绩情况表</w:t>
      </w:r>
    </w:p>
    <w:tbl>
      <w:tblPr>
        <w:tblStyle w:val="11"/>
        <w:tblW w:w="9470" w:type="dxa"/>
        <w:jc w:val="center"/>
        <w:tblLayout w:type="fixed"/>
        <w:tblCellMar>
          <w:top w:w="0" w:type="dxa"/>
          <w:left w:w="108" w:type="dxa"/>
          <w:bottom w:w="0" w:type="dxa"/>
          <w:right w:w="108" w:type="dxa"/>
        </w:tblCellMar>
      </w:tblPr>
      <w:tblGrid>
        <w:gridCol w:w="682"/>
        <w:gridCol w:w="1559"/>
        <w:gridCol w:w="1418"/>
        <w:gridCol w:w="992"/>
        <w:gridCol w:w="1034"/>
        <w:gridCol w:w="1517"/>
        <w:gridCol w:w="1134"/>
        <w:gridCol w:w="1134"/>
      </w:tblGrid>
      <w:tr w14:paraId="1134E9B1">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24EE021A">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559" w:type="dxa"/>
            <w:tcBorders>
              <w:top w:val="single" w:color="000000" w:sz="4" w:space="0"/>
              <w:left w:val="nil"/>
              <w:bottom w:val="single" w:color="000000" w:sz="4" w:space="0"/>
              <w:right w:val="single" w:color="000000" w:sz="4" w:space="0"/>
            </w:tcBorders>
            <w:noWrap w:val="0"/>
            <w:vAlign w:val="center"/>
          </w:tcPr>
          <w:p w14:paraId="149E4E34">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1418" w:type="dxa"/>
            <w:tcBorders>
              <w:top w:val="single" w:color="000000" w:sz="4" w:space="0"/>
              <w:left w:val="nil"/>
              <w:bottom w:val="single" w:color="000000" w:sz="4" w:space="0"/>
              <w:right w:val="single" w:color="000000" w:sz="4" w:space="0"/>
            </w:tcBorders>
            <w:noWrap w:val="0"/>
            <w:vAlign w:val="center"/>
          </w:tcPr>
          <w:p w14:paraId="66A7618F">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业主单位</w:t>
            </w:r>
          </w:p>
        </w:tc>
        <w:tc>
          <w:tcPr>
            <w:tcW w:w="992" w:type="dxa"/>
            <w:tcBorders>
              <w:top w:val="single" w:color="000000" w:sz="4" w:space="0"/>
              <w:left w:val="nil"/>
              <w:bottom w:val="single" w:color="000000" w:sz="4" w:space="0"/>
              <w:right w:val="single" w:color="000000" w:sz="4" w:space="0"/>
            </w:tcBorders>
            <w:noWrap w:val="0"/>
            <w:vAlign w:val="center"/>
          </w:tcPr>
          <w:p w14:paraId="658AEBBA">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w:t>
            </w:r>
          </w:p>
          <w:p w14:paraId="356A8C55">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规模</w:t>
            </w:r>
          </w:p>
        </w:tc>
        <w:tc>
          <w:tcPr>
            <w:tcW w:w="1034" w:type="dxa"/>
            <w:tcBorders>
              <w:top w:val="single" w:color="000000" w:sz="4" w:space="0"/>
              <w:left w:val="nil"/>
              <w:bottom w:val="single" w:color="000000" w:sz="4" w:space="0"/>
              <w:right w:val="single" w:color="000000" w:sz="4" w:space="0"/>
            </w:tcBorders>
            <w:noWrap w:val="0"/>
            <w:vAlign w:val="center"/>
          </w:tcPr>
          <w:p w14:paraId="0F1230A2">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获奖</w:t>
            </w:r>
          </w:p>
          <w:p w14:paraId="09949323">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情况</w:t>
            </w:r>
          </w:p>
        </w:tc>
        <w:tc>
          <w:tcPr>
            <w:tcW w:w="1517" w:type="dxa"/>
            <w:tcBorders>
              <w:top w:val="single" w:color="000000" w:sz="4" w:space="0"/>
              <w:left w:val="nil"/>
              <w:bottom w:val="single" w:color="000000" w:sz="4" w:space="0"/>
              <w:right w:val="single" w:color="000000" w:sz="4" w:space="0"/>
            </w:tcBorders>
            <w:noWrap w:val="0"/>
            <w:vAlign w:val="top"/>
          </w:tcPr>
          <w:p w14:paraId="40A20174">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签约及服务</w:t>
            </w:r>
          </w:p>
          <w:p w14:paraId="466D8ED6">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时间</w:t>
            </w:r>
          </w:p>
        </w:tc>
        <w:tc>
          <w:tcPr>
            <w:tcW w:w="1134" w:type="dxa"/>
            <w:tcBorders>
              <w:top w:val="single" w:color="000000" w:sz="4" w:space="0"/>
              <w:left w:val="nil"/>
              <w:bottom w:val="single" w:color="000000" w:sz="4" w:space="0"/>
              <w:right w:val="single" w:color="000000" w:sz="4" w:space="0"/>
            </w:tcBorders>
            <w:noWrap w:val="0"/>
            <w:vAlign w:val="top"/>
          </w:tcPr>
          <w:p w14:paraId="4FF4415F">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w:t>
            </w:r>
          </w:p>
        </w:tc>
        <w:tc>
          <w:tcPr>
            <w:tcW w:w="1134" w:type="dxa"/>
            <w:tcBorders>
              <w:top w:val="single" w:color="000000" w:sz="4" w:space="0"/>
              <w:left w:val="nil"/>
              <w:bottom w:val="single" w:color="000000" w:sz="4" w:space="0"/>
              <w:right w:val="single" w:color="000000" w:sz="4" w:space="0"/>
            </w:tcBorders>
            <w:noWrap w:val="0"/>
            <w:vAlign w:val="top"/>
          </w:tcPr>
          <w:p w14:paraId="6917AA00">
            <w:pPr>
              <w:widowControl/>
              <w:spacing w:line="44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61D79CF4">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69C4F554">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582BED4D">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5224A95B">
            <w:pPr>
              <w:widowControl/>
              <w:spacing w:line="440" w:lineRule="exact"/>
              <w:ind w:firstLine="120"/>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7709B7FC">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49151520">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4713827E">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6F557532">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3959E125">
            <w:pPr>
              <w:widowControl/>
              <w:spacing w:line="440" w:lineRule="exact"/>
              <w:jc w:val="center"/>
              <w:rPr>
                <w:rFonts w:hint="eastAsia" w:ascii="宋体" w:hAnsi="宋体" w:eastAsia="宋体" w:cs="宋体"/>
                <w:color w:val="auto"/>
                <w:kern w:val="0"/>
                <w:szCs w:val="21"/>
                <w:highlight w:val="none"/>
              </w:rPr>
            </w:pPr>
          </w:p>
        </w:tc>
      </w:tr>
      <w:tr w14:paraId="5B34216C">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717D18E2">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6B54914C">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1730DE2F">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4E9EF930">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7D55762C">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20C33838">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1EC1F687">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5C97036D">
            <w:pPr>
              <w:widowControl/>
              <w:spacing w:line="440" w:lineRule="exact"/>
              <w:jc w:val="center"/>
              <w:rPr>
                <w:rFonts w:hint="eastAsia" w:ascii="宋体" w:hAnsi="宋体" w:eastAsia="宋体" w:cs="宋体"/>
                <w:color w:val="auto"/>
                <w:kern w:val="0"/>
                <w:szCs w:val="21"/>
                <w:highlight w:val="none"/>
              </w:rPr>
            </w:pPr>
          </w:p>
        </w:tc>
      </w:tr>
      <w:tr w14:paraId="374B4F89">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7B02B67D">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7C9BE6F6">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6535205A">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60F3CDF5">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48B6543A">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6460A949">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6AFCB23B">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7A0A0790">
            <w:pPr>
              <w:widowControl/>
              <w:spacing w:line="440" w:lineRule="exact"/>
              <w:jc w:val="center"/>
              <w:rPr>
                <w:rFonts w:hint="eastAsia" w:ascii="宋体" w:hAnsi="宋体" w:eastAsia="宋体" w:cs="宋体"/>
                <w:color w:val="auto"/>
                <w:kern w:val="0"/>
                <w:szCs w:val="21"/>
                <w:highlight w:val="none"/>
              </w:rPr>
            </w:pPr>
          </w:p>
        </w:tc>
      </w:tr>
      <w:tr w14:paraId="55999A4B">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351F55BB">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1A3F6ACD">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1CC91EC9">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35A2F87C">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5A11D56C">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7862845D">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777F1E75">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13DFF7A8">
            <w:pPr>
              <w:widowControl/>
              <w:spacing w:line="440" w:lineRule="exact"/>
              <w:jc w:val="center"/>
              <w:rPr>
                <w:rFonts w:hint="eastAsia" w:ascii="宋体" w:hAnsi="宋体" w:eastAsia="宋体" w:cs="宋体"/>
                <w:color w:val="auto"/>
                <w:kern w:val="0"/>
                <w:szCs w:val="21"/>
                <w:highlight w:val="none"/>
              </w:rPr>
            </w:pPr>
          </w:p>
        </w:tc>
      </w:tr>
      <w:tr w14:paraId="0A894171">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4783580D">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1916EC57">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22A0FBF7">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073C6DDB">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5F9F34AD">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5B2D736B">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5A591921">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7743C31E">
            <w:pPr>
              <w:widowControl/>
              <w:spacing w:line="440" w:lineRule="exact"/>
              <w:jc w:val="center"/>
              <w:rPr>
                <w:rFonts w:hint="eastAsia" w:ascii="宋体" w:hAnsi="宋体" w:eastAsia="宋体" w:cs="宋体"/>
                <w:color w:val="auto"/>
                <w:kern w:val="0"/>
                <w:szCs w:val="21"/>
                <w:highlight w:val="none"/>
              </w:rPr>
            </w:pPr>
          </w:p>
        </w:tc>
      </w:tr>
      <w:tr w14:paraId="0BE9FAC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1C3E9C7B">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0400B282">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2D350888">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149AF709">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25058A99">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3348A940">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69A6381F">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68DF18A0">
            <w:pPr>
              <w:widowControl/>
              <w:spacing w:line="440" w:lineRule="exact"/>
              <w:jc w:val="center"/>
              <w:rPr>
                <w:rFonts w:hint="eastAsia" w:ascii="宋体" w:hAnsi="宋体" w:eastAsia="宋体" w:cs="宋体"/>
                <w:color w:val="auto"/>
                <w:kern w:val="0"/>
                <w:szCs w:val="21"/>
                <w:highlight w:val="none"/>
              </w:rPr>
            </w:pPr>
          </w:p>
        </w:tc>
      </w:tr>
      <w:tr w14:paraId="4067D6BC">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6F679CF8">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5103AC49">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60797859">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32D22B49">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7E3BEC3A">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01A87072">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56BBD49A">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1E8BAB87">
            <w:pPr>
              <w:widowControl/>
              <w:spacing w:line="440" w:lineRule="exact"/>
              <w:jc w:val="center"/>
              <w:rPr>
                <w:rFonts w:hint="eastAsia" w:ascii="宋体" w:hAnsi="宋体" w:eastAsia="宋体" w:cs="宋体"/>
                <w:color w:val="auto"/>
                <w:kern w:val="0"/>
                <w:szCs w:val="21"/>
                <w:highlight w:val="none"/>
              </w:rPr>
            </w:pPr>
          </w:p>
        </w:tc>
      </w:tr>
      <w:tr w14:paraId="4AD26E5B">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noWrap w:val="0"/>
            <w:vAlign w:val="top"/>
          </w:tcPr>
          <w:p w14:paraId="16ED02F3">
            <w:pPr>
              <w:widowControl/>
              <w:spacing w:line="440" w:lineRule="exact"/>
              <w:jc w:val="center"/>
              <w:rPr>
                <w:rFonts w:hint="eastAsia" w:ascii="宋体" w:hAnsi="宋体" w:eastAsia="宋体" w:cs="宋体"/>
                <w:color w:val="auto"/>
                <w:kern w:val="0"/>
                <w:szCs w:val="21"/>
                <w:highlight w:val="none"/>
              </w:rPr>
            </w:pPr>
          </w:p>
        </w:tc>
        <w:tc>
          <w:tcPr>
            <w:tcW w:w="1559" w:type="dxa"/>
            <w:tcBorders>
              <w:top w:val="single" w:color="000000" w:sz="4" w:space="0"/>
              <w:left w:val="nil"/>
              <w:bottom w:val="single" w:color="000000" w:sz="4" w:space="0"/>
              <w:right w:val="single" w:color="000000" w:sz="4" w:space="0"/>
            </w:tcBorders>
            <w:noWrap w:val="0"/>
            <w:vAlign w:val="top"/>
          </w:tcPr>
          <w:p w14:paraId="7FA9C370">
            <w:pPr>
              <w:widowControl/>
              <w:spacing w:line="440" w:lineRule="exact"/>
              <w:jc w:val="center"/>
              <w:rPr>
                <w:rFonts w:hint="eastAsia" w:ascii="宋体" w:hAnsi="宋体" w:eastAsia="宋体" w:cs="宋体"/>
                <w:color w:val="auto"/>
                <w:kern w:val="0"/>
                <w:szCs w:val="21"/>
                <w:highlight w:val="none"/>
              </w:rPr>
            </w:pPr>
          </w:p>
        </w:tc>
        <w:tc>
          <w:tcPr>
            <w:tcW w:w="1418" w:type="dxa"/>
            <w:tcBorders>
              <w:top w:val="single" w:color="000000" w:sz="4" w:space="0"/>
              <w:left w:val="nil"/>
              <w:bottom w:val="single" w:color="000000" w:sz="4" w:space="0"/>
              <w:right w:val="single" w:color="000000" w:sz="4" w:space="0"/>
            </w:tcBorders>
            <w:noWrap w:val="0"/>
            <w:vAlign w:val="top"/>
          </w:tcPr>
          <w:p w14:paraId="141E811E">
            <w:pPr>
              <w:widowControl/>
              <w:spacing w:line="440" w:lineRule="exact"/>
              <w:jc w:val="center"/>
              <w:rPr>
                <w:rFonts w:hint="eastAsia" w:ascii="宋体" w:hAnsi="宋体" w:eastAsia="宋体" w:cs="宋体"/>
                <w:color w:val="auto"/>
                <w:kern w:val="0"/>
                <w:szCs w:val="21"/>
                <w:highlight w:val="none"/>
              </w:rPr>
            </w:pPr>
          </w:p>
        </w:tc>
        <w:tc>
          <w:tcPr>
            <w:tcW w:w="992" w:type="dxa"/>
            <w:tcBorders>
              <w:top w:val="single" w:color="000000" w:sz="4" w:space="0"/>
              <w:left w:val="nil"/>
              <w:bottom w:val="single" w:color="000000" w:sz="4" w:space="0"/>
              <w:right w:val="single" w:color="000000" w:sz="4" w:space="0"/>
            </w:tcBorders>
            <w:noWrap w:val="0"/>
            <w:vAlign w:val="top"/>
          </w:tcPr>
          <w:p w14:paraId="312C974F">
            <w:pPr>
              <w:widowControl/>
              <w:spacing w:line="440" w:lineRule="exact"/>
              <w:jc w:val="center"/>
              <w:rPr>
                <w:rFonts w:hint="eastAsia" w:ascii="宋体" w:hAnsi="宋体" w:eastAsia="宋体" w:cs="宋体"/>
                <w:color w:val="auto"/>
                <w:kern w:val="0"/>
                <w:szCs w:val="21"/>
                <w:highlight w:val="none"/>
              </w:rPr>
            </w:pPr>
          </w:p>
        </w:tc>
        <w:tc>
          <w:tcPr>
            <w:tcW w:w="1034" w:type="dxa"/>
            <w:tcBorders>
              <w:top w:val="single" w:color="000000" w:sz="4" w:space="0"/>
              <w:left w:val="nil"/>
              <w:bottom w:val="single" w:color="000000" w:sz="4" w:space="0"/>
              <w:right w:val="single" w:color="000000" w:sz="4" w:space="0"/>
            </w:tcBorders>
            <w:noWrap w:val="0"/>
            <w:vAlign w:val="top"/>
          </w:tcPr>
          <w:p w14:paraId="29A95D9D">
            <w:pPr>
              <w:widowControl/>
              <w:spacing w:line="440" w:lineRule="exact"/>
              <w:jc w:val="center"/>
              <w:rPr>
                <w:rFonts w:hint="eastAsia" w:ascii="宋体" w:hAnsi="宋体" w:eastAsia="宋体" w:cs="宋体"/>
                <w:color w:val="auto"/>
                <w:kern w:val="0"/>
                <w:szCs w:val="21"/>
                <w:highlight w:val="none"/>
              </w:rPr>
            </w:pPr>
          </w:p>
        </w:tc>
        <w:tc>
          <w:tcPr>
            <w:tcW w:w="1517" w:type="dxa"/>
            <w:tcBorders>
              <w:top w:val="single" w:color="000000" w:sz="4" w:space="0"/>
              <w:left w:val="nil"/>
              <w:bottom w:val="single" w:color="000000" w:sz="4" w:space="0"/>
              <w:right w:val="single" w:color="000000" w:sz="4" w:space="0"/>
            </w:tcBorders>
            <w:noWrap w:val="0"/>
            <w:vAlign w:val="top"/>
          </w:tcPr>
          <w:p w14:paraId="63FFD9D9">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32D93881">
            <w:pPr>
              <w:widowControl/>
              <w:spacing w:line="440" w:lineRule="exact"/>
              <w:jc w:val="center"/>
              <w:rPr>
                <w:rFonts w:hint="eastAsia" w:ascii="宋体" w:hAnsi="宋体" w:eastAsia="宋体" w:cs="宋体"/>
                <w:color w:val="auto"/>
                <w:kern w:val="0"/>
                <w:szCs w:val="21"/>
                <w:highlight w:val="none"/>
              </w:rPr>
            </w:pPr>
          </w:p>
        </w:tc>
        <w:tc>
          <w:tcPr>
            <w:tcW w:w="1134" w:type="dxa"/>
            <w:tcBorders>
              <w:top w:val="single" w:color="000000" w:sz="4" w:space="0"/>
              <w:left w:val="nil"/>
              <w:bottom w:val="single" w:color="000000" w:sz="4" w:space="0"/>
              <w:right w:val="single" w:color="000000" w:sz="4" w:space="0"/>
            </w:tcBorders>
            <w:noWrap w:val="0"/>
            <w:vAlign w:val="top"/>
          </w:tcPr>
          <w:p w14:paraId="04D84141">
            <w:pPr>
              <w:widowControl/>
              <w:spacing w:line="440" w:lineRule="exact"/>
              <w:jc w:val="center"/>
              <w:rPr>
                <w:rFonts w:hint="eastAsia" w:ascii="宋体" w:hAnsi="宋体" w:eastAsia="宋体" w:cs="宋体"/>
                <w:color w:val="auto"/>
                <w:kern w:val="0"/>
                <w:szCs w:val="21"/>
                <w:highlight w:val="none"/>
              </w:rPr>
            </w:pPr>
          </w:p>
        </w:tc>
      </w:tr>
    </w:tbl>
    <w:p w14:paraId="05E2B33D">
      <w:pPr>
        <w:widowControl/>
        <w:shd w:val="clear" w:color="auto" w:fill="FFFFFF"/>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供应商名称（盖章）：</w:t>
      </w:r>
      <w:r>
        <w:rPr>
          <w:rFonts w:hint="eastAsia" w:ascii="宋体" w:hAnsi="宋体" w:eastAsia="宋体" w:cs="宋体"/>
          <w:color w:val="auto"/>
          <w:kern w:val="0"/>
          <w:szCs w:val="21"/>
          <w:highlight w:val="none"/>
          <w:u w:val="single"/>
        </w:rPr>
        <w:t>                             </w:t>
      </w:r>
    </w:p>
    <w:p w14:paraId="66D43802">
      <w:pPr>
        <w:widowControl/>
        <w:shd w:val="clear" w:color="auto" w:fill="FFFFFF"/>
        <w:spacing w:line="440" w:lineRule="exact"/>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法定代表人或授权代表（签字）：</w:t>
      </w:r>
      <w:r>
        <w:rPr>
          <w:rFonts w:hint="eastAsia" w:ascii="宋体" w:hAnsi="宋体" w:eastAsia="宋体" w:cs="宋体"/>
          <w:color w:val="auto"/>
          <w:kern w:val="0"/>
          <w:szCs w:val="21"/>
          <w:highlight w:val="none"/>
          <w:u w:val="single"/>
        </w:rPr>
        <w:t>                              </w:t>
      </w:r>
    </w:p>
    <w:p w14:paraId="4681DFAA">
      <w:pPr>
        <w:widowControl/>
        <w:adjustRightInd w:val="0"/>
        <w:spacing w:line="440" w:lineRule="exact"/>
        <w:rPr>
          <w:rFonts w:hint="eastAsia" w:ascii="宋体" w:hAnsi="宋体" w:eastAsia="宋体" w:cs="宋体"/>
          <w:b/>
          <w:bCs/>
          <w:color w:val="auto"/>
          <w:kern w:val="0"/>
          <w:szCs w:val="21"/>
          <w:highlight w:val="none"/>
        </w:rPr>
      </w:pPr>
    </w:p>
    <w:p w14:paraId="7C68C408">
      <w:pPr>
        <w:widowControl/>
        <w:adjustRightInd w:val="0"/>
        <w:spacing w:line="440" w:lineRule="exact"/>
        <w:rPr>
          <w:rFonts w:hint="eastAsia" w:ascii="宋体" w:hAnsi="宋体" w:eastAsia="宋体" w:cs="宋体"/>
          <w:b/>
          <w:bCs/>
          <w:color w:val="auto"/>
          <w:kern w:val="0"/>
          <w:szCs w:val="21"/>
          <w:highlight w:val="none"/>
        </w:rPr>
      </w:pPr>
    </w:p>
    <w:p w14:paraId="08DF7197">
      <w:pPr>
        <w:spacing w:line="440" w:lineRule="exact"/>
        <w:rPr>
          <w:rFonts w:hint="eastAsia" w:ascii="宋体" w:hAnsi="宋体" w:eastAsia="宋体" w:cs="宋体"/>
          <w:color w:val="auto"/>
          <w:highlight w:val="none"/>
        </w:rPr>
      </w:pPr>
    </w:p>
    <w:p w14:paraId="00DB1B3B">
      <w:pPr>
        <w:autoSpaceDE w:val="0"/>
        <w:autoSpaceDN w:val="0"/>
        <w:adjustRightInd w:val="0"/>
        <w:spacing w:line="440" w:lineRule="exact"/>
        <w:rPr>
          <w:rFonts w:hint="eastAsia" w:ascii="宋体" w:hAnsi="宋体" w:eastAsia="宋体" w:cs="宋体"/>
          <w:b/>
          <w:color w:val="auto"/>
          <w:highlight w:val="none"/>
        </w:rPr>
      </w:pPr>
      <w:r>
        <w:rPr>
          <w:rFonts w:hint="eastAsia" w:ascii="宋体" w:hAnsi="宋体" w:eastAsia="宋体" w:cs="宋体"/>
          <w:b/>
          <w:color w:val="auto"/>
          <w:highlight w:val="none"/>
        </w:rPr>
        <w:br w:type="page"/>
      </w:r>
      <w:r>
        <w:rPr>
          <w:rFonts w:hint="eastAsia" w:ascii="宋体" w:hAnsi="宋体" w:eastAsia="宋体" w:cs="宋体"/>
          <w:b/>
          <w:color w:val="auto"/>
          <w:highlight w:val="none"/>
        </w:rPr>
        <w:t>附件</w:t>
      </w:r>
      <w:r>
        <w:rPr>
          <w:rFonts w:hint="eastAsia" w:ascii="宋体" w:hAnsi="宋体" w:eastAsia="宋体" w:cs="宋体"/>
          <w:b/>
          <w:color w:val="auto"/>
          <w:highlight w:val="none"/>
          <w:lang w:val="en-US" w:eastAsia="zh-CN"/>
        </w:rPr>
        <w:t>九</w:t>
      </w:r>
      <w:r>
        <w:rPr>
          <w:rFonts w:hint="eastAsia" w:ascii="宋体" w:hAnsi="宋体" w:eastAsia="宋体" w:cs="宋体"/>
          <w:b/>
          <w:bCs/>
          <w:color w:val="auto"/>
          <w:highlight w:val="none"/>
        </w:rPr>
        <w:t>：</w:t>
      </w:r>
      <w:r>
        <w:rPr>
          <w:rFonts w:hint="eastAsia" w:ascii="宋体" w:hAnsi="宋体" w:eastAsia="宋体" w:cs="宋体"/>
          <w:b/>
          <w:color w:val="auto"/>
          <w:highlight w:val="none"/>
        </w:rPr>
        <w:t>无重大违法记录声明格式</w:t>
      </w:r>
    </w:p>
    <w:p w14:paraId="19F97447">
      <w:pPr>
        <w:spacing w:line="440" w:lineRule="exact"/>
        <w:jc w:val="center"/>
        <w:rPr>
          <w:rFonts w:hint="eastAsia" w:ascii="宋体" w:hAnsi="宋体" w:eastAsia="宋体" w:cs="宋体"/>
          <w:color w:val="auto"/>
          <w:sz w:val="28"/>
          <w:szCs w:val="36"/>
          <w:highlight w:val="none"/>
        </w:rPr>
      </w:pPr>
    </w:p>
    <w:p w14:paraId="0A62C212">
      <w:pPr>
        <w:spacing w:line="440" w:lineRule="exact"/>
        <w:jc w:val="center"/>
        <w:rPr>
          <w:rFonts w:hint="eastAsia" w:ascii="宋体" w:hAnsi="宋体" w:eastAsia="宋体" w:cs="宋体"/>
          <w:color w:val="auto"/>
          <w:sz w:val="28"/>
          <w:szCs w:val="36"/>
          <w:highlight w:val="none"/>
        </w:rPr>
      </w:pPr>
      <w:r>
        <w:rPr>
          <w:rFonts w:hint="eastAsia" w:ascii="宋体" w:hAnsi="宋体" w:eastAsia="宋体" w:cs="宋体"/>
          <w:color w:val="auto"/>
          <w:sz w:val="28"/>
          <w:szCs w:val="36"/>
          <w:highlight w:val="none"/>
        </w:rPr>
        <w:t>无重大违法记录声明</w:t>
      </w:r>
    </w:p>
    <w:p w14:paraId="558124B6">
      <w:pPr>
        <w:spacing w:line="440" w:lineRule="exact"/>
        <w:rPr>
          <w:rFonts w:hint="eastAsia" w:ascii="宋体" w:hAnsi="宋体" w:eastAsia="宋体" w:cs="宋体"/>
          <w:color w:val="auto"/>
          <w:szCs w:val="21"/>
          <w:highlight w:val="none"/>
        </w:rPr>
      </w:pPr>
    </w:p>
    <w:p w14:paraId="300D234D">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江苏省设备成套股份有限公司：</w:t>
      </w:r>
    </w:p>
    <w:p w14:paraId="44E146F0">
      <w:pPr>
        <w:spacing w:line="440" w:lineRule="exact"/>
        <w:rPr>
          <w:rFonts w:hint="eastAsia" w:ascii="宋体" w:hAnsi="宋体" w:eastAsia="宋体" w:cs="宋体"/>
          <w:color w:val="auto"/>
          <w:highlight w:val="none"/>
        </w:rPr>
      </w:pPr>
    </w:p>
    <w:p w14:paraId="02B52AE7">
      <w:pPr>
        <w:spacing w:line="440" w:lineRule="exact"/>
        <w:ind w:firstLine="336" w:firstLineChars="160"/>
        <w:rPr>
          <w:rFonts w:hint="eastAsia" w:ascii="宋体" w:hAnsi="宋体" w:eastAsia="宋体" w:cs="宋体"/>
          <w:color w:val="auto"/>
          <w:highlight w:val="none"/>
        </w:rPr>
      </w:pPr>
      <w:r>
        <w:rPr>
          <w:rFonts w:hint="eastAsia" w:ascii="宋体" w:hAnsi="宋体" w:eastAsia="宋体" w:cs="宋体"/>
          <w:color w:val="auto"/>
          <w:highlight w:val="none"/>
        </w:rPr>
        <w:t>我单位（供应商名称）郑重声明：</w:t>
      </w:r>
    </w:p>
    <w:p w14:paraId="58CD6CE8">
      <w:pPr>
        <w:widowControl/>
        <w:shd w:val="clear" w:color="auto" w:fill="FFFFFF"/>
        <w:spacing w:line="440" w:lineRule="exact"/>
        <w:ind w:firstLine="308" w:firstLineChars="147"/>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我单位</w:t>
      </w:r>
      <w:r>
        <w:rPr>
          <w:rFonts w:hint="eastAsia" w:ascii="宋体" w:hAnsi="宋体" w:eastAsia="宋体" w:cs="宋体"/>
          <w:color w:val="auto"/>
          <w:highlight w:val="none"/>
        </w:rPr>
        <w:t>参加政府采购活动前3年内在经营活动中（</w:t>
      </w:r>
      <w:r>
        <w:rPr>
          <w:rFonts w:hint="eastAsia" w:ascii="宋体" w:hAnsi="宋体" w:eastAsia="宋体" w:cs="宋体"/>
          <w:b/>
          <w:i/>
          <w:color w:val="auto"/>
          <w:highlight w:val="none"/>
          <w:u w:val="single"/>
        </w:rPr>
        <w:t>在下划线上如实填写：有或没有</w:t>
      </w:r>
      <w:r>
        <w:rPr>
          <w:rFonts w:hint="eastAsia" w:ascii="宋体" w:hAnsi="宋体" w:eastAsia="宋体" w:cs="宋体"/>
          <w:color w:val="auto"/>
          <w:highlight w:val="none"/>
        </w:rPr>
        <w:t>）</w:t>
      </w:r>
      <w:r>
        <w:rPr>
          <w:rFonts w:hint="eastAsia" w:ascii="宋体" w:hAnsi="宋体" w:eastAsia="宋体" w:cs="宋体"/>
          <w:b/>
          <w:color w:val="auto"/>
          <w:highlight w:val="none"/>
        </w:rPr>
        <w:t>重大违法记录</w:t>
      </w:r>
      <w:r>
        <w:rPr>
          <w:rFonts w:hint="eastAsia" w:ascii="宋体" w:hAnsi="宋体" w:eastAsia="宋体" w:cs="宋体"/>
          <w:b/>
          <w:color w:val="auto"/>
          <w:kern w:val="0"/>
          <w:szCs w:val="21"/>
          <w:highlight w:val="none"/>
        </w:rPr>
        <w:t>，且不是失信被执行人、</w:t>
      </w:r>
      <w:r>
        <w:rPr>
          <w:rFonts w:hint="eastAsia" w:ascii="宋体" w:hAnsi="宋体" w:eastAsia="宋体" w:cs="宋体"/>
          <w:b/>
          <w:color w:val="auto"/>
          <w:kern w:val="0"/>
          <w:szCs w:val="21"/>
          <w:highlight w:val="none"/>
          <w:lang w:eastAsia="zh-CN"/>
        </w:rPr>
        <w:t>重大税收违法失信主体</w:t>
      </w:r>
      <w:r>
        <w:rPr>
          <w:rFonts w:hint="eastAsia" w:ascii="宋体" w:hAnsi="宋体" w:eastAsia="宋体" w:cs="宋体"/>
          <w:b/>
          <w:color w:val="auto"/>
          <w:kern w:val="0"/>
          <w:szCs w:val="21"/>
          <w:highlight w:val="none"/>
        </w:rPr>
        <w:t>、政府采购严重违法失信行为记录名单的供应商。</w:t>
      </w:r>
    </w:p>
    <w:p w14:paraId="7C3D3783">
      <w:pPr>
        <w:spacing w:line="440" w:lineRule="exact"/>
        <w:ind w:firstLine="420" w:firstLineChars="200"/>
        <w:rPr>
          <w:rFonts w:hint="eastAsia" w:ascii="宋体" w:hAnsi="宋体" w:eastAsia="宋体" w:cs="宋体"/>
          <w:color w:val="auto"/>
          <w:highlight w:val="none"/>
        </w:rPr>
      </w:pPr>
    </w:p>
    <w:p w14:paraId="03B2D809">
      <w:pPr>
        <w:spacing w:line="44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（说明：政府采购法第二十二条第一款第五项所称重大违法记录，是指供应商因违法经营受到刑事处罚或者责令停产停业、吊销许可证或者执照、较大数额罚款等行政处罚。）</w:t>
      </w:r>
    </w:p>
    <w:p w14:paraId="5DC3C491">
      <w:pPr>
        <w:spacing w:line="440" w:lineRule="exact"/>
        <w:rPr>
          <w:rFonts w:hint="eastAsia" w:ascii="宋体" w:hAnsi="宋体" w:eastAsia="宋体" w:cs="宋体"/>
          <w:color w:val="auto"/>
          <w:highlight w:val="none"/>
        </w:rPr>
      </w:pPr>
    </w:p>
    <w:p w14:paraId="74A08AE9">
      <w:pPr>
        <w:spacing w:line="440" w:lineRule="exact"/>
        <w:rPr>
          <w:rFonts w:hint="eastAsia" w:ascii="宋体" w:hAnsi="宋体" w:eastAsia="宋体" w:cs="宋体"/>
          <w:color w:val="auto"/>
          <w:highlight w:val="none"/>
        </w:rPr>
      </w:pPr>
    </w:p>
    <w:p w14:paraId="6A55EA5C">
      <w:pPr>
        <w:spacing w:line="440" w:lineRule="exact"/>
        <w:ind w:firstLine="5103" w:firstLineChars="2430"/>
        <w:rPr>
          <w:rFonts w:hint="eastAsia" w:ascii="宋体" w:hAnsi="宋体" w:eastAsia="宋体" w:cs="宋体"/>
          <w:color w:val="auto"/>
          <w:highlight w:val="none"/>
        </w:rPr>
      </w:pPr>
      <w:r>
        <w:rPr>
          <w:rFonts w:hint="eastAsia" w:ascii="宋体" w:hAnsi="宋体" w:eastAsia="宋体" w:cs="宋体"/>
          <w:color w:val="auto"/>
          <w:highlight w:val="none"/>
        </w:rPr>
        <w:t>声明人：（公章）</w:t>
      </w:r>
    </w:p>
    <w:p w14:paraId="5B4B66EA">
      <w:pPr>
        <w:autoSpaceDE w:val="0"/>
        <w:autoSpaceDN w:val="0"/>
        <w:adjustRightInd w:val="0"/>
        <w:spacing w:line="440" w:lineRule="exact"/>
        <w:ind w:firstLine="5040" w:firstLineChars="2400"/>
        <w:rPr>
          <w:rFonts w:hint="eastAsia" w:ascii="宋体" w:hAnsi="宋体" w:eastAsia="宋体" w:cs="宋体"/>
          <w:b/>
          <w:color w:val="auto"/>
          <w:highlight w:val="none"/>
        </w:rPr>
      </w:pPr>
      <w:r>
        <w:rPr>
          <w:rFonts w:hint="eastAsia" w:ascii="宋体" w:hAnsi="宋体" w:eastAsia="宋体" w:cs="宋体"/>
          <w:color w:val="auto"/>
          <w:szCs w:val="21"/>
          <w:highlight w:val="none"/>
          <w:lang w:val="zh-CN"/>
        </w:rPr>
        <w:t>日期：年月</w:t>
      </w:r>
      <w:r>
        <w:rPr>
          <w:rFonts w:hint="eastAsia" w:ascii="宋体" w:hAnsi="宋体" w:eastAsia="宋体" w:cs="宋体"/>
          <w:b/>
          <w:color w:val="auto"/>
          <w:szCs w:val="21"/>
          <w:highlight w:val="none"/>
          <w:lang w:val="zh-CN"/>
        </w:rPr>
        <w:br w:type="page"/>
      </w:r>
      <w:r>
        <w:rPr>
          <w:rFonts w:hint="eastAsia" w:ascii="宋体" w:hAnsi="宋体" w:eastAsia="宋体" w:cs="宋体"/>
          <w:b/>
          <w:color w:val="auto"/>
          <w:highlight w:val="none"/>
        </w:rPr>
        <w:t>附件十、保证金缴纳凭证</w:t>
      </w:r>
    </w:p>
    <w:p w14:paraId="53F8EC4D">
      <w:pPr>
        <w:autoSpaceDE w:val="0"/>
        <w:autoSpaceDN w:val="0"/>
        <w:adjustRightInd w:val="0"/>
        <w:spacing w:line="440" w:lineRule="exact"/>
        <w:ind w:firstLine="5060" w:firstLineChars="2400"/>
        <w:rPr>
          <w:rFonts w:hint="eastAsia" w:ascii="宋体" w:hAnsi="宋体" w:eastAsia="宋体" w:cs="宋体"/>
          <w:b/>
          <w:color w:val="auto"/>
          <w:highlight w:val="none"/>
        </w:rPr>
      </w:pPr>
    </w:p>
    <w:p w14:paraId="229062E7">
      <w:pPr>
        <w:autoSpaceDE w:val="0"/>
        <w:autoSpaceDN w:val="0"/>
        <w:adjustRightInd w:val="0"/>
        <w:spacing w:line="440" w:lineRule="exact"/>
        <w:ind w:firstLine="5060" w:firstLineChars="2400"/>
        <w:rPr>
          <w:rFonts w:hint="eastAsia" w:ascii="宋体" w:hAnsi="宋体" w:eastAsia="宋体" w:cs="宋体"/>
          <w:b/>
          <w:color w:val="auto"/>
          <w:highlight w:val="none"/>
        </w:rPr>
      </w:pPr>
    </w:p>
    <w:p w14:paraId="5F7CF98F">
      <w:pPr>
        <w:autoSpaceDE w:val="0"/>
        <w:autoSpaceDN w:val="0"/>
        <w:adjustRightInd w:val="0"/>
        <w:spacing w:line="440" w:lineRule="exact"/>
        <w:ind w:firstLine="5060" w:firstLineChars="2400"/>
        <w:rPr>
          <w:rFonts w:hint="eastAsia" w:ascii="宋体" w:hAnsi="宋体" w:eastAsia="宋体" w:cs="宋体"/>
          <w:b/>
          <w:color w:val="auto"/>
          <w:highlight w:val="none"/>
        </w:rPr>
      </w:pPr>
    </w:p>
    <w:p w14:paraId="3FCA1147">
      <w:pPr>
        <w:autoSpaceDE w:val="0"/>
        <w:autoSpaceDN w:val="0"/>
        <w:adjustRightInd w:val="0"/>
        <w:spacing w:line="440" w:lineRule="exact"/>
        <w:rPr>
          <w:rFonts w:hint="eastAsia" w:ascii="宋体" w:hAnsi="宋体" w:eastAsia="宋体" w:cs="宋体"/>
          <w:b/>
          <w:color w:val="auto"/>
          <w:highlight w:val="none"/>
        </w:rPr>
      </w:pPr>
    </w:p>
    <w:p w14:paraId="1D38D405">
      <w:pPr>
        <w:autoSpaceDE w:val="0"/>
        <w:autoSpaceDN w:val="0"/>
        <w:adjustRightInd w:val="0"/>
        <w:spacing w:line="440" w:lineRule="exact"/>
        <w:rPr>
          <w:rFonts w:hint="eastAsia" w:ascii="宋体" w:hAnsi="宋体" w:eastAsia="宋体" w:cs="宋体"/>
          <w:b/>
          <w:color w:val="auto"/>
          <w:highlight w:val="none"/>
        </w:rPr>
      </w:pPr>
    </w:p>
    <w:p w14:paraId="494309EB">
      <w:pPr>
        <w:autoSpaceDE w:val="0"/>
        <w:autoSpaceDN w:val="0"/>
        <w:adjustRightInd w:val="0"/>
        <w:spacing w:line="440" w:lineRule="exact"/>
        <w:rPr>
          <w:rFonts w:hint="eastAsia" w:ascii="宋体" w:hAnsi="宋体" w:eastAsia="宋体" w:cs="宋体"/>
          <w:b/>
          <w:color w:val="auto"/>
          <w:highlight w:val="none"/>
        </w:rPr>
      </w:pPr>
      <w:r>
        <w:rPr>
          <w:rFonts w:hint="eastAsia" w:ascii="宋体" w:hAnsi="宋体" w:eastAsia="宋体" w:cs="宋体"/>
          <w:b/>
          <w:color w:val="auto"/>
          <w:highlight w:val="none"/>
        </w:rPr>
        <w:t>附件十</w:t>
      </w:r>
      <w:r>
        <w:rPr>
          <w:rFonts w:hint="eastAsia" w:ascii="宋体" w:hAnsi="宋体" w:eastAsia="宋体" w:cs="宋体"/>
          <w:b/>
          <w:color w:val="auto"/>
          <w:highlight w:val="none"/>
          <w:lang w:val="en-US" w:eastAsia="zh-CN"/>
        </w:rPr>
        <w:t>一</w:t>
      </w:r>
      <w:r>
        <w:rPr>
          <w:rFonts w:hint="eastAsia" w:ascii="宋体" w:hAnsi="宋体" w:eastAsia="宋体" w:cs="宋体"/>
          <w:b/>
          <w:color w:val="auto"/>
          <w:highlight w:val="none"/>
        </w:rPr>
        <w:t>、资格资信证明文件</w:t>
      </w:r>
    </w:p>
    <w:p w14:paraId="5E9383D7">
      <w:pPr>
        <w:autoSpaceDE w:val="0"/>
        <w:autoSpaceDN w:val="0"/>
        <w:adjustRightInd w:val="0"/>
        <w:spacing w:line="440" w:lineRule="exact"/>
        <w:rPr>
          <w:rFonts w:hint="eastAsia" w:ascii="宋体" w:hAnsi="宋体" w:eastAsia="宋体" w:cs="宋体"/>
          <w:b/>
          <w:color w:val="auto"/>
          <w:highlight w:val="none"/>
        </w:rPr>
      </w:pPr>
    </w:p>
    <w:p w14:paraId="54A542E9">
      <w:pPr>
        <w:autoSpaceDE w:val="0"/>
        <w:autoSpaceDN w:val="0"/>
        <w:adjustRightInd w:val="0"/>
        <w:spacing w:line="440" w:lineRule="exact"/>
        <w:rPr>
          <w:rFonts w:hint="eastAsia" w:ascii="宋体" w:hAnsi="宋体" w:eastAsia="宋体" w:cs="宋体"/>
          <w:b/>
          <w:color w:val="auto"/>
          <w:highlight w:val="none"/>
        </w:rPr>
      </w:pPr>
    </w:p>
    <w:p w14:paraId="7C4B9D16">
      <w:pPr>
        <w:autoSpaceDE w:val="0"/>
        <w:autoSpaceDN w:val="0"/>
        <w:adjustRightInd w:val="0"/>
        <w:spacing w:line="440" w:lineRule="exact"/>
        <w:rPr>
          <w:rFonts w:hint="eastAsia" w:ascii="宋体" w:hAnsi="宋体" w:eastAsia="宋体" w:cs="宋体"/>
          <w:b/>
          <w:color w:val="auto"/>
          <w:highlight w:val="none"/>
        </w:rPr>
      </w:pPr>
    </w:p>
    <w:p w14:paraId="146BCD33">
      <w:pPr>
        <w:autoSpaceDE w:val="0"/>
        <w:autoSpaceDN w:val="0"/>
        <w:adjustRightInd w:val="0"/>
        <w:spacing w:line="440" w:lineRule="exact"/>
        <w:rPr>
          <w:rFonts w:hint="eastAsia" w:ascii="宋体" w:hAnsi="宋体" w:eastAsia="宋体" w:cs="宋体"/>
          <w:b/>
          <w:color w:val="auto"/>
          <w:highlight w:val="none"/>
        </w:rPr>
      </w:pPr>
    </w:p>
    <w:p w14:paraId="3D315914">
      <w:pPr>
        <w:autoSpaceDE w:val="0"/>
        <w:autoSpaceDN w:val="0"/>
        <w:adjustRightInd w:val="0"/>
        <w:spacing w:line="440" w:lineRule="exact"/>
        <w:rPr>
          <w:rFonts w:hint="eastAsia" w:ascii="宋体" w:hAnsi="宋体" w:eastAsia="宋体" w:cs="宋体"/>
          <w:b/>
          <w:color w:val="auto"/>
          <w:highlight w:val="none"/>
        </w:rPr>
      </w:pPr>
    </w:p>
    <w:p w14:paraId="7C5F7E7A">
      <w:pPr>
        <w:autoSpaceDE w:val="0"/>
        <w:autoSpaceDN w:val="0"/>
        <w:adjustRightInd w:val="0"/>
        <w:spacing w:line="440" w:lineRule="exact"/>
        <w:rPr>
          <w:rFonts w:hint="eastAsia" w:ascii="宋体" w:hAnsi="宋体" w:eastAsia="宋体" w:cs="宋体"/>
          <w:b/>
          <w:color w:val="auto"/>
          <w:highlight w:val="none"/>
        </w:rPr>
      </w:pPr>
      <w:r>
        <w:rPr>
          <w:rFonts w:hint="eastAsia" w:ascii="宋体" w:hAnsi="宋体" w:eastAsia="宋体" w:cs="宋体"/>
          <w:b/>
          <w:color w:val="auto"/>
          <w:highlight w:val="none"/>
        </w:rPr>
        <w:t>附件十</w:t>
      </w:r>
      <w:r>
        <w:rPr>
          <w:rFonts w:hint="eastAsia" w:ascii="宋体" w:hAnsi="宋体" w:eastAsia="宋体" w:cs="宋体"/>
          <w:b/>
          <w:color w:val="auto"/>
          <w:highlight w:val="none"/>
          <w:lang w:val="en-US" w:eastAsia="zh-CN"/>
        </w:rPr>
        <w:t>二</w:t>
      </w:r>
      <w:r>
        <w:rPr>
          <w:rFonts w:hint="eastAsia" w:ascii="宋体" w:hAnsi="宋体" w:eastAsia="宋体" w:cs="宋体"/>
          <w:b/>
          <w:color w:val="auto"/>
          <w:highlight w:val="none"/>
        </w:rPr>
        <w:t>、联合体协议及联合体授权委托书（如允许联合体）</w:t>
      </w:r>
    </w:p>
    <w:p w14:paraId="766A4353">
      <w:pPr>
        <w:autoSpaceDE w:val="0"/>
        <w:autoSpaceDN w:val="0"/>
        <w:adjustRightInd w:val="0"/>
        <w:spacing w:line="440" w:lineRule="exact"/>
        <w:rPr>
          <w:rFonts w:hint="eastAsia" w:ascii="宋体" w:hAnsi="宋体" w:eastAsia="宋体" w:cs="宋体"/>
          <w:b/>
          <w:color w:val="auto"/>
          <w:highlight w:val="none"/>
        </w:rPr>
      </w:pPr>
    </w:p>
    <w:p w14:paraId="4B3E94A4">
      <w:pPr>
        <w:autoSpaceDE w:val="0"/>
        <w:autoSpaceDN w:val="0"/>
        <w:adjustRightInd w:val="0"/>
        <w:spacing w:line="440" w:lineRule="exact"/>
        <w:rPr>
          <w:rFonts w:hint="eastAsia" w:ascii="宋体" w:hAnsi="宋体" w:eastAsia="宋体" w:cs="宋体"/>
          <w:b/>
          <w:color w:val="auto"/>
          <w:highlight w:val="none"/>
        </w:rPr>
      </w:pPr>
    </w:p>
    <w:p w14:paraId="7AF43ED6">
      <w:pPr>
        <w:autoSpaceDE w:val="0"/>
        <w:autoSpaceDN w:val="0"/>
        <w:adjustRightInd w:val="0"/>
        <w:spacing w:line="440" w:lineRule="exact"/>
        <w:rPr>
          <w:rFonts w:hint="eastAsia" w:ascii="宋体" w:hAnsi="宋体" w:eastAsia="宋体" w:cs="宋体"/>
          <w:b/>
          <w:color w:val="auto"/>
          <w:highlight w:val="none"/>
        </w:rPr>
      </w:pPr>
    </w:p>
    <w:p w14:paraId="439ABC69">
      <w:pPr>
        <w:autoSpaceDE w:val="0"/>
        <w:autoSpaceDN w:val="0"/>
        <w:adjustRightInd w:val="0"/>
        <w:spacing w:line="440" w:lineRule="exact"/>
        <w:rPr>
          <w:rFonts w:hint="eastAsia" w:ascii="宋体" w:hAnsi="宋体" w:eastAsia="宋体" w:cs="宋体"/>
          <w:b/>
          <w:color w:val="auto"/>
          <w:highlight w:val="none"/>
        </w:rPr>
      </w:pPr>
    </w:p>
    <w:p w14:paraId="27B932D1">
      <w:pPr>
        <w:autoSpaceDE w:val="0"/>
        <w:autoSpaceDN w:val="0"/>
        <w:adjustRightInd w:val="0"/>
        <w:spacing w:line="440" w:lineRule="exact"/>
        <w:rPr>
          <w:rFonts w:hint="eastAsia" w:ascii="宋体" w:hAnsi="宋体" w:eastAsia="宋体" w:cs="宋体"/>
          <w:b/>
          <w:color w:val="auto"/>
          <w:highlight w:val="none"/>
        </w:rPr>
      </w:pPr>
    </w:p>
    <w:p w14:paraId="1BEC9868">
      <w:pPr>
        <w:autoSpaceDE w:val="0"/>
        <w:autoSpaceDN w:val="0"/>
        <w:adjustRightInd w:val="0"/>
        <w:spacing w:line="440" w:lineRule="exact"/>
        <w:rPr>
          <w:rFonts w:hint="eastAsia" w:ascii="宋体" w:hAnsi="宋体" w:eastAsia="宋体" w:cs="宋体"/>
          <w:b/>
          <w:color w:val="auto"/>
          <w:highlight w:val="none"/>
        </w:rPr>
      </w:pPr>
    </w:p>
    <w:p w14:paraId="17B5BD6C">
      <w:pPr>
        <w:autoSpaceDE w:val="0"/>
        <w:autoSpaceDN w:val="0"/>
        <w:adjustRightInd w:val="0"/>
        <w:spacing w:line="440" w:lineRule="exact"/>
        <w:rPr>
          <w:rFonts w:hint="eastAsia" w:ascii="宋体" w:hAnsi="宋体" w:eastAsia="宋体" w:cs="宋体"/>
          <w:b/>
          <w:color w:val="auto"/>
          <w:highlight w:val="none"/>
        </w:rPr>
      </w:pPr>
    </w:p>
    <w:p w14:paraId="53DFE93E">
      <w:pPr>
        <w:autoSpaceDE w:val="0"/>
        <w:autoSpaceDN w:val="0"/>
        <w:adjustRightInd w:val="0"/>
        <w:spacing w:line="440" w:lineRule="exact"/>
        <w:rPr>
          <w:rFonts w:hint="eastAsia" w:ascii="宋体" w:hAnsi="宋体" w:eastAsia="宋体" w:cs="宋体"/>
          <w:b/>
          <w:color w:val="auto"/>
          <w:highlight w:val="none"/>
        </w:rPr>
      </w:pPr>
    </w:p>
    <w:p w14:paraId="4AC93E91">
      <w:pPr>
        <w:autoSpaceDE w:val="0"/>
        <w:autoSpaceDN w:val="0"/>
        <w:adjustRightInd w:val="0"/>
        <w:spacing w:line="440" w:lineRule="exact"/>
        <w:rPr>
          <w:rFonts w:hint="eastAsia" w:ascii="宋体" w:hAnsi="宋体" w:eastAsia="宋体" w:cs="宋体"/>
          <w:b/>
          <w:color w:val="auto"/>
          <w:highlight w:val="none"/>
        </w:rPr>
      </w:pPr>
    </w:p>
    <w:p w14:paraId="676AB003">
      <w:pPr>
        <w:autoSpaceDE w:val="0"/>
        <w:autoSpaceDN w:val="0"/>
        <w:adjustRightInd w:val="0"/>
        <w:spacing w:line="440" w:lineRule="exact"/>
        <w:rPr>
          <w:rFonts w:hint="eastAsia" w:ascii="宋体" w:hAnsi="宋体" w:eastAsia="宋体" w:cs="宋体"/>
          <w:b/>
          <w:color w:val="auto"/>
          <w:highlight w:val="none"/>
        </w:rPr>
      </w:pPr>
      <w:r>
        <w:rPr>
          <w:rFonts w:hint="eastAsia" w:ascii="宋体" w:hAnsi="宋体" w:eastAsia="宋体" w:cs="宋体"/>
          <w:b/>
          <w:color w:val="auto"/>
          <w:highlight w:val="none"/>
        </w:rPr>
        <w:t>附件十</w:t>
      </w:r>
      <w:r>
        <w:rPr>
          <w:rFonts w:hint="eastAsia" w:ascii="宋体" w:hAnsi="宋体" w:eastAsia="宋体" w:cs="宋体"/>
          <w:b/>
          <w:color w:val="auto"/>
          <w:highlight w:val="none"/>
          <w:lang w:val="en-US" w:eastAsia="zh-CN"/>
        </w:rPr>
        <w:t>三</w:t>
      </w:r>
      <w:r>
        <w:rPr>
          <w:rFonts w:hint="eastAsia" w:ascii="宋体" w:hAnsi="宋体" w:eastAsia="宋体" w:cs="宋体"/>
          <w:b/>
          <w:color w:val="auto"/>
          <w:highlight w:val="none"/>
        </w:rPr>
        <w:t>、其他</w:t>
      </w:r>
    </w:p>
    <w:p w14:paraId="43E2F88D">
      <w:pPr>
        <w:autoSpaceDE w:val="0"/>
        <w:autoSpaceDN w:val="0"/>
        <w:adjustRightInd w:val="0"/>
        <w:spacing w:line="440" w:lineRule="exact"/>
        <w:rPr>
          <w:rFonts w:hint="eastAsia" w:ascii="宋体" w:hAnsi="宋体" w:eastAsia="宋体" w:cs="宋体"/>
          <w:b/>
          <w:color w:val="auto"/>
          <w:highlight w:val="none"/>
        </w:rPr>
      </w:pPr>
    </w:p>
    <w:p w14:paraId="1EEB0B67">
      <w:pPr>
        <w:rPr>
          <w:color w:val="auto"/>
          <w:highlight w:val="none"/>
        </w:rPr>
      </w:pPr>
    </w:p>
    <w:p w14:paraId="15BE1C80"/>
    <w:sectPr>
      <w:headerReference r:id="rId5" w:type="default"/>
      <w:footerReference r:id="rId6" w:type="default"/>
      <w:pgSz w:w="11906" w:h="16838"/>
      <w:pgMar w:top="1440" w:right="1800" w:bottom="1440" w:left="16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703F0">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02E91E">
                          <w:pPr>
                            <w:pStyle w:val="8"/>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2C02E91E">
                    <w:pPr>
                      <w:pStyle w:val="8"/>
                    </w:pPr>
                    <w:r>
                      <w:fldChar w:fldCharType="begin"/>
                    </w:r>
                    <w:r>
                      <w:instrText xml:space="preserve"> PAGE  \* MERGEFORMAT </w:instrText>
                    </w:r>
                    <w:r>
                      <w:fldChar w:fldCharType="separate"/>
                    </w:r>
                    <w:r>
                      <w:t>4</w:t>
                    </w:r>
                    <w:r>
                      <w:fldChar w:fldCharType="end"/>
                    </w:r>
                  </w:p>
                </w:txbxContent>
              </v:textbox>
            </v:shape>
          </w:pict>
        </mc:Fallback>
      </mc:AlternateContent>
    </w:r>
  </w:p>
  <w:p w14:paraId="1AD28535">
    <w:pPr>
      <w:pStyle w:val="8"/>
      <w:jc w:val="center"/>
      <w:rPr>
        <w:kern w:val="0"/>
        <w:sz w:val="24"/>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6394A">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944F4B3">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944F4B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4385">
    <w:pPr>
      <w:pStyle w:val="8"/>
      <w:jc w:val="center"/>
    </w:pPr>
    <w:r>
      <w:fldChar w:fldCharType="begin"/>
    </w:r>
    <w:r>
      <w:instrText xml:space="preserve"> PAGE Page \* MERGEFORMAT </w:instrText>
    </w:r>
    <w:r>
      <w:fldChar w:fldCharType="separate"/>
    </w:r>
    <w:r>
      <w:t>38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90E1D">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3"/>
      <w:suff w:val="nothing"/>
      <w:lvlText w:val="第%1章"/>
      <w:lvlJc w:val="left"/>
      <w:pPr>
        <w:ind w:left="682"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58C6081D"/>
    <w:multiLevelType w:val="singleLevel"/>
    <w:tmpl w:val="58C6081D"/>
    <w:lvl w:ilvl="0" w:tentative="0">
      <w:start w:val="1"/>
      <w:numFmt w:val="decimal"/>
      <w:suff w:val="nothing"/>
      <w:lvlText w:val="（%1）"/>
      <w:lvlJc w:val="left"/>
    </w:lvl>
  </w:abstractNum>
  <w:abstractNum w:abstractNumId="2">
    <w:nsid w:val="5915610C"/>
    <w:multiLevelType w:val="singleLevel"/>
    <w:tmpl w:val="5915610C"/>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B66DE4"/>
    <w:rsid w:val="405C32C1"/>
    <w:rsid w:val="5F447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8" w:lineRule="auto"/>
      <w:jc w:val="center"/>
      <w:outlineLvl w:val="0"/>
    </w:pPr>
    <w:rPr>
      <w:b/>
      <w:bCs/>
      <w:kern w:val="44"/>
      <w:sz w:val="32"/>
      <w:szCs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styleId="4">
    <w:name w:val="Normal Indent"/>
    <w:basedOn w:val="1"/>
    <w:qFormat/>
    <w:uiPriority w:val="0"/>
    <w:pPr>
      <w:ind w:firstLine="420"/>
    </w:pPr>
    <w:rPr>
      <w:b/>
      <w:sz w:val="24"/>
      <w:szCs w:val="20"/>
    </w:rPr>
  </w:style>
  <w:style w:type="paragraph" w:styleId="5">
    <w:name w:val="annotation text"/>
    <w:basedOn w:val="1"/>
    <w:qFormat/>
    <w:uiPriority w:val="0"/>
    <w:pPr>
      <w:jc w:val="left"/>
    </w:pPr>
  </w:style>
  <w:style w:type="paragraph" w:styleId="6">
    <w:name w:val="Body Text Indent"/>
    <w:basedOn w:val="1"/>
    <w:next w:val="7"/>
    <w:qFormat/>
    <w:uiPriority w:val="0"/>
    <w:pPr>
      <w:spacing w:after="120"/>
      <w:ind w:left="420" w:leftChars="200"/>
    </w:pPr>
  </w:style>
  <w:style w:type="paragraph" w:styleId="7">
    <w:name w:val="envelope return"/>
    <w:basedOn w:val="1"/>
    <w:unhideWhenUsed/>
    <w:qFormat/>
    <w:uiPriority w:val="99"/>
    <w:pPr>
      <w:snapToGrid w:val="0"/>
    </w:pPr>
    <w:rPr>
      <w:rFonts w:ascii="Arial" w:hAnsi="Arial"/>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2"/>
    <w:basedOn w:val="6"/>
    <w:qFormat/>
    <w:uiPriority w:val="0"/>
    <w:pPr>
      <w:ind w:firstLine="420"/>
    </w:p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正文文本1"/>
    <w:basedOn w:val="15"/>
    <w:next w:val="1"/>
    <w:qFormat/>
    <w:uiPriority w:val="0"/>
    <w:pPr>
      <w:spacing w:line="60" w:lineRule="auto"/>
    </w:pPr>
    <w:rPr>
      <w:rFonts w:ascii="方正仿宋_GB2312" w:eastAsia="方正仿宋_GB2312"/>
      <w:sz w:val="32"/>
    </w:rPr>
  </w:style>
  <w:style w:type="paragraph" w:customStyle="1" w:styleId="15">
    <w:name w:val="正文1"/>
    <w:basedOn w:val="1"/>
    <w:next w:val="14"/>
    <w:qFormat/>
    <w:uiPriority w:val="0"/>
    <w:pPr>
      <w:widowControl/>
      <w:spacing w:line="360" w:lineRule="auto"/>
      <w:ind w:left="357" w:firstLine="420"/>
      <w:jc w:val="left"/>
    </w:pPr>
    <w:rPr>
      <w:rFonts w:cs="Arial"/>
      <w:szCs w:val="20"/>
    </w:rPr>
  </w:style>
  <w:style w:type="paragraph" w:customStyle="1" w:styleId="16">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20417</Words>
  <Characters>21556</Characters>
  <Lines>0</Lines>
  <Paragraphs>0</Paragraphs>
  <TotalTime>0</TotalTime>
  <ScaleCrop>false</ScaleCrop>
  <LinksUpToDate>false</LinksUpToDate>
  <CharactersWithSpaces>23432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2026-10-20T08:18:00Z</dcterms:created>
  <dc:creator>11099</dc:creator>
  <cp:lastModifiedBy>努力努力努力</cp:lastModifiedBy>
  <dcterms:modified xsi:type="dcterms:W3CDTF">2026-10-20T09:27:06Z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eyJoZGlkIjoiMzEwNTM5NzYwMDRjMzkwZTVkZjY2ODkwMGIxNGU0OTUiLCJ1c2VySWQiOiI0NDk3Mzg1MDUifQ==</vt:lpwstr>
  </property>
  <property fmtid="{D5CDD505-2E9C-101B-9397-08002B2CF9AE}" pid="4" name="ICV">
    <vt:lpwstr>677102161B384852ABD49D1A4EAE7215_12</vt:lpwstr>
  </property>
</Properties>
</file>