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F7EB3">
      <w:pPr>
        <w:widowControl/>
        <w:shd w:val="clear" w:color="auto" w:fill="FFFFFF"/>
        <w:spacing w:line="360" w:lineRule="auto"/>
        <w:jc w:val="both"/>
        <w:rPr>
          <w:rFonts w:hint="default" w:ascii="宋体" w:hAnsi="宋体" w:eastAsia="宋体" w:cs="宋体"/>
          <w:b/>
          <w:color w:val="auto"/>
          <w:kern w:val="0"/>
          <w:sz w:val="48"/>
          <w:szCs w:val="48"/>
          <w:highlight w:val="none"/>
          <w:lang w:val="en-US" w:eastAsia="zh-CN"/>
        </w:rPr>
      </w:pPr>
    </w:p>
    <w:p w14:paraId="5A9FE0DF">
      <w:pPr>
        <w:widowControl/>
        <w:shd w:val="clear" w:color="auto" w:fill="FFFFFF"/>
        <w:spacing w:line="360" w:lineRule="auto"/>
        <w:jc w:val="center"/>
        <w:rPr>
          <w:rFonts w:hint="eastAsia" w:ascii="宋体" w:hAnsi="宋体" w:eastAsia="宋体" w:cs="宋体"/>
          <w:b/>
          <w:color w:val="auto"/>
          <w:kern w:val="0"/>
          <w:sz w:val="48"/>
          <w:szCs w:val="48"/>
          <w:highlight w:val="none"/>
        </w:rPr>
      </w:pPr>
    </w:p>
    <w:p w14:paraId="3BFC1409">
      <w:pPr>
        <w:widowControl/>
        <w:shd w:val="clear" w:color="auto" w:fill="FFFFFF"/>
        <w:spacing w:line="360" w:lineRule="auto"/>
        <w:rPr>
          <w:rFonts w:hint="eastAsia" w:ascii="宋体" w:hAnsi="宋体" w:eastAsia="宋体" w:cs="宋体"/>
          <w:b/>
          <w:color w:val="auto"/>
          <w:kern w:val="0"/>
          <w:sz w:val="48"/>
          <w:szCs w:val="48"/>
          <w:highlight w:val="none"/>
        </w:rPr>
      </w:pPr>
    </w:p>
    <w:p w14:paraId="1829A92F">
      <w:pPr>
        <w:widowControl/>
        <w:spacing w:line="360" w:lineRule="auto"/>
        <w:jc w:val="center"/>
        <w:rPr>
          <w:rFonts w:hint="eastAsia" w:ascii="宋体" w:hAnsi="宋体" w:eastAsia="宋体" w:cs="宋体"/>
          <w:b/>
          <w:color w:val="auto"/>
          <w:kern w:val="0"/>
          <w:sz w:val="72"/>
          <w:szCs w:val="72"/>
          <w:highlight w:val="none"/>
          <w:lang w:eastAsia="zh-CN"/>
        </w:rPr>
      </w:pPr>
      <w:r>
        <w:rPr>
          <w:rFonts w:hint="eastAsia" w:ascii="宋体" w:hAnsi="宋体" w:cs="宋体"/>
          <w:b/>
          <w:bCs/>
          <w:color w:val="auto"/>
          <w:sz w:val="48"/>
          <w:szCs w:val="48"/>
          <w:highlight w:val="none"/>
          <w:lang w:eastAsia="zh-CN"/>
        </w:rPr>
        <w:t>中国医学科学院皮肤病医院间苯二酚采购项目</w:t>
      </w:r>
    </w:p>
    <w:p w14:paraId="644AAF6E">
      <w:pPr>
        <w:widowControl/>
        <w:spacing w:line="360" w:lineRule="auto"/>
        <w:jc w:val="center"/>
        <w:rPr>
          <w:rFonts w:hint="eastAsia" w:ascii="宋体" w:hAnsi="宋体" w:eastAsia="宋体" w:cs="宋体"/>
          <w:b/>
          <w:color w:val="auto"/>
          <w:kern w:val="0"/>
          <w:sz w:val="72"/>
          <w:szCs w:val="72"/>
          <w:highlight w:val="none"/>
        </w:rPr>
      </w:pPr>
    </w:p>
    <w:p w14:paraId="6A9481FB">
      <w:pPr>
        <w:pStyle w:val="6"/>
        <w:rPr>
          <w:rFonts w:hint="eastAsia" w:ascii="宋体" w:hAnsi="宋体" w:eastAsia="宋体" w:cs="宋体"/>
          <w:color w:val="auto"/>
          <w:highlight w:val="none"/>
        </w:rPr>
      </w:pPr>
    </w:p>
    <w:p w14:paraId="7750134E">
      <w:pPr>
        <w:widowControl/>
        <w:spacing w:line="360" w:lineRule="auto"/>
        <w:jc w:val="center"/>
        <w:rPr>
          <w:rFonts w:hint="eastAsia" w:ascii="宋体" w:hAnsi="宋体" w:eastAsia="宋体" w:cs="宋体"/>
          <w:b/>
          <w:color w:val="auto"/>
          <w:kern w:val="0"/>
          <w:sz w:val="72"/>
          <w:szCs w:val="72"/>
          <w:highlight w:val="none"/>
        </w:rPr>
      </w:pPr>
      <w:r>
        <w:rPr>
          <w:rFonts w:hint="eastAsia" w:ascii="宋体" w:hAnsi="宋体" w:eastAsia="宋体" w:cs="宋体"/>
          <w:b/>
          <w:color w:val="auto"/>
          <w:kern w:val="0"/>
          <w:sz w:val="72"/>
          <w:szCs w:val="72"/>
          <w:highlight w:val="none"/>
        </w:rPr>
        <w:t>招 标 文 件</w:t>
      </w:r>
    </w:p>
    <w:p w14:paraId="19660FD2">
      <w:pPr>
        <w:widowControl/>
        <w:spacing w:line="360" w:lineRule="auto"/>
        <w:jc w:val="center"/>
        <w:rPr>
          <w:rFonts w:hint="eastAsia" w:ascii="宋体" w:hAnsi="宋体" w:eastAsia="宋体" w:cs="宋体"/>
          <w:b/>
          <w:color w:val="auto"/>
          <w:kern w:val="0"/>
          <w:sz w:val="36"/>
          <w:szCs w:val="36"/>
          <w:highlight w:val="none"/>
        </w:rPr>
      </w:pPr>
    </w:p>
    <w:p w14:paraId="262BBFD8">
      <w:pPr>
        <w:widowControl/>
        <w:spacing w:line="360" w:lineRule="auto"/>
        <w:jc w:val="center"/>
        <w:rPr>
          <w:rFonts w:hint="eastAsia" w:ascii="宋体" w:hAnsi="宋体" w:eastAsia="宋体" w:cs="宋体"/>
          <w:b/>
          <w:color w:val="auto"/>
          <w:kern w:val="0"/>
          <w:sz w:val="36"/>
          <w:szCs w:val="36"/>
          <w:highlight w:val="none"/>
        </w:rPr>
      </w:pPr>
    </w:p>
    <w:p w14:paraId="0E33EF38">
      <w:pPr>
        <w:widowControl/>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项目编号：</w:t>
      </w:r>
      <w:r>
        <w:rPr>
          <w:rFonts w:hint="eastAsia" w:ascii="宋体" w:hAnsi="宋体" w:cs="宋体"/>
          <w:b/>
          <w:color w:val="auto"/>
          <w:kern w:val="0"/>
          <w:sz w:val="36"/>
          <w:szCs w:val="36"/>
          <w:highlight w:val="none"/>
          <w:lang w:eastAsia="zh-CN"/>
        </w:rPr>
        <w:t>DL066026H3ZC01402</w:t>
      </w:r>
      <w:r>
        <w:rPr>
          <w:rFonts w:hint="eastAsia" w:ascii="宋体" w:hAnsi="宋体" w:eastAsia="宋体" w:cs="宋体"/>
          <w:b/>
          <w:color w:val="auto"/>
          <w:kern w:val="0"/>
          <w:sz w:val="36"/>
          <w:szCs w:val="36"/>
          <w:highlight w:val="none"/>
          <w:lang w:eastAsia="zh-CN"/>
        </w:rPr>
        <w:t xml:space="preserve"> </w:t>
      </w:r>
      <w:r>
        <w:rPr>
          <w:rFonts w:hint="eastAsia" w:ascii="宋体" w:hAnsi="宋体" w:eastAsia="宋体" w:cs="宋体"/>
          <w:b/>
          <w:color w:val="auto"/>
          <w:kern w:val="0"/>
          <w:sz w:val="36"/>
          <w:szCs w:val="36"/>
          <w:highlight w:val="none"/>
        </w:rPr>
        <w:t xml:space="preserve">  </w:t>
      </w:r>
    </w:p>
    <w:p w14:paraId="6593E72F">
      <w:pPr>
        <w:widowControl/>
        <w:spacing w:line="360" w:lineRule="auto"/>
        <w:jc w:val="center"/>
        <w:rPr>
          <w:rFonts w:hint="eastAsia" w:ascii="宋体" w:hAnsi="宋体" w:eastAsia="宋体" w:cs="宋体"/>
          <w:b/>
          <w:color w:val="auto"/>
          <w:kern w:val="0"/>
          <w:sz w:val="72"/>
          <w:szCs w:val="72"/>
          <w:highlight w:val="none"/>
        </w:rPr>
      </w:pPr>
    </w:p>
    <w:p w14:paraId="2E9CCF18">
      <w:pPr>
        <w:widowControl/>
        <w:shd w:val="clear" w:color="auto" w:fill="FFFFFF"/>
        <w:spacing w:line="360" w:lineRule="auto"/>
        <w:rPr>
          <w:rFonts w:hint="eastAsia" w:ascii="宋体" w:hAnsi="宋体" w:eastAsia="宋体" w:cs="宋体"/>
          <w:color w:val="auto"/>
          <w:kern w:val="0"/>
          <w:sz w:val="44"/>
          <w:szCs w:val="44"/>
          <w:highlight w:val="none"/>
        </w:rPr>
      </w:pPr>
      <w:r>
        <w:rPr>
          <w:rFonts w:hint="eastAsia" w:ascii="宋体" w:hAnsi="宋体" w:eastAsia="宋体" w:cs="宋体"/>
          <w:color w:val="auto"/>
          <w:kern w:val="0"/>
          <w:sz w:val="32"/>
          <w:szCs w:val="32"/>
          <w:highlight w:val="none"/>
        </w:rPr>
        <w:t>  </w:t>
      </w:r>
    </w:p>
    <w:p w14:paraId="6A86D28C">
      <w:pPr>
        <w:widowControl/>
        <w:spacing w:line="360" w:lineRule="auto"/>
        <w:jc w:val="center"/>
        <w:rPr>
          <w:rFonts w:hint="eastAsia" w:ascii="宋体" w:hAnsi="宋体" w:eastAsia="宋体" w:cs="宋体"/>
          <w:b/>
          <w:color w:val="auto"/>
          <w:kern w:val="0"/>
          <w:sz w:val="36"/>
          <w:szCs w:val="36"/>
          <w:highlight w:val="none"/>
        </w:rPr>
      </w:pPr>
    </w:p>
    <w:p w14:paraId="7177771A">
      <w:pPr>
        <w:widowControl/>
        <w:spacing w:line="360" w:lineRule="auto"/>
        <w:jc w:val="center"/>
        <w:rPr>
          <w:rFonts w:hint="eastAsia" w:ascii="宋体" w:hAnsi="宋体" w:eastAsia="宋体" w:cs="宋体"/>
          <w:b/>
          <w:color w:val="auto"/>
          <w:kern w:val="0"/>
          <w:sz w:val="36"/>
          <w:szCs w:val="36"/>
          <w:highlight w:val="none"/>
        </w:rPr>
      </w:pPr>
    </w:p>
    <w:p w14:paraId="0492F41C">
      <w:pPr>
        <w:widowControl/>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江苏省设备成套股份有限公司</w:t>
      </w:r>
    </w:p>
    <w:p w14:paraId="3EC29A03">
      <w:pPr>
        <w:widowControl/>
        <w:shd w:val="clear" w:color="auto" w:fill="FFFFFF"/>
        <w:spacing w:line="360" w:lineRule="auto"/>
        <w:jc w:val="center"/>
        <w:rPr>
          <w:rFonts w:hint="eastAsia" w:ascii="宋体" w:hAnsi="宋体" w:eastAsia="宋体" w:cs="宋体"/>
          <w:b/>
          <w:color w:val="auto"/>
          <w:kern w:val="0"/>
          <w:sz w:val="36"/>
          <w:szCs w:val="36"/>
          <w:highlight w:val="none"/>
        </w:rPr>
      </w:pPr>
      <w:r>
        <w:rPr>
          <w:rFonts w:hint="eastAsia" w:ascii="宋体" w:hAnsi="宋体" w:cs="宋体"/>
          <w:b/>
          <w:color w:val="auto"/>
          <w:kern w:val="0"/>
          <w:sz w:val="36"/>
          <w:szCs w:val="36"/>
          <w:highlight w:val="none"/>
          <w:lang w:val="en-US" w:eastAsia="zh-CN"/>
        </w:rPr>
        <w:t>2026年09月</w:t>
      </w:r>
    </w:p>
    <w:p w14:paraId="2E0D203E">
      <w:pPr>
        <w:pStyle w:val="156"/>
        <w:jc w:val="center"/>
        <w:rPr>
          <w:rFonts w:hint="eastAsia" w:ascii="宋体" w:hAnsi="宋体" w:eastAsia="宋体" w:cs="宋体"/>
          <w:color w:val="auto"/>
          <w:sz w:val="36"/>
          <w:szCs w:val="36"/>
          <w:highlight w:val="none"/>
          <w:lang w:val="zh-CN"/>
        </w:rPr>
        <w:sectPr>
          <w:headerReference r:id="rId4" w:type="first"/>
          <w:headerReference r:id="rId3" w:type="default"/>
          <w:footerReference r:id="rId5" w:type="default"/>
          <w:pgSz w:w="11906" w:h="16838"/>
          <w:pgMar w:top="1440" w:right="1800" w:bottom="1440" w:left="1600" w:header="851" w:footer="992" w:gutter="0"/>
          <w:pgBorders>
            <w:top w:val="none" w:sz="0" w:space="0"/>
            <w:left w:val="none" w:sz="0" w:space="0"/>
            <w:bottom w:val="none" w:sz="0" w:space="0"/>
            <w:right w:val="none" w:sz="0" w:space="0"/>
          </w:pgBorders>
          <w:pgNumType w:fmt="decimal" w:start="0"/>
          <w:cols w:space="0" w:num="1"/>
          <w:titlePg/>
          <w:rtlGutter w:val="0"/>
          <w:docGrid w:type="lines" w:linePitch="312" w:charSpace="0"/>
        </w:sectPr>
      </w:pPr>
    </w:p>
    <w:p w14:paraId="6365AB5A">
      <w:pPr>
        <w:pStyle w:val="156"/>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val="zh-CN"/>
        </w:rPr>
        <w:t>目  录</w:t>
      </w:r>
    </w:p>
    <w:p w14:paraId="10CD911D">
      <w:pPr>
        <w:pStyle w:val="32"/>
        <w:tabs>
          <w:tab w:val="right" w:leader="dot" w:pos="8296"/>
        </w:tabs>
        <w:rPr>
          <w:rFonts w:hint="eastAsia" w:ascii="宋体" w:hAnsi="宋体" w:eastAsia="宋体" w:cs="宋体"/>
          <w:color w:val="auto"/>
          <w:sz w:val="28"/>
          <w:szCs w:val="28"/>
          <w:highlight w:val="none"/>
        </w:rPr>
      </w:pPr>
    </w:p>
    <w:p w14:paraId="53FC8A6C">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"1-1"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_Toc11866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kern w:val="0"/>
          <w:sz w:val="24"/>
          <w:szCs w:val="24"/>
          <w:highlight w:val="none"/>
        </w:rPr>
        <w:t xml:space="preserve">第一章 </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_Toc11866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431CCA2">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_Toc7593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投标人须知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_Toc7593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456F74">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_Toc11112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评标标准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_Toc11112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18DD0B0">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_Toc23380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_Toc23380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79D06F6">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_Toc15239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第五章 </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主要条款及格式</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F1A043D">
      <w:pPr>
        <w:pStyle w:val="32"/>
        <w:keepNext w:val="0"/>
        <w:keepLines w:val="0"/>
        <w:pageBreakBefore w:val="0"/>
        <w:widowControl w:val="0"/>
        <w:tabs>
          <w:tab w:val="right" w:leader="dot" w:pos="8506"/>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_Toc6328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第六章 </w:t>
      </w:r>
      <w:r>
        <w:rPr>
          <w:rFonts w:hint="eastAsia" w:ascii="宋体" w:hAnsi="宋体" w:eastAsia="宋体" w:cs="宋体"/>
          <w:color w:val="auto"/>
          <w:sz w:val="24"/>
          <w:szCs w:val="24"/>
          <w:highlight w:val="none"/>
          <w:lang w:val="en-US" w:eastAsia="zh-CN"/>
        </w:rPr>
        <w:t>投标文件格式及</w:t>
      </w:r>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1</w:t>
      </w:r>
    </w:p>
    <w:p w14:paraId="53880000">
      <w:pPr>
        <w:spacing w:line="480" w:lineRule="auto"/>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fldChar w:fldCharType="end"/>
      </w:r>
    </w:p>
    <w:p w14:paraId="5F04B1C5">
      <w:pPr>
        <w:widowControl/>
        <w:shd w:val="clear" w:color="auto" w:fill="FFFFFF"/>
        <w:spacing w:line="360" w:lineRule="auto"/>
        <w:jc w:val="center"/>
        <w:rPr>
          <w:rFonts w:hint="eastAsia" w:ascii="宋体" w:hAnsi="宋体" w:eastAsia="宋体" w:cs="宋体"/>
          <w:b/>
          <w:color w:val="auto"/>
          <w:kern w:val="0"/>
          <w:sz w:val="36"/>
          <w:szCs w:val="36"/>
          <w:highlight w:val="none"/>
        </w:rPr>
      </w:pPr>
    </w:p>
    <w:p w14:paraId="4BDEA202">
      <w:pPr>
        <w:pStyle w:val="4"/>
        <w:rPr>
          <w:rFonts w:hint="eastAsia" w:ascii="宋体" w:hAnsi="宋体" w:eastAsia="宋体" w:cs="宋体"/>
          <w:color w:val="auto"/>
          <w:kern w:val="0"/>
          <w:szCs w:val="21"/>
          <w:highlight w:val="none"/>
        </w:rPr>
        <w:sectPr>
          <w:footerReference r:id="rId7" w:type="first"/>
          <w:footerReference r:id="rId6" w:type="default"/>
          <w:pgSz w:w="11906" w:h="16838"/>
          <w:pgMar w:top="1440" w:right="1800" w:bottom="1440" w:left="16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604033DE">
      <w:pPr>
        <w:pStyle w:val="4"/>
        <w:rPr>
          <w:rFonts w:hint="eastAsia" w:ascii="宋体" w:hAnsi="宋体" w:eastAsia="宋体" w:cs="宋体"/>
          <w:color w:val="auto"/>
          <w:kern w:val="0"/>
          <w:szCs w:val="21"/>
          <w:highlight w:val="none"/>
        </w:rPr>
        <w:sectPr>
          <w:footerReference r:id="rId8" w:type="default"/>
          <w:type w:val="continuous"/>
          <w:pgSz w:w="11906" w:h="16838"/>
          <w:pgMar w:top="1440" w:right="1800" w:bottom="1440" w:left="16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bookmarkStart w:id="0" w:name="_Toc481057143"/>
    </w:p>
    <w:p w14:paraId="122392B0">
      <w:pPr>
        <w:pStyle w:val="4"/>
        <w:pageBreakBefore w:val="0"/>
        <w:numPr>
          <w:ilvl w:val="0"/>
          <w:numId w:val="0"/>
        </w:numPr>
        <w:kinsoku/>
        <w:wordWrap/>
        <w:overflowPunct/>
        <w:topLinePunct w:val="0"/>
        <w:autoSpaceDE/>
        <w:autoSpaceDN/>
        <w:bidi w:val="0"/>
        <w:adjustRightInd/>
        <w:snapToGrid/>
        <w:spacing w:before="0" w:after="0" w:line="360" w:lineRule="auto"/>
        <w:ind w:leftChars="0"/>
        <w:textAlignment w:val="auto"/>
        <w:rPr>
          <w:rFonts w:hint="eastAsia" w:ascii="宋体" w:hAnsi="宋体" w:eastAsia="宋体" w:cs="宋体"/>
          <w:color w:val="auto"/>
          <w:kern w:val="0"/>
          <w:szCs w:val="21"/>
          <w:highlight w:val="none"/>
        </w:rPr>
      </w:pPr>
      <w:r>
        <w:rPr>
          <w:rFonts w:hint="eastAsia" w:ascii="宋体" w:hAnsi="宋体" w:cs="宋体"/>
          <w:color w:val="auto"/>
          <w:kern w:val="0"/>
          <w:sz w:val="36"/>
          <w:szCs w:val="36"/>
          <w:highlight w:val="none"/>
          <w:shd w:val="clear" w:color="auto" w:fill="FFFFFF"/>
          <w:lang w:val="en-US" w:eastAsia="zh-CN"/>
        </w:rPr>
        <w:t>第一章</w:t>
      </w:r>
      <w:r>
        <w:rPr>
          <w:rFonts w:hint="eastAsia" w:ascii="宋体" w:hAnsi="宋体" w:eastAsia="宋体" w:cs="宋体"/>
          <w:color w:val="auto"/>
          <w:kern w:val="0"/>
          <w:sz w:val="36"/>
          <w:szCs w:val="36"/>
          <w:highlight w:val="none"/>
          <w:shd w:val="clear" w:color="auto" w:fill="FFFFFF"/>
        </w:rPr>
        <w:t xml:space="preserve"> </w:t>
      </w:r>
      <w:bookmarkStart w:id="1" w:name="_Toc11866"/>
      <w:bookmarkStart w:id="2" w:name="_Toc30327"/>
      <w:r>
        <w:rPr>
          <w:rFonts w:hint="eastAsia" w:ascii="宋体" w:hAnsi="宋体" w:eastAsia="宋体" w:cs="宋体"/>
          <w:color w:val="auto"/>
          <w:highlight w:val="none"/>
        </w:rPr>
        <w:t>招标公告</w:t>
      </w:r>
      <w:bookmarkEnd w:id="0"/>
      <w:bookmarkEnd w:id="1"/>
      <w:bookmarkEnd w:id="2"/>
    </w:p>
    <w:p w14:paraId="012D2FA3">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shd w:val="clear" w:color="auto" w:fill="FFFFFF" w:themeFill="background1"/>
        <w:kinsoku/>
        <w:wordWrap/>
        <w:overflowPunct/>
        <w:topLinePunct w:val="0"/>
        <w:autoSpaceDE/>
        <w:autoSpaceDN/>
        <w:bidi w:val="0"/>
        <w:adjustRightInd/>
        <w:snapToGrid/>
        <w:spacing w:line="360" w:lineRule="auto"/>
        <w:ind w:firstLine="369" w:firstLineChars="0"/>
        <w:jc w:val="both"/>
        <w:textAlignment w:val="auto"/>
        <w:rPr>
          <w:rFonts w:hint="eastAsia" w:ascii="宋体" w:hAnsi="宋体" w:eastAsia="宋体" w:cs="宋体"/>
          <w:color w:val="auto"/>
          <w:highlight w:val="none"/>
        </w:rPr>
      </w:pPr>
      <w:r>
        <w:rPr>
          <w:rFonts w:hint="eastAsia" w:ascii="宋体" w:hAnsi="宋体" w:eastAsia="宋体" w:cs="宋体"/>
          <w:color w:val="auto"/>
          <w:spacing w:val="8"/>
          <w:kern w:val="0"/>
          <w:szCs w:val="21"/>
          <w:highlight w:val="none"/>
        </w:rPr>
        <w:t>项目概况</w:t>
      </w:r>
    </w:p>
    <w:p w14:paraId="2B48359C">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shd w:val="clear" w:color="auto" w:fill="FFFFFF" w:themeFill="background1"/>
        <w:kinsoku/>
        <w:wordWrap/>
        <w:overflowPunct/>
        <w:topLinePunct w:val="0"/>
        <w:autoSpaceDE/>
        <w:autoSpaceDN/>
        <w:bidi w:val="0"/>
        <w:adjustRightInd/>
        <w:snapToGrid/>
        <w:spacing w:line="360" w:lineRule="auto"/>
        <w:ind w:firstLine="369" w:firstLineChars="0"/>
        <w:jc w:val="both"/>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中国医学科学院皮肤病医院间苯二酚采购项目</w:t>
      </w:r>
      <w:r>
        <w:rPr>
          <w:rFonts w:hint="eastAsia" w:ascii="宋体" w:hAnsi="宋体" w:eastAsia="宋体" w:cs="宋体"/>
          <w:color w:val="auto"/>
          <w:spacing w:val="8"/>
          <w:kern w:val="0"/>
          <w:szCs w:val="21"/>
          <w:highlight w:val="none"/>
        </w:rPr>
        <w:t>的潜在供应商应在</w:t>
      </w:r>
      <w:r>
        <w:rPr>
          <w:rFonts w:hint="eastAsia" w:ascii="宋体" w:hAnsi="宋体" w:cs="宋体"/>
          <w:color w:val="auto"/>
          <w:spacing w:val="8"/>
          <w:kern w:val="0"/>
          <w:szCs w:val="21"/>
          <w:highlight w:val="none"/>
          <w:lang w:eastAsia="zh-CN"/>
        </w:rPr>
        <w:t>江苏省阳光交易平台</w:t>
      </w:r>
      <w:r>
        <w:rPr>
          <w:rFonts w:hint="eastAsia" w:ascii="宋体" w:hAnsi="宋体" w:eastAsia="宋体" w:cs="宋体"/>
          <w:color w:val="auto"/>
          <w:spacing w:val="8"/>
          <w:kern w:val="0"/>
          <w:szCs w:val="21"/>
          <w:highlight w:val="none"/>
        </w:rPr>
        <w:t>（网址为：https://www.jsygjy.cn）获取采购文件，并于</w:t>
      </w:r>
      <w:r>
        <w:rPr>
          <w:rFonts w:hint="eastAsia" w:ascii="宋体" w:hAnsi="宋体" w:cs="宋体"/>
          <w:color w:val="auto"/>
          <w:spacing w:val="8"/>
          <w:kern w:val="0"/>
          <w:szCs w:val="21"/>
          <w:highlight w:val="none"/>
          <w:lang w:eastAsia="zh-CN"/>
        </w:rPr>
        <w:t>2026年10月14日09点30分</w:t>
      </w:r>
      <w:r>
        <w:rPr>
          <w:rFonts w:hint="eastAsia" w:ascii="宋体" w:hAnsi="宋体" w:eastAsia="宋体" w:cs="宋体"/>
          <w:color w:val="auto"/>
          <w:spacing w:val="8"/>
          <w:kern w:val="0"/>
          <w:szCs w:val="21"/>
          <w:highlight w:val="none"/>
        </w:rPr>
        <w:t>（北京时间）前提交响应文件。</w:t>
      </w:r>
    </w:p>
    <w:p w14:paraId="4C80F70E">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rPr>
          <w:rFonts w:hint="eastAsia" w:ascii="宋体" w:hAnsi="宋体" w:eastAsia="宋体" w:cs="宋体"/>
          <w:b/>
          <w:color w:val="auto"/>
          <w:spacing w:val="8"/>
          <w:kern w:val="0"/>
          <w:sz w:val="24"/>
          <w:highlight w:val="none"/>
        </w:rPr>
      </w:pPr>
      <w:r>
        <w:rPr>
          <w:rFonts w:hint="eastAsia" w:ascii="宋体" w:hAnsi="宋体" w:eastAsia="宋体" w:cs="宋体"/>
          <w:color w:val="auto"/>
          <w:spacing w:val="8"/>
          <w:kern w:val="0"/>
          <w:sz w:val="24"/>
          <w:highlight w:val="none"/>
        </w:rPr>
        <w:t> </w:t>
      </w:r>
      <w:r>
        <w:rPr>
          <w:rFonts w:hint="eastAsia" w:ascii="宋体" w:hAnsi="宋体" w:eastAsia="宋体" w:cs="宋体"/>
          <w:b/>
          <w:color w:val="auto"/>
          <w:spacing w:val="8"/>
          <w:kern w:val="0"/>
          <w:sz w:val="24"/>
          <w:highlight w:val="none"/>
        </w:rPr>
        <w:t>一、项目基本情况</w:t>
      </w:r>
    </w:p>
    <w:p w14:paraId="120A1413">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lang w:eastAsia="zh-CN"/>
        </w:rPr>
      </w:pPr>
      <w:r>
        <w:rPr>
          <w:rFonts w:hint="eastAsia" w:ascii="宋体" w:hAnsi="宋体" w:eastAsia="宋体" w:cs="宋体"/>
          <w:color w:val="auto"/>
          <w:spacing w:val="8"/>
          <w:kern w:val="0"/>
          <w:szCs w:val="21"/>
          <w:highlight w:val="none"/>
        </w:rPr>
        <w:t>1.1项目编号：</w:t>
      </w:r>
      <w:r>
        <w:rPr>
          <w:rFonts w:hint="eastAsia" w:ascii="宋体" w:hAnsi="宋体" w:cs="宋体"/>
          <w:color w:val="auto"/>
          <w:spacing w:val="8"/>
          <w:kern w:val="0"/>
          <w:szCs w:val="21"/>
          <w:highlight w:val="none"/>
          <w:lang w:eastAsia="zh-CN"/>
        </w:rPr>
        <w:t>DL066026H3ZC01402</w:t>
      </w:r>
      <w:r>
        <w:rPr>
          <w:rFonts w:hint="eastAsia" w:ascii="宋体" w:hAnsi="宋体" w:eastAsia="宋体" w:cs="宋体"/>
          <w:color w:val="auto"/>
          <w:spacing w:val="8"/>
          <w:kern w:val="0"/>
          <w:szCs w:val="21"/>
          <w:highlight w:val="none"/>
          <w:lang w:eastAsia="zh-CN"/>
        </w:rPr>
        <w:t xml:space="preserve"> </w:t>
      </w:r>
    </w:p>
    <w:p w14:paraId="7A47B8C2">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lang w:eastAsia="zh-CN"/>
        </w:rPr>
      </w:pPr>
      <w:r>
        <w:rPr>
          <w:rFonts w:hint="eastAsia" w:ascii="宋体" w:hAnsi="宋体" w:eastAsia="宋体" w:cs="宋体"/>
          <w:color w:val="auto"/>
          <w:spacing w:val="8"/>
          <w:kern w:val="0"/>
          <w:szCs w:val="21"/>
          <w:highlight w:val="none"/>
        </w:rPr>
        <w:t>1.2项目名称：</w:t>
      </w:r>
      <w:r>
        <w:rPr>
          <w:rFonts w:hint="eastAsia" w:ascii="宋体" w:hAnsi="宋体" w:cs="宋体"/>
          <w:color w:val="auto"/>
          <w:spacing w:val="8"/>
          <w:kern w:val="0"/>
          <w:szCs w:val="21"/>
          <w:highlight w:val="none"/>
          <w:lang w:eastAsia="zh-CN"/>
        </w:rPr>
        <w:t>中国医学科学院皮肤病医院间苯二酚采购项目</w:t>
      </w:r>
    </w:p>
    <w:p w14:paraId="4C747FD6">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lang w:val="en-US" w:eastAsia="zh-CN"/>
        </w:rPr>
      </w:pPr>
      <w:r>
        <w:rPr>
          <w:rFonts w:hint="eastAsia" w:ascii="宋体" w:hAnsi="宋体" w:eastAsia="宋体" w:cs="宋体"/>
          <w:color w:val="auto"/>
          <w:spacing w:val="8"/>
          <w:kern w:val="0"/>
          <w:szCs w:val="21"/>
          <w:highlight w:val="none"/>
        </w:rPr>
        <w:t>1.3预算金额：</w:t>
      </w:r>
      <w:r>
        <w:rPr>
          <w:rFonts w:hint="eastAsia" w:ascii="宋体" w:hAnsi="宋体" w:cs="宋体"/>
          <w:color w:val="auto"/>
          <w:spacing w:val="8"/>
          <w:kern w:val="0"/>
          <w:szCs w:val="21"/>
          <w:highlight w:val="none"/>
          <w:lang w:eastAsia="zh-CN"/>
        </w:rPr>
        <w:t>48万元</w:t>
      </w:r>
    </w:p>
    <w:p w14:paraId="0EA196B3">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1.4最高限价：</w:t>
      </w:r>
      <w:r>
        <w:rPr>
          <w:rFonts w:hint="eastAsia" w:ascii="宋体" w:hAnsi="宋体" w:cs="宋体"/>
          <w:color w:val="auto"/>
          <w:spacing w:val="8"/>
          <w:kern w:val="0"/>
          <w:szCs w:val="21"/>
          <w:highlight w:val="none"/>
          <w:lang w:eastAsia="zh-CN"/>
        </w:rPr>
        <w:t>48万元</w:t>
      </w:r>
    </w:p>
    <w:p w14:paraId="1612F496">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lang w:eastAsia="zh-CN"/>
        </w:rPr>
      </w:pPr>
      <w:r>
        <w:rPr>
          <w:rFonts w:hint="eastAsia" w:ascii="宋体" w:hAnsi="宋体" w:eastAsia="宋体" w:cs="宋体"/>
          <w:color w:val="auto"/>
          <w:spacing w:val="8"/>
          <w:kern w:val="0"/>
          <w:szCs w:val="21"/>
          <w:highlight w:val="none"/>
        </w:rPr>
        <w:t>1.5采购需求：详见服务要求</w:t>
      </w:r>
      <w:r>
        <w:rPr>
          <w:rFonts w:hint="eastAsia" w:ascii="宋体" w:hAnsi="宋体" w:eastAsia="宋体" w:cs="宋体"/>
          <w:color w:val="auto"/>
          <w:spacing w:val="8"/>
          <w:kern w:val="0"/>
          <w:szCs w:val="21"/>
          <w:highlight w:val="none"/>
          <w:lang w:eastAsia="zh-CN"/>
        </w:rPr>
        <w:t>。</w:t>
      </w:r>
    </w:p>
    <w:p w14:paraId="607EB30E">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lang w:val="en-US" w:eastAsia="zh-CN"/>
        </w:rPr>
      </w:pPr>
      <w:r>
        <w:rPr>
          <w:rFonts w:hint="eastAsia" w:ascii="宋体" w:hAnsi="宋体" w:eastAsia="宋体" w:cs="宋体"/>
          <w:color w:val="auto"/>
          <w:spacing w:val="8"/>
          <w:kern w:val="0"/>
          <w:szCs w:val="21"/>
          <w:highlight w:val="none"/>
        </w:rPr>
        <w:t>1.6合同履行期限：</w:t>
      </w:r>
      <w:r>
        <w:rPr>
          <w:rFonts w:hint="eastAsia" w:ascii="宋体" w:hAnsi="宋体" w:eastAsia="宋体" w:cs="宋体"/>
          <w:color w:val="auto"/>
          <w:spacing w:val="8"/>
          <w:kern w:val="0"/>
          <w:szCs w:val="21"/>
          <w:highlight w:val="none"/>
          <w:lang w:val="en-US" w:eastAsia="zh-CN"/>
        </w:rPr>
        <w:t>合同签订后按需供货。</w:t>
      </w:r>
    </w:p>
    <w:p w14:paraId="47799257">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w:t>
      </w:r>
      <w:r>
        <w:rPr>
          <w:rFonts w:hint="eastAsia" w:ascii="宋体" w:hAnsi="宋体" w:eastAsia="宋体" w:cs="宋体"/>
          <w:color w:val="auto"/>
          <w:spacing w:val="8"/>
          <w:kern w:val="0"/>
          <w:szCs w:val="21"/>
          <w:highlight w:val="none"/>
          <w:lang w:val="en-US" w:eastAsia="zh-CN"/>
        </w:rPr>
        <w:t xml:space="preserve">7 </w:t>
      </w:r>
      <w:r>
        <w:rPr>
          <w:rFonts w:hint="eastAsia" w:ascii="宋体" w:hAnsi="宋体" w:eastAsia="宋体" w:cs="宋体"/>
          <w:color w:val="auto"/>
          <w:spacing w:val="8"/>
          <w:kern w:val="0"/>
          <w:szCs w:val="21"/>
          <w:highlight w:val="none"/>
        </w:rPr>
        <w:t>本项目</w:t>
      </w:r>
      <w:r>
        <w:rPr>
          <w:rFonts w:hint="eastAsia" w:ascii="宋体" w:hAnsi="宋体" w:eastAsia="宋体" w:cs="宋体"/>
          <w:color w:val="auto"/>
          <w:spacing w:val="8"/>
          <w:kern w:val="0"/>
          <w:szCs w:val="21"/>
          <w:highlight w:val="none"/>
          <w:lang w:val="en-US" w:eastAsia="zh-CN"/>
        </w:rPr>
        <w:t>不</w:t>
      </w:r>
      <w:r>
        <w:rPr>
          <w:rFonts w:hint="eastAsia" w:ascii="宋体" w:hAnsi="宋体" w:eastAsia="宋体" w:cs="宋体"/>
          <w:color w:val="auto"/>
          <w:spacing w:val="8"/>
          <w:kern w:val="0"/>
          <w:szCs w:val="21"/>
          <w:highlight w:val="none"/>
        </w:rPr>
        <w:t>接受联合体投标。</w:t>
      </w:r>
    </w:p>
    <w:p w14:paraId="64641DFE">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pacing w:val="8"/>
          <w:kern w:val="0"/>
          <w:sz w:val="24"/>
          <w:highlight w:val="none"/>
        </w:rPr>
      </w:pPr>
      <w:bookmarkStart w:id="3" w:name="_Toc18369"/>
      <w:r>
        <w:rPr>
          <w:rFonts w:hint="eastAsia" w:ascii="宋体" w:hAnsi="宋体" w:eastAsia="宋体" w:cs="宋体"/>
          <w:b/>
          <w:color w:val="auto"/>
          <w:spacing w:val="8"/>
          <w:kern w:val="0"/>
          <w:sz w:val="24"/>
          <w:highlight w:val="none"/>
        </w:rPr>
        <w:t>二、申请人的资格要求</w:t>
      </w:r>
      <w:bookmarkEnd w:id="3"/>
    </w:p>
    <w:p w14:paraId="0E83EF53">
      <w:pPr>
        <w:keepNext w:val="0"/>
        <w:keepLines w:val="0"/>
        <w:pageBreakBefore w:val="0"/>
        <w:kinsoku/>
        <w:wordWrap/>
        <w:overflowPunct/>
        <w:topLinePunct w:val="0"/>
        <w:autoSpaceDE/>
        <w:autoSpaceDN/>
        <w:bidi w:val="0"/>
        <w:adjustRightInd/>
        <w:snapToGrid/>
        <w:spacing w:line="360" w:lineRule="auto"/>
        <w:ind w:firstLine="458" w:firstLineChars="202"/>
        <w:textAlignment w:val="auto"/>
        <w:rPr>
          <w:rFonts w:hint="default" w:ascii="宋体" w:hAnsi="宋体" w:eastAsia="宋体" w:cs="宋体"/>
          <w:b/>
          <w:color w:val="auto"/>
          <w:spacing w:val="8"/>
          <w:kern w:val="0"/>
          <w:szCs w:val="21"/>
          <w:highlight w:val="none"/>
          <w:lang w:val="en-US" w:eastAsia="zh-CN"/>
        </w:rPr>
      </w:pPr>
      <w:r>
        <w:rPr>
          <w:rFonts w:hint="eastAsia" w:ascii="宋体" w:hAnsi="宋体" w:cs="宋体"/>
          <w:b/>
          <w:color w:val="auto"/>
          <w:spacing w:val="8"/>
          <w:kern w:val="0"/>
          <w:szCs w:val="21"/>
          <w:highlight w:val="none"/>
          <w:lang w:val="en-US" w:eastAsia="zh-CN"/>
        </w:rPr>
        <w:t>2.1满足以下条款规定：</w:t>
      </w:r>
    </w:p>
    <w:p w14:paraId="33DE332D">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（1）具有独立承担民事责任的能力（提供法人或者其他组织的营业执照；供应商为自然人的，提供其身份证）；</w:t>
      </w:r>
    </w:p>
    <w:p w14:paraId="4F47A943">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（2）具有良好的商业信誉和健全的财务会计制度（</w:t>
      </w:r>
      <w:r>
        <w:rPr>
          <w:rFonts w:hint="eastAsia" w:ascii="宋体" w:hAnsi="宋体" w:cs="宋体"/>
          <w:bCs/>
          <w:color w:val="auto"/>
          <w:szCs w:val="21"/>
          <w:highlight w:val="none"/>
          <w:lang w:eastAsia="zh-CN"/>
        </w:rPr>
        <w:t>提供2024年度或2025年度经审计的</w:t>
      </w:r>
      <w:r>
        <w:rPr>
          <w:rFonts w:hint="eastAsia" w:ascii="宋体" w:hAnsi="宋体" w:eastAsia="宋体" w:cs="宋体"/>
          <w:color w:val="auto"/>
          <w:highlight w:val="none"/>
        </w:rPr>
        <w:t>财</w:t>
      </w:r>
      <w:r>
        <w:rPr>
          <w:rFonts w:hint="eastAsia" w:ascii="宋体" w:hAnsi="宋体" w:eastAsia="宋体" w:cs="宋体"/>
          <w:bCs/>
          <w:color w:val="auto"/>
          <w:szCs w:val="21"/>
          <w:highlight w:val="none"/>
        </w:rPr>
        <w:t>务报告，或截止时间前六个月内银行出具的资信证明）；</w:t>
      </w:r>
    </w:p>
    <w:p w14:paraId="574014A6">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（3）具有履行合同所必需的设备和专业技术能力（供应商根据履行采购项目合同需要，提供履行合同所必需的设备和专业技术能力的证明材料）；</w:t>
      </w:r>
    </w:p>
    <w:p w14:paraId="364D8C44">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（4）有依法缴纳税收和社会保障资金的良好记录（提供参加本次采购活动前半年内至少一个月缴纳增值税，或企业所得税的凭据；并提供缴纳社会保险的凭据）；</w:t>
      </w:r>
    </w:p>
    <w:p w14:paraId="5C91BF8F">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（5）参加采购活动前三年内，在经营活动中没有重大违法记录（提供承诺书）；</w:t>
      </w:r>
    </w:p>
    <w:p w14:paraId="6E4DA742">
      <w:pPr>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（6）法律、行政法规规定的其他条件：无</w:t>
      </w:r>
    </w:p>
    <w:p w14:paraId="2FDF08B9">
      <w:pPr>
        <w:keepNext w:val="0"/>
        <w:keepLines w:val="0"/>
        <w:pageBreakBefore w:val="0"/>
        <w:kinsoku/>
        <w:wordWrap/>
        <w:overflowPunct/>
        <w:topLinePunct w:val="0"/>
        <w:autoSpaceDE/>
        <w:autoSpaceDN/>
        <w:bidi w:val="0"/>
        <w:adjustRightInd/>
        <w:snapToGrid/>
        <w:spacing w:line="360" w:lineRule="auto"/>
        <w:ind w:firstLine="458" w:firstLineChars="202"/>
        <w:textAlignment w:val="auto"/>
        <w:rPr>
          <w:rFonts w:hint="eastAsia" w:ascii="宋体" w:hAnsi="宋体" w:eastAsia="宋体" w:cs="宋体"/>
          <w:b/>
          <w:color w:val="auto"/>
          <w:spacing w:val="8"/>
          <w:kern w:val="0"/>
          <w:szCs w:val="21"/>
          <w:highlight w:val="none"/>
        </w:rPr>
      </w:pPr>
      <w:r>
        <w:rPr>
          <w:rFonts w:hint="eastAsia" w:ascii="宋体" w:hAnsi="宋体" w:eastAsia="宋体" w:cs="宋体"/>
          <w:b/>
          <w:color w:val="auto"/>
          <w:spacing w:val="8"/>
          <w:kern w:val="0"/>
          <w:szCs w:val="21"/>
          <w:highlight w:val="none"/>
        </w:rPr>
        <w:t>2.2</w:t>
      </w:r>
      <w:r>
        <w:rPr>
          <w:rFonts w:hint="eastAsia" w:ascii="宋体" w:hAnsi="宋体" w:cs="宋体"/>
          <w:b/>
          <w:color w:val="auto"/>
          <w:spacing w:val="8"/>
          <w:kern w:val="0"/>
          <w:szCs w:val="21"/>
          <w:highlight w:val="none"/>
          <w:lang w:val="en-US" w:eastAsia="zh-CN"/>
        </w:rPr>
        <w:t xml:space="preserve"> </w:t>
      </w:r>
      <w:r>
        <w:rPr>
          <w:rFonts w:hint="eastAsia" w:ascii="宋体" w:hAnsi="宋体" w:eastAsia="宋体" w:cs="宋体"/>
          <w:b/>
          <w:color w:val="auto"/>
          <w:spacing w:val="8"/>
          <w:kern w:val="0"/>
          <w:szCs w:val="21"/>
          <w:highlight w:val="none"/>
        </w:rPr>
        <w:t>采购人根据采购项目的特殊要求规定的特定条件，并提供符合特殊要求的证明材料或者情况说明：</w:t>
      </w:r>
    </w:p>
    <w:p w14:paraId="4040A5AB">
      <w:pPr>
        <w:keepNext w:val="0"/>
        <w:keepLines w:val="0"/>
        <w:pageBreakBefore w:val="0"/>
        <w:kinsoku/>
        <w:wordWrap/>
        <w:overflowPunct/>
        <w:topLinePunct w:val="0"/>
        <w:autoSpaceDE/>
        <w:autoSpaceDN/>
        <w:bidi w:val="0"/>
        <w:adjustRightInd/>
        <w:snapToGrid/>
        <w:spacing w:line="360" w:lineRule="auto"/>
        <w:ind w:firstLine="458" w:firstLineChars="202"/>
        <w:textAlignment w:val="auto"/>
        <w:rPr>
          <w:rFonts w:hint="eastAsia" w:ascii="宋体" w:hAnsi="宋体" w:eastAsia="宋体" w:cs="宋体"/>
          <w:b/>
          <w:color w:val="auto"/>
          <w:spacing w:val="8"/>
          <w:kern w:val="0"/>
          <w:szCs w:val="21"/>
          <w:highlight w:val="none"/>
          <w:lang w:eastAsia="zh-CN"/>
        </w:rPr>
      </w:pPr>
      <w:r>
        <w:rPr>
          <w:rFonts w:hint="eastAsia" w:ascii="宋体" w:hAnsi="宋体" w:eastAsia="宋体" w:cs="宋体"/>
          <w:b/>
          <w:color w:val="auto"/>
          <w:spacing w:val="8"/>
          <w:kern w:val="0"/>
          <w:szCs w:val="21"/>
          <w:highlight w:val="none"/>
        </w:rPr>
        <w:t>(1)供应商所投产品需在国家药品监督管理局药品审评中心与制剂共同审评审批结果为A</w:t>
      </w:r>
      <w:r>
        <w:rPr>
          <w:rFonts w:hint="eastAsia" w:ascii="宋体" w:hAnsi="宋体" w:cs="宋体"/>
          <w:b/>
          <w:color w:val="auto"/>
          <w:spacing w:val="8"/>
          <w:kern w:val="0"/>
          <w:szCs w:val="21"/>
          <w:highlight w:val="none"/>
          <w:lang w:eastAsia="zh-CN"/>
        </w:rPr>
        <w:t>。</w:t>
      </w:r>
      <w:r>
        <w:rPr>
          <w:rFonts w:hint="eastAsia" w:ascii="宋体" w:hAnsi="宋体" w:eastAsia="宋体" w:cs="宋体"/>
          <w:b/>
          <w:color w:val="auto"/>
          <w:spacing w:val="8"/>
          <w:kern w:val="0"/>
          <w:szCs w:val="21"/>
          <w:highlight w:val="none"/>
        </w:rPr>
        <w:t>（须提供相关证明材料并加盖公章）</w:t>
      </w:r>
    </w:p>
    <w:p w14:paraId="15788556">
      <w:pPr>
        <w:keepNext w:val="0"/>
        <w:keepLines w:val="0"/>
        <w:pageBreakBefore w:val="0"/>
        <w:kinsoku/>
        <w:wordWrap/>
        <w:overflowPunct/>
        <w:topLinePunct w:val="0"/>
        <w:autoSpaceDE/>
        <w:autoSpaceDN/>
        <w:bidi w:val="0"/>
        <w:adjustRightInd/>
        <w:snapToGrid/>
        <w:spacing w:line="360" w:lineRule="auto"/>
        <w:ind w:firstLine="458" w:firstLineChars="202"/>
        <w:textAlignment w:val="auto"/>
        <w:rPr>
          <w:rFonts w:hint="eastAsia" w:ascii="宋体" w:hAnsi="宋体" w:eastAsia="宋体" w:cs="宋体"/>
          <w:b/>
          <w:color w:val="auto"/>
          <w:spacing w:val="8"/>
          <w:kern w:val="0"/>
          <w:szCs w:val="21"/>
          <w:highlight w:val="none"/>
        </w:rPr>
      </w:pPr>
      <w:r>
        <w:rPr>
          <w:rFonts w:hint="eastAsia" w:ascii="宋体" w:hAnsi="宋体" w:eastAsia="宋体" w:cs="宋体"/>
          <w:b/>
          <w:color w:val="auto"/>
          <w:spacing w:val="8"/>
          <w:kern w:val="0"/>
          <w:szCs w:val="21"/>
          <w:highlight w:val="none"/>
        </w:rPr>
        <w:t>(2)供应商为药品经营企业的，须具备有效的《药品经营许可证》</w:t>
      </w:r>
      <w:r>
        <w:rPr>
          <w:rFonts w:hint="eastAsia" w:ascii="宋体" w:hAnsi="宋体" w:cs="宋体"/>
          <w:b/>
          <w:color w:val="auto"/>
          <w:spacing w:val="8"/>
          <w:kern w:val="0"/>
          <w:szCs w:val="21"/>
          <w:highlight w:val="none"/>
          <w:lang w:eastAsia="zh-CN"/>
        </w:rPr>
        <w:t>、</w:t>
      </w:r>
      <w:r>
        <w:rPr>
          <w:rFonts w:hint="eastAsia" w:ascii="宋体" w:hAnsi="宋体" w:cs="宋体"/>
          <w:b/>
          <w:color w:val="auto"/>
          <w:szCs w:val="21"/>
          <w:highlight w:val="none"/>
          <w:lang w:val="en-US" w:eastAsia="zh-CN"/>
        </w:rPr>
        <w:t>《危险化学品经营许可证》</w:t>
      </w:r>
      <w:r>
        <w:rPr>
          <w:rFonts w:hint="eastAsia" w:ascii="宋体" w:hAnsi="宋体" w:eastAsia="宋体" w:cs="宋体"/>
          <w:b/>
          <w:color w:val="auto"/>
          <w:spacing w:val="8"/>
          <w:kern w:val="0"/>
          <w:szCs w:val="21"/>
          <w:highlight w:val="none"/>
        </w:rPr>
        <w:t>(提供证书复印件并加盖公章)</w:t>
      </w:r>
    </w:p>
    <w:p w14:paraId="3CA93862">
      <w:pPr>
        <w:keepNext w:val="0"/>
        <w:keepLines w:val="0"/>
        <w:pageBreakBefore w:val="0"/>
        <w:kinsoku/>
        <w:wordWrap/>
        <w:overflowPunct/>
        <w:topLinePunct w:val="0"/>
        <w:autoSpaceDE/>
        <w:autoSpaceDN/>
        <w:bidi w:val="0"/>
        <w:adjustRightInd/>
        <w:snapToGrid/>
        <w:spacing w:line="360" w:lineRule="auto"/>
        <w:ind w:firstLine="458" w:firstLineChars="202"/>
        <w:textAlignment w:val="auto"/>
        <w:rPr>
          <w:rFonts w:hint="eastAsia" w:ascii="宋体" w:hAnsi="宋体" w:eastAsia="宋体" w:cs="宋体"/>
          <w:b/>
          <w:color w:val="auto"/>
          <w:spacing w:val="8"/>
          <w:kern w:val="0"/>
          <w:szCs w:val="21"/>
          <w:highlight w:val="none"/>
        </w:rPr>
      </w:pPr>
      <w:r>
        <w:rPr>
          <w:rFonts w:hint="eastAsia" w:ascii="宋体" w:hAnsi="宋体" w:eastAsia="宋体" w:cs="宋体"/>
          <w:b/>
          <w:color w:val="auto"/>
          <w:spacing w:val="8"/>
          <w:kern w:val="0"/>
          <w:szCs w:val="21"/>
          <w:highlight w:val="none"/>
        </w:rPr>
        <w:t>(3)供应商为药品生产企业的，须具备有效的《药品生产许可证》</w:t>
      </w:r>
      <w:r>
        <w:rPr>
          <w:rFonts w:hint="eastAsia" w:ascii="宋体" w:hAnsi="宋体" w:cs="宋体"/>
          <w:b/>
          <w:color w:val="auto"/>
          <w:spacing w:val="8"/>
          <w:kern w:val="0"/>
          <w:szCs w:val="21"/>
          <w:highlight w:val="none"/>
          <w:lang w:eastAsia="zh-CN"/>
        </w:rPr>
        <w:t>、</w:t>
      </w:r>
      <w:r>
        <w:rPr>
          <w:rFonts w:hint="eastAsia" w:ascii="宋体" w:hAnsi="宋体" w:cs="宋体"/>
          <w:b/>
          <w:color w:val="auto"/>
          <w:szCs w:val="21"/>
          <w:highlight w:val="none"/>
          <w:lang w:val="en-US" w:eastAsia="zh-CN"/>
        </w:rPr>
        <w:t>《安全生产许可证》</w:t>
      </w:r>
      <w:r>
        <w:rPr>
          <w:rFonts w:hint="eastAsia" w:ascii="宋体" w:hAnsi="宋体" w:eastAsia="宋体" w:cs="宋体"/>
          <w:b/>
          <w:color w:val="auto"/>
          <w:spacing w:val="8"/>
          <w:kern w:val="0"/>
          <w:szCs w:val="21"/>
          <w:highlight w:val="none"/>
        </w:rPr>
        <w:t>(提供证书复印件并加盖公章)</w:t>
      </w:r>
    </w:p>
    <w:p w14:paraId="3F648337">
      <w:pPr>
        <w:keepNext w:val="0"/>
        <w:keepLines w:val="0"/>
        <w:pageBreakBefore w:val="0"/>
        <w:kinsoku/>
        <w:wordWrap/>
        <w:overflowPunct/>
        <w:topLinePunct w:val="0"/>
        <w:autoSpaceDE/>
        <w:autoSpaceDN/>
        <w:bidi w:val="0"/>
        <w:adjustRightInd/>
        <w:snapToGrid/>
        <w:spacing w:line="360" w:lineRule="auto"/>
        <w:ind w:firstLine="456" w:firstLineChars="202"/>
        <w:textAlignment w:val="auto"/>
        <w:rPr>
          <w:rFonts w:hint="eastAsia" w:ascii="宋体" w:hAnsi="宋体" w:eastAsia="宋体" w:cs="宋体"/>
          <w:bCs/>
          <w:color w:val="auto"/>
          <w:szCs w:val="21"/>
          <w:highlight w:val="none"/>
        </w:rPr>
      </w:pPr>
      <w:r>
        <w:rPr>
          <w:rFonts w:hint="eastAsia" w:ascii="宋体" w:hAnsi="宋体" w:eastAsia="宋体" w:cs="宋体"/>
          <w:color w:val="auto"/>
          <w:spacing w:val="8"/>
          <w:kern w:val="0"/>
          <w:szCs w:val="21"/>
          <w:highlight w:val="none"/>
        </w:rPr>
        <w:t>2.</w:t>
      </w:r>
      <w:r>
        <w:rPr>
          <w:rFonts w:hint="eastAsia" w:ascii="宋体" w:hAnsi="宋体" w:cs="宋体"/>
          <w:color w:val="auto"/>
          <w:spacing w:val="8"/>
          <w:kern w:val="0"/>
          <w:szCs w:val="21"/>
          <w:highlight w:val="none"/>
          <w:lang w:val="en-US" w:eastAsia="zh-CN"/>
        </w:rPr>
        <w:t>3</w:t>
      </w:r>
      <w:r>
        <w:rPr>
          <w:rFonts w:hint="eastAsia" w:ascii="宋体" w:hAnsi="宋体" w:eastAsia="宋体" w:cs="宋体"/>
          <w:bCs/>
          <w:color w:val="auto"/>
          <w:szCs w:val="21"/>
          <w:highlight w:val="none"/>
        </w:rPr>
        <w:t>第2.1（5）条所称重大违法记录，是指供应商因违法经营受到刑事处罚或者责令停产停业、吊销许可证或者执照、较大数额罚款等行政处罚。</w:t>
      </w:r>
    </w:p>
    <w:p w14:paraId="080554CF">
      <w:pPr>
        <w:keepNext w:val="0"/>
        <w:keepLines w:val="0"/>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 xml:space="preserve"> 单位负责人为同一人或者存在直接控股、管理关系的不同供应商，不得参加同一合同项下的采购活动。</w:t>
      </w:r>
    </w:p>
    <w:p w14:paraId="516CCA32">
      <w:pPr>
        <w:keepNext w:val="0"/>
        <w:keepLines w:val="0"/>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cs="宋体"/>
          <w:bCs/>
          <w:color w:val="auto"/>
          <w:szCs w:val="21"/>
          <w:highlight w:val="none"/>
          <w:lang w:val="en-US" w:eastAsia="zh-CN"/>
        </w:rPr>
        <w:t>5</w:t>
      </w:r>
      <w:r>
        <w:rPr>
          <w:rFonts w:hint="eastAsia" w:ascii="宋体" w:hAnsi="宋体" w:eastAsia="宋体" w:cs="宋体"/>
          <w:bCs/>
          <w:color w:val="auto"/>
          <w:szCs w:val="21"/>
          <w:highlight w:val="none"/>
        </w:rPr>
        <w:t>为采购项目提供整体设计、规范编制或者项目管理、监理、检测等服务的供应商，不得再参加该采购项目的其他采购活动。</w:t>
      </w:r>
    </w:p>
    <w:p w14:paraId="2D9F0EF7">
      <w:pPr>
        <w:keepNext w:val="0"/>
        <w:keepLines w:val="0"/>
        <w:pageBreakBefore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拒绝列入失信被执行人、</w:t>
      </w:r>
      <w:r>
        <w:rPr>
          <w:rFonts w:hint="eastAsia" w:ascii="宋体" w:hAnsi="宋体" w:cs="宋体"/>
          <w:bCs/>
          <w:color w:val="auto"/>
          <w:szCs w:val="21"/>
          <w:highlight w:val="none"/>
          <w:lang w:eastAsia="zh-CN"/>
        </w:rPr>
        <w:t>重大税收违法失信主体</w:t>
      </w:r>
      <w:r>
        <w:rPr>
          <w:rFonts w:hint="eastAsia" w:ascii="宋体" w:hAnsi="宋体" w:eastAsia="宋体" w:cs="宋体"/>
          <w:bCs/>
          <w:color w:val="auto"/>
          <w:szCs w:val="21"/>
          <w:highlight w:val="none"/>
        </w:rPr>
        <w:t>、政府采购严重违法失信行为记录名单</w:t>
      </w:r>
      <w:r>
        <w:rPr>
          <w:rFonts w:hint="eastAsia" w:ascii="宋体" w:hAnsi="宋体" w:eastAsia="宋体" w:cs="宋体"/>
          <w:i w:val="0"/>
          <w:caps w:val="0"/>
          <w:color w:val="auto"/>
          <w:spacing w:val="0"/>
          <w:sz w:val="21"/>
          <w:szCs w:val="21"/>
          <w:highlight w:val="none"/>
          <w:shd w:val="clear" w:fill="FFFFFF"/>
        </w:rPr>
        <w:t>的供应商</w:t>
      </w:r>
      <w:r>
        <w:rPr>
          <w:rFonts w:hint="eastAsia" w:ascii="宋体" w:hAnsi="宋体" w:eastAsia="宋体" w:cs="宋体"/>
          <w:bCs/>
          <w:color w:val="auto"/>
          <w:szCs w:val="21"/>
          <w:highlight w:val="none"/>
        </w:rPr>
        <w:t>参与采购活动。采购人或者采购代理机构</w:t>
      </w:r>
      <w:r>
        <w:rPr>
          <w:rFonts w:hint="eastAsia" w:ascii="宋体" w:hAnsi="宋体" w:eastAsia="宋体" w:cs="宋体"/>
          <w:bCs/>
          <w:color w:val="auto"/>
          <w:szCs w:val="21"/>
          <w:highlight w:val="none"/>
          <w:lang w:val="en-US" w:eastAsia="zh-CN"/>
        </w:rPr>
        <w:t>在进行资格审查的同时</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依法</w:t>
      </w:r>
      <w:r>
        <w:rPr>
          <w:rFonts w:hint="eastAsia" w:ascii="宋体" w:hAnsi="宋体" w:eastAsia="宋体" w:cs="宋体"/>
          <w:bCs/>
          <w:color w:val="auto"/>
          <w:szCs w:val="21"/>
          <w:highlight w:val="none"/>
        </w:rPr>
        <w:t>通过</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中国政府采购网</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信用中国</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网站等渠道查询投标人信用记录并保存。</w:t>
      </w:r>
    </w:p>
    <w:p w14:paraId="6E113082">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pacing w:val="8"/>
          <w:kern w:val="0"/>
          <w:sz w:val="24"/>
          <w:highlight w:val="none"/>
        </w:rPr>
      </w:pPr>
      <w:bookmarkStart w:id="4" w:name="_Toc8001"/>
      <w:r>
        <w:rPr>
          <w:rFonts w:hint="eastAsia" w:ascii="宋体" w:hAnsi="宋体" w:eastAsia="宋体" w:cs="宋体"/>
          <w:b/>
          <w:color w:val="auto"/>
          <w:spacing w:val="8"/>
          <w:kern w:val="0"/>
          <w:sz w:val="24"/>
          <w:highlight w:val="none"/>
        </w:rPr>
        <w:t>三、获取招标文件</w:t>
      </w:r>
      <w:bookmarkEnd w:id="4"/>
    </w:p>
    <w:p w14:paraId="7BCC5C3A">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3.</w:t>
      </w:r>
      <w:r>
        <w:rPr>
          <w:rFonts w:hint="eastAsia" w:ascii="宋体" w:hAnsi="宋体" w:eastAsia="宋体" w:cs="宋体"/>
          <w:color w:val="auto"/>
          <w:spacing w:val="8"/>
          <w:kern w:val="0"/>
          <w:szCs w:val="21"/>
          <w:highlight w:val="none"/>
        </w:rPr>
        <w:t>1时间：</w:t>
      </w:r>
      <w:r>
        <w:rPr>
          <w:rFonts w:hint="eastAsia" w:ascii="宋体" w:hAnsi="宋体" w:cs="宋体"/>
          <w:color w:val="auto"/>
          <w:spacing w:val="8"/>
          <w:kern w:val="0"/>
          <w:szCs w:val="21"/>
          <w:highlight w:val="none"/>
          <w:lang w:eastAsia="zh-CN"/>
        </w:rPr>
        <w:t>2026年09月23日17时30分至2026年10月08日17时30分。</w:t>
      </w:r>
      <w:r>
        <w:rPr>
          <w:rFonts w:hint="eastAsia" w:ascii="宋体" w:hAnsi="宋体" w:eastAsia="宋体" w:cs="宋体"/>
          <w:color w:val="auto"/>
          <w:spacing w:val="8"/>
          <w:kern w:val="0"/>
          <w:szCs w:val="21"/>
          <w:highlight w:val="none"/>
        </w:rPr>
        <w:t>（北京时间，下同）</w:t>
      </w:r>
    </w:p>
    <w:p w14:paraId="4C7AC1D3">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3.</w:t>
      </w:r>
      <w:r>
        <w:rPr>
          <w:rFonts w:hint="eastAsia" w:ascii="宋体" w:hAnsi="宋体" w:eastAsia="宋体" w:cs="宋体"/>
          <w:color w:val="auto"/>
          <w:spacing w:val="8"/>
          <w:kern w:val="0"/>
          <w:szCs w:val="21"/>
          <w:highlight w:val="none"/>
        </w:rPr>
        <w:t>2地点：登录</w:t>
      </w:r>
      <w:r>
        <w:rPr>
          <w:rFonts w:hint="eastAsia" w:ascii="宋体" w:hAnsi="宋体" w:cs="宋体"/>
          <w:color w:val="auto"/>
          <w:spacing w:val="8"/>
          <w:kern w:val="0"/>
          <w:szCs w:val="21"/>
          <w:highlight w:val="none"/>
          <w:lang w:eastAsia="zh-CN"/>
        </w:rPr>
        <w:t>江苏省阳光交易平台</w:t>
      </w:r>
      <w:r>
        <w:rPr>
          <w:rFonts w:hint="eastAsia" w:ascii="宋体" w:hAnsi="宋体" w:eastAsia="宋体" w:cs="宋体"/>
          <w:color w:val="auto"/>
          <w:spacing w:val="8"/>
          <w:kern w:val="0"/>
          <w:szCs w:val="21"/>
          <w:highlight w:val="none"/>
        </w:rPr>
        <w:t>（网址为：https://www.jsygjy.cn）</w:t>
      </w:r>
    </w:p>
    <w:p w14:paraId="179379BB">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3.</w:t>
      </w:r>
      <w:r>
        <w:rPr>
          <w:rFonts w:hint="eastAsia" w:ascii="宋体" w:hAnsi="宋体" w:eastAsia="宋体" w:cs="宋体"/>
          <w:color w:val="auto"/>
          <w:spacing w:val="8"/>
          <w:kern w:val="0"/>
          <w:szCs w:val="21"/>
          <w:highlight w:val="none"/>
        </w:rPr>
        <w:t>3方式：</w:t>
      </w:r>
    </w:p>
    <w:p w14:paraId="1EFDBCA1">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（一）凡有意参加投标人，请于获取时间内（北京时间，下同），登录</w:t>
      </w:r>
      <w:r>
        <w:rPr>
          <w:rFonts w:hint="eastAsia" w:ascii="宋体" w:hAnsi="宋体" w:cs="宋体"/>
          <w:color w:val="auto"/>
          <w:spacing w:val="8"/>
          <w:kern w:val="0"/>
          <w:szCs w:val="21"/>
          <w:highlight w:val="none"/>
          <w:lang w:eastAsia="zh-CN"/>
        </w:rPr>
        <w:t>江苏省阳光交易平台</w:t>
      </w:r>
      <w:r>
        <w:rPr>
          <w:rFonts w:hint="eastAsia" w:ascii="宋体" w:hAnsi="宋体" w:eastAsia="宋体" w:cs="宋体"/>
          <w:color w:val="auto"/>
          <w:spacing w:val="8"/>
          <w:kern w:val="0"/>
          <w:szCs w:val="21"/>
          <w:highlight w:val="none"/>
        </w:rPr>
        <w:t>（网址为：https://www.jsygjy.cn）按照要求进行实名会员注册、完善相关信息及选择项目、下载文件。</w:t>
      </w:r>
    </w:p>
    <w:p w14:paraId="4A750C31">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（二）参与者首次登录平台前，须前往平台免费注册，注册成功且完善相关信息后，可以及时参与平台上所有发布的项目。</w:t>
      </w:r>
    </w:p>
    <w:p w14:paraId="057557B4">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（三）参与者应充分考虑平台注册、信息检查、资料上传等所需时间。未按照本公告要求获得本项目文件的，采购代理机构不予接收其投标文件。</w:t>
      </w:r>
    </w:p>
    <w:p w14:paraId="67C46AB0">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（四）需要发票的，可在“费用管理--发票管理”模块下载发票；平台服务费发票由江苏招采信息技术有限公司开具。非因招标代理机构或平台原因，发票一经开具不予退换。</w:t>
      </w:r>
    </w:p>
    <w:p w14:paraId="14044CD3">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（五）平台网站首页“帮助中心”提供操作手册，参与者可以下载并根据操作手册提示进行注册、登录等操作。供应商平台咨询电话：025-83306809（工作日8：30-11：30，13：30-17：30）。</w:t>
      </w:r>
    </w:p>
    <w:p w14:paraId="6F97D316">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（六）联合体响应（如允许）的，联合体各方应当指定牵头人，并授权其以自身名义在平台办理注册、下载文件等手续，其在平台的办理行为，对联合体各方均具有约束力。</w:t>
      </w:r>
    </w:p>
    <w:p w14:paraId="0E1F090D">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3.</w:t>
      </w:r>
      <w:r>
        <w:rPr>
          <w:rFonts w:hint="eastAsia" w:ascii="宋体" w:hAnsi="宋体" w:eastAsia="宋体" w:cs="宋体"/>
          <w:color w:val="auto"/>
          <w:spacing w:val="8"/>
          <w:kern w:val="0"/>
          <w:szCs w:val="21"/>
          <w:highlight w:val="none"/>
        </w:rPr>
        <w:t>4本项目文件售价：免费</w:t>
      </w:r>
    </w:p>
    <w:p w14:paraId="49113452">
      <w:pPr>
        <w:pageBreakBefore w:val="0"/>
        <w:widowControl/>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pacing w:val="8"/>
          <w:kern w:val="0"/>
          <w:szCs w:val="21"/>
          <w:highlight w:val="none"/>
        </w:rPr>
      </w:pPr>
      <w:r>
        <w:rPr>
          <w:rFonts w:hint="eastAsia" w:ascii="宋体" w:hAnsi="宋体" w:cs="宋体"/>
          <w:color w:val="auto"/>
          <w:spacing w:val="8"/>
          <w:kern w:val="0"/>
          <w:szCs w:val="21"/>
          <w:highlight w:val="none"/>
          <w:lang w:eastAsia="zh-CN"/>
        </w:rPr>
        <w:t>3.</w:t>
      </w:r>
      <w:r>
        <w:rPr>
          <w:rFonts w:hint="eastAsia" w:ascii="宋体" w:hAnsi="宋体" w:eastAsia="宋体" w:cs="宋体"/>
          <w:color w:val="auto"/>
          <w:spacing w:val="8"/>
          <w:kern w:val="0"/>
          <w:szCs w:val="21"/>
          <w:highlight w:val="none"/>
        </w:rPr>
        <w:t>5本项目收取平台服务费：免费</w:t>
      </w:r>
    </w:p>
    <w:p w14:paraId="0329C938">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pacing w:val="8"/>
          <w:kern w:val="0"/>
          <w:sz w:val="24"/>
          <w:highlight w:val="none"/>
        </w:rPr>
      </w:pPr>
      <w:bookmarkStart w:id="5" w:name="_Toc32020"/>
      <w:r>
        <w:rPr>
          <w:rFonts w:hint="eastAsia" w:ascii="宋体" w:hAnsi="宋体" w:eastAsia="宋体" w:cs="宋体"/>
          <w:b/>
          <w:color w:val="auto"/>
          <w:spacing w:val="8"/>
          <w:kern w:val="0"/>
          <w:sz w:val="24"/>
          <w:highlight w:val="none"/>
        </w:rPr>
        <w:t>四、提交投标文件截止时间、开标时间和地点</w:t>
      </w:r>
      <w:bookmarkEnd w:id="5"/>
    </w:p>
    <w:p w14:paraId="46ACE3AA">
      <w:pPr>
        <w:pageBreakBefore w:val="0"/>
        <w:widowControl/>
        <w:shd w:val="clear" w:color="auto" w:fill="FFFFFF" w:themeFill="background1"/>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w:t>
      </w:r>
      <w:r>
        <w:rPr>
          <w:rFonts w:hint="eastAsia" w:ascii="宋体" w:hAnsi="宋体" w:eastAsia="宋体" w:cs="宋体"/>
          <w:b w:val="0"/>
          <w:bCs/>
          <w:color w:val="auto"/>
          <w:spacing w:val="8"/>
          <w:kern w:val="0"/>
          <w:sz w:val="24"/>
          <w:highlight w:val="none"/>
        </w:rPr>
        <w:t>投标文件截止时间</w:t>
      </w:r>
      <w:r>
        <w:rPr>
          <w:rFonts w:hint="eastAsia" w:ascii="宋体" w:hAnsi="宋体" w:eastAsia="宋体" w:cs="宋体"/>
          <w:b w:val="0"/>
          <w:bCs/>
          <w:color w:val="auto"/>
          <w:spacing w:val="8"/>
          <w:kern w:val="0"/>
          <w:sz w:val="24"/>
          <w:highlight w:val="none"/>
          <w:lang w:eastAsia="zh-CN"/>
        </w:rPr>
        <w:t>：</w:t>
      </w:r>
      <w:r>
        <w:rPr>
          <w:rFonts w:hint="eastAsia" w:ascii="宋体" w:hAnsi="宋体" w:cs="宋体"/>
          <w:color w:val="auto"/>
          <w:szCs w:val="21"/>
          <w:highlight w:val="none"/>
          <w:lang w:val="en-US" w:eastAsia="zh-CN"/>
        </w:rPr>
        <w:t>2026年10月14日09点30分</w:t>
      </w:r>
      <w:r>
        <w:rPr>
          <w:rFonts w:hint="eastAsia" w:ascii="宋体" w:hAnsi="宋体" w:eastAsia="宋体" w:cs="宋体"/>
          <w:color w:val="auto"/>
          <w:szCs w:val="21"/>
          <w:highlight w:val="none"/>
        </w:rPr>
        <w:t>（北京时间）</w:t>
      </w:r>
    </w:p>
    <w:p w14:paraId="64F12B29">
      <w:pPr>
        <w:pageBreakBefore w:val="0"/>
        <w:widowControl/>
        <w:shd w:val="clear" w:color="auto" w:fill="FFFFFF" w:themeFill="background1"/>
        <w:kinsoku/>
        <w:wordWrap/>
        <w:overflowPunct/>
        <w:topLinePunct w:val="0"/>
        <w:autoSpaceDE/>
        <w:autoSpaceDN/>
        <w:bidi w:val="0"/>
        <w:adjustRightInd/>
        <w:snapToGrid/>
        <w:spacing w:line="360" w:lineRule="auto"/>
        <w:ind w:firstLine="36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提交投标文件</w:t>
      </w: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val="en-US" w:eastAsia="zh-CN"/>
        </w:rPr>
        <w:t>及开标地点</w:t>
      </w:r>
      <w:r>
        <w:rPr>
          <w:rFonts w:hint="eastAsia" w:ascii="宋体" w:hAnsi="宋体" w:eastAsia="宋体" w:cs="宋体"/>
          <w:color w:val="auto"/>
          <w:szCs w:val="21"/>
          <w:highlight w:val="none"/>
        </w:rPr>
        <w:t>：南京市鼓楼区清江南路18号鼓楼创新广场D栋11楼</w:t>
      </w:r>
      <w:r>
        <w:rPr>
          <w:rFonts w:hint="eastAsia" w:ascii="宋体" w:hAnsi="宋体" w:cs="宋体"/>
          <w:color w:val="auto"/>
          <w:szCs w:val="21"/>
          <w:highlight w:val="none"/>
          <w:lang w:eastAsia="zh-CN"/>
        </w:rPr>
        <w:t>开标2室</w:t>
      </w:r>
    </w:p>
    <w:p w14:paraId="6E59D8C8">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投标人</w:t>
      </w:r>
      <w:r>
        <w:rPr>
          <w:rFonts w:hint="eastAsia" w:ascii="宋体" w:hAnsi="宋体" w:eastAsia="宋体" w:cs="宋体"/>
          <w:b/>
          <w:bCs/>
          <w:color w:val="auto"/>
          <w:highlight w:val="none"/>
        </w:rPr>
        <w:t>因</w:t>
      </w:r>
      <w:r>
        <w:rPr>
          <w:rFonts w:hint="eastAsia" w:ascii="宋体" w:hAnsi="宋体" w:eastAsia="宋体" w:cs="宋体"/>
          <w:b/>
          <w:bCs/>
          <w:color w:val="auto"/>
          <w:szCs w:val="21"/>
          <w:highlight w:val="none"/>
        </w:rPr>
        <w:t>故</w:t>
      </w:r>
      <w:r>
        <w:rPr>
          <w:rFonts w:hint="eastAsia" w:ascii="宋体" w:hAnsi="宋体" w:eastAsia="宋体" w:cs="宋体"/>
          <w:b/>
          <w:bCs/>
          <w:color w:val="auto"/>
          <w:highlight w:val="none"/>
          <w:lang w:val="en-US" w:eastAsia="zh-CN"/>
        </w:rPr>
        <w:t>未</w:t>
      </w:r>
      <w:r>
        <w:rPr>
          <w:rFonts w:hint="eastAsia" w:ascii="宋体" w:hAnsi="宋体" w:eastAsia="宋体" w:cs="宋体"/>
          <w:b/>
          <w:bCs/>
          <w:color w:val="auto"/>
          <w:highlight w:val="none"/>
        </w:rPr>
        <w:t>出席开标会的，视同同意本项目开标结果。</w:t>
      </w:r>
    </w:p>
    <w:p w14:paraId="5738585D">
      <w:pPr>
        <w:keepNext w:val="0"/>
        <w:keepLines w:val="0"/>
        <w:pageBreakBefore w:val="0"/>
        <w:widowControl/>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zCs w:val="21"/>
          <w:highlight w:val="none"/>
        </w:rPr>
      </w:pPr>
      <w:r>
        <w:rPr>
          <w:rFonts w:hint="eastAsia" w:ascii="宋体" w:hAnsi="宋体" w:eastAsia="宋体" w:cs="宋体"/>
          <w:color w:val="auto"/>
          <w:spacing w:val="8"/>
          <w:kern w:val="0"/>
          <w:szCs w:val="21"/>
          <w:highlight w:val="none"/>
        </w:rPr>
        <w:t>4.3</w:t>
      </w:r>
      <w:r>
        <w:rPr>
          <w:rFonts w:hint="eastAsia" w:ascii="宋体" w:hAnsi="宋体" w:eastAsia="宋体" w:cs="宋体"/>
          <w:b/>
          <w:bCs/>
          <w:color w:val="auto"/>
          <w:szCs w:val="21"/>
          <w:highlight w:val="none"/>
        </w:rPr>
        <w:t>投标人应提供投标文件一式</w:t>
      </w:r>
      <w:r>
        <w:rPr>
          <w:rFonts w:hint="eastAsia" w:ascii="宋体" w:hAnsi="宋体" w:eastAsia="宋体" w:cs="宋体"/>
          <w:b/>
          <w:bCs/>
          <w:color w:val="auto"/>
          <w:szCs w:val="21"/>
          <w:highlight w:val="none"/>
          <w:lang w:val="en-US" w:eastAsia="zh-CN"/>
        </w:rPr>
        <w:t>伍</w:t>
      </w:r>
      <w:r>
        <w:rPr>
          <w:rFonts w:hint="eastAsia" w:ascii="宋体" w:hAnsi="宋体" w:eastAsia="宋体" w:cs="宋体"/>
          <w:b/>
          <w:bCs/>
          <w:color w:val="auto"/>
          <w:szCs w:val="21"/>
          <w:highlight w:val="none"/>
        </w:rPr>
        <w:t>份（正本壹份、副本</w:t>
      </w:r>
      <w:r>
        <w:rPr>
          <w:rFonts w:hint="eastAsia" w:ascii="宋体" w:hAnsi="宋体" w:eastAsia="宋体" w:cs="宋体"/>
          <w:b/>
          <w:bCs/>
          <w:color w:val="auto"/>
          <w:szCs w:val="21"/>
          <w:highlight w:val="none"/>
          <w:lang w:val="en-US" w:eastAsia="zh-CN"/>
        </w:rPr>
        <w:t>肆</w:t>
      </w:r>
      <w:r>
        <w:rPr>
          <w:rFonts w:hint="eastAsia" w:ascii="宋体" w:hAnsi="宋体" w:eastAsia="宋体" w:cs="宋体"/>
          <w:b/>
          <w:bCs/>
          <w:color w:val="auto"/>
          <w:szCs w:val="21"/>
          <w:highlight w:val="none"/>
        </w:rPr>
        <w:t>份）</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所有投标文件均应密封后递交，同时应提供电子版投标文件壹份（电子版须为投标文件正本加盖公章、签字后形成PDF扫描件，扫描件内容应与纸质投标文件正本完全一致、U盘形式（单独封装）、随纸质正本文件一并提交）。</w:t>
      </w:r>
      <w:r>
        <w:rPr>
          <w:rFonts w:hint="eastAsia" w:ascii="宋体" w:hAnsi="宋体" w:eastAsia="宋体" w:cs="宋体"/>
          <w:color w:val="auto"/>
          <w:szCs w:val="21"/>
          <w:highlight w:val="none"/>
        </w:rPr>
        <w:t>当电子版文件和纸质正本文件不一致时，以纸质正本文件为准。电子版文件用于辅助评标和平台存档，投标人需承担前述不一致造成的不利后果。</w:t>
      </w:r>
    </w:p>
    <w:p w14:paraId="0BB02E8B">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rPr>
      </w:pPr>
    </w:p>
    <w:p w14:paraId="2499C584">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pacing w:val="8"/>
          <w:kern w:val="0"/>
          <w:sz w:val="24"/>
          <w:highlight w:val="none"/>
        </w:rPr>
      </w:pPr>
      <w:bookmarkStart w:id="6" w:name="_Toc9042"/>
      <w:r>
        <w:rPr>
          <w:rFonts w:hint="eastAsia" w:ascii="宋体" w:hAnsi="宋体" w:eastAsia="宋体" w:cs="宋体"/>
          <w:b/>
          <w:color w:val="auto"/>
          <w:spacing w:val="8"/>
          <w:kern w:val="0"/>
          <w:sz w:val="24"/>
          <w:highlight w:val="none"/>
        </w:rPr>
        <w:t>五、公告期限</w:t>
      </w:r>
      <w:bookmarkEnd w:id="6"/>
    </w:p>
    <w:p w14:paraId="3948C4B1">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7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自本公告发布之日起5个工作日。</w:t>
      </w:r>
    </w:p>
    <w:p w14:paraId="554E1BFB">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outlineLvl w:val="1"/>
        <w:rPr>
          <w:rFonts w:hint="eastAsia" w:ascii="宋体" w:hAnsi="宋体" w:eastAsia="宋体" w:cs="宋体"/>
          <w:b/>
          <w:color w:val="auto"/>
          <w:spacing w:val="8"/>
          <w:kern w:val="0"/>
          <w:sz w:val="24"/>
          <w:highlight w:val="none"/>
        </w:rPr>
      </w:pPr>
      <w:bookmarkStart w:id="7" w:name="_Toc27495"/>
      <w:r>
        <w:rPr>
          <w:rFonts w:hint="eastAsia" w:ascii="宋体" w:hAnsi="宋体" w:eastAsia="宋体" w:cs="宋体"/>
          <w:b/>
          <w:color w:val="auto"/>
          <w:spacing w:val="8"/>
          <w:kern w:val="0"/>
          <w:sz w:val="24"/>
          <w:highlight w:val="none"/>
        </w:rPr>
        <w:t>六、其他补充事宜</w:t>
      </w:r>
      <w:bookmarkEnd w:id="7"/>
    </w:p>
    <w:p w14:paraId="090CB453">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63" w:firstLineChars="173"/>
        <w:textAlignment w:val="auto"/>
        <w:outlineLvl w:val="1"/>
        <w:rPr>
          <w:rFonts w:hint="eastAsia" w:ascii="宋体" w:hAnsi="宋体" w:eastAsia="宋体" w:cs="宋体"/>
          <w:color w:val="auto"/>
          <w:szCs w:val="21"/>
          <w:highlight w:val="none"/>
          <w:lang w:val="zh-CN"/>
        </w:rPr>
      </w:pPr>
      <w:bookmarkStart w:id="8" w:name="_Toc13548"/>
      <w:bookmarkStart w:id="9" w:name="_Toc15491"/>
      <w:r>
        <w:rPr>
          <w:rFonts w:hint="eastAsia" w:ascii="宋体" w:hAnsi="宋体" w:eastAsia="宋体" w:cs="宋体"/>
          <w:color w:val="auto"/>
          <w:szCs w:val="21"/>
          <w:highlight w:val="none"/>
          <w:lang w:val="zh-CN"/>
        </w:rPr>
        <w:t>6.1本项目在</w:t>
      </w:r>
      <w:r>
        <w:rPr>
          <w:rFonts w:hint="eastAsia" w:ascii="宋体" w:hAnsi="宋体" w:cs="宋体"/>
          <w:b/>
          <w:bCs/>
          <w:color w:val="auto"/>
          <w:szCs w:val="21"/>
          <w:highlight w:val="none"/>
          <w:lang w:val="en-US" w:eastAsia="zh-CN"/>
        </w:rPr>
        <w:t>中国医学科学院皮肤病医院官网（http://www.pumcskin.cn/）、中国招标投标公共服务平台（http://www.cebpubservice.com/）</w:t>
      </w:r>
      <w:r>
        <w:rPr>
          <w:rFonts w:hint="eastAsia" w:ascii="宋体" w:hAnsi="宋体" w:cs="宋体"/>
          <w:b w:val="0"/>
          <w:bCs w:val="0"/>
          <w:color w:val="auto"/>
          <w:szCs w:val="21"/>
          <w:highlight w:val="none"/>
          <w:lang w:val="en-US" w:eastAsia="zh-CN"/>
        </w:rPr>
        <w:t>发布公告</w:t>
      </w:r>
      <w:r>
        <w:rPr>
          <w:rFonts w:hint="eastAsia" w:ascii="宋体" w:hAnsi="宋体" w:eastAsia="宋体" w:cs="宋体"/>
          <w:color w:val="auto"/>
          <w:szCs w:val="21"/>
          <w:highlight w:val="none"/>
          <w:lang w:val="zh-CN"/>
        </w:rPr>
        <w:t>。</w:t>
      </w:r>
      <w:bookmarkEnd w:id="8"/>
    </w:p>
    <w:p w14:paraId="65A2479B">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63" w:firstLineChars="173"/>
        <w:textAlignment w:val="auto"/>
        <w:outlineLvl w:val="1"/>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zh-CN"/>
        </w:rPr>
        <w:t>6.</w:t>
      </w:r>
      <w:r>
        <w:rPr>
          <w:rFonts w:hint="eastAsia" w:ascii="宋体" w:hAnsi="宋体" w:eastAsia="宋体" w:cs="宋体"/>
          <w:color w:val="auto"/>
          <w:szCs w:val="21"/>
          <w:highlight w:val="none"/>
          <w:lang w:val="en-US" w:eastAsia="zh-CN"/>
        </w:rPr>
        <w:t>2投标人应当从采购代理机构合法获得招标项目的招标文件。</w:t>
      </w:r>
      <w:bookmarkEnd w:id="9"/>
      <w:bookmarkStart w:id="10" w:name="_Toc23805"/>
    </w:p>
    <w:p w14:paraId="7D539942">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ind w:firstLine="363" w:firstLineChars="173"/>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Cs/>
          <w:color w:val="auto"/>
          <w:szCs w:val="21"/>
          <w:highlight w:val="none"/>
        </w:rPr>
        <w:t>6.</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 xml:space="preserve"> 勘察现场：</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无</w:t>
      </w:r>
      <w:r>
        <w:rPr>
          <w:rFonts w:hint="eastAsia" w:ascii="宋体" w:hAnsi="宋体" w:eastAsia="宋体" w:cs="宋体"/>
          <w:bCs/>
          <w:color w:val="auto"/>
          <w:szCs w:val="21"/>
          <w:highlight w:val="none"/>
          <w:lang w:eastAsia="zh-CN"/>
        </w:rPr>
        <w:t>）</w:t>
      </w:r>
      <w:bookmarkEnd w:id="10"/>
    </w:p>
    <w:p w14:paraId="1471CA1A">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textAlignment w:val="auto"/>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七、对本次招标提出询问，请按以下方式联系</w:t>
      </w:r>
    </w:p>
    <w:p w14:paraId="1C0BC337">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7.1采购人信息</w:t>
      </w:r>
    </w:p>
    <w:p w14:paraId="241918D7">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名 称：中国医学科学院皮肤病医院</w:t>
      </w:r>
    </w:p>
    <w:p w14:paraId="180C4DDF">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地址：南京市太平门外蒋王庙街1</w:t>
      </w:r>
      <w:r>
        <w:rPr>
          <w:rFonts w:hint="eastAsia" w:ascii="宋体" w:hAnsi="宋体" w:eastAsia="宋体" w:cs="宋体"/>
          <w:color w:val="auto"/>
          <w:spacing w:val="8"/>
          <w:kern w:val="0"/>
          <w:szCs w:val="21"/>
          <w:highlight w:val="none"/>
          <w:lang w:val="en-US" w:eastAsia="zh-CN"/>
        </w:rPr>
        <w:t>2</w:t>
      </w:r>
      <w:r>
        <w:rPr>
          <w:rFonts w:hint="eastAsia" w:ascii="宋体" w:hAnsi="宋体" w:eastAsia="宋体" w:cs="宋体"/>
          <w:color w:val="auto"/>
          <w:spacing w:val="8"/>
          <w:kern w:val="0"/>
          <w:szCs w:val="21"/>
          <w:highlight w:val="none"/>
        </w:rPr>
        <w:t>号</w:t>
      </w:r>
    </w:p>
    <w:p w14:paraId="0E83D711">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en-US" w:eastAsia="zh-CN"/>
        </w:rPr>
      </w:pPr>
      <w:r>
        <w:rPr>
          <w:rFonts w:hint="eastAsia" w:ascii="宋体" w:hAnsi="宋体" w:eastAsia="宋体" w:cs="宋体"/>
          <w:color w:val="auto"/>
          <w:spacing w:val="8"/>
          <w:kern w:val="0"/>
          <w:szCs w:val="21"/>
          <w:highlight w:val="none"/>
          <w:lang w:val="en-US" w:eastAsia="zh-CN"/>
        </w:rPr>
        <w:t>联系电话：025-</w:t>
      </w:r>
      <w:r>
        <w:rPr>
          <w:rFonts w:hint="eastAsia" w:ascii="宋体" w:hAnsi="宋体" w:cs="宋体"/>
          <w:color w:val="auto"/>
          <w:spacing w:val="8"/>
          <w:kern w:val="0"/>
          <w:szCs w:val="21"/>
          <w:highlight w:val="none"/>
          <w:lang w:val="en-US" w:eastAsia="zh-CN"/>
        </w:rPr>
        <w:t>85478284</w:t>
      </w:r>
    </w:p>
    <w:p w14:paraId="732B24C5">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1" w:name="_Toc104307929"/>
      <w:r>
        <w:rPr>
          <w:rFonts w:hint="eastAsia" w:ascii="宋体" w:hAnsi="宋体" w:eastAsia="宋体" w:cs="宋体"/>
          <w:color w:val="auto"/>
          <w:spacing w:val="8"/>
          <w:kern w:val="0"/>
          <w:szCs w:val="21"/>
          <w:highlight w:val="none"/>
          <w:lang w:val="en-US" w:eastAsia="zh-CN"/>
        </w:rPr>
        <w:t>7</w:t>
      </w:r>
      <w:r>
        <w:rPr>
          <w:rFonts w:hint="eastAsia" w:ascii="宋体" w:hAnsi="宋体" w:eastAsia="宋体" w:cs="宋体"/>
          <w:color w:val="auto"/>
          <w:spacing w:val="8"/>
          <w:kern w:val="0"/>
          <w:szCs w:val="21"/>
          <w:highlight w:val="none"/>
          <w:lang w:val="zh-CN"/>
        </w:rPr>
        <w:t>.2采购代理机构信息</w:t>
      </w:r>
      <w:bookmarkEnd w:id="11"/>
    </w:p>
    <w:p w14:paraId="33FCD97E">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2" w:name="_Toc104307930"/>
      <w:r>
        <w:rPr>
          <w:rFonts w:hint="eastAsia" w:ascii="宋体" w:hAnsi="宋体" w:eastAsia="宋体" w:cs="宋体"/>
          <w:color w:val="auto"/>
          <w:spacing w:val="8"/>
          <w:kern w:val="0"/>
          <w:szCs w:val="21"/>
          <w:highlight w:val="none"/>
          <w:lang w:val="zh-CN"/>
        </w:rPr>
        <w:t>名 称：江苏省设备成套股份有限公司</w:t>
      </w:r>
      <w:bookmarkEnd w:id="12"/>
    </w:p>
    <w:p w14:paraId="4F1CC573">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3" w:name="_Toc104307931"/>
      <w:r>
        <w:rPr>
          <w:rFonts w:hint="eastAsia" w:ascii="宋体" w:hAnsi="宋体" w:eastAsia="宋体" w:cs="宋体"/>
          <w:color w:val="auto"/>
          <w:spacing w:val="8"/>
          <w:kern w:val="0"/>
          <w:szCs w:val="21"/>
          <w:highlight w:val="none"/>
          <w:lang w:val="zh-CN"/>
        </w:rPr>
        <w:t>地　址：</w:t>
      </w:r>
      <w:r>
        <w:rPr>
          <w:rFonts w:hint="eastAsia" w:ascii="宋体" w:hAnsi="宋体" w:eastAsia="宋体" w:cs="宋体"/>
          <w:color w:val="auto"/>
          <w:spacing w:val="8"/>
          <w:kern w:val="0"/>
          <w:szCs w:val="21"/>
          <w:highlight w:val="none"/>
        </w:rPr>
        <w:t>南京市鼓楼区清江南路18号鼓楼创新广场D座10楼1006室</w:t>
      </w:r>
      <w:bookmarkEnd w:id="13"/>
    </w:p>
    <w:p w14:paraId="6DAF0653">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4" w:name="_Toc104307932"/>
      <w:r>
        <w:rPr>
          <w:rFonts w:hint="eastAsia" w:ascii="宋体" w:hAnsi="宋体" w:eastAsia="宋体" w:cs="宋体"/>
          <w:color w:val="auto"/>
          <w:spacing w:val="8"/>
          <w:kern w:val="0"/>
          <w:szCs w:val="21"/>
          <w:highlight w:val="none"/>
          <w:lang w:val="zh-CN"/>
        </w:rPr>
        <w:t>联系方式：</w:t>
      </w:r>
      <w:bookmarkEnd w:id="14"/>
      <w:r>
        <w:rPr>
          <w:rFonts w:hint="eastAsia" w:ascii="宋体" w:hAnsi="宋体" w:eastAsia="宋体" w:cs="宋体"/>
          <w:color w:val="auto"/>
          <w:spacing w:val="8"/>
          <w:kern w:val="0"/>
          <w:szCs w:val="21"/>
          <w:highlight w:val="none"/>
          <w:lang w:val="en-US" w:eastAsia="zh-CN"/>
        </w:rPr>
        <w:t>13913894080</w:t>
      </w:r>
    </w:p>
    <w:p w14:paraId="6C1A1C69">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5" w:name="_Toc104307933"/>
      <w:r>
        <w:rPr>
          <w:rFonts w:hint="eastAsia" w:ascii="宋体" w:hAnsi="宋体" w:eastAsia="宋体" w:cs="宋体"/>
          <w:color w:val="auto"/>
          <w:spacing w:val="8"/>
          <w:kern w:val="0"/>
          <w:szCs w:val="21"/>
          <w:highlight w:val="none"/>
          <w:lang w:val="en-US" w:eastAsia="zh-CN"/>
        </w:rPr>
        <w:t>7</w:t>
      </w:r>
      <w:r>
        <w:rPr>
          <w:rFonts w:hint="eastAsia" w:ascii="宋体" w:hAnsi="宋体" w:eastAsia="宋体" w:cs="宋体"/>
          <w:color w:val="auto"/>
          <w:spacing w:val="8"/>
          <w:kern w:val="0"/>
          <w:szCs w:val="21"/>
          <w:highlight w:val="none"/>
          <w:lang w:val="zh-CN" w:eastAsia="zh-CN"/>
        </w:rPr>
        <w:t>.3</w:t>
      </w:r>
      <w:r>
        <w:rPr>
          <w:rFonts w:hint="eastAsia" w:ascii="宋体" w:hAnsi="宋体" w:eastAsia="宋体" w:cs="宋体"/>
          <w:color w:val="auto"/>
          <w:spacing w:val="8"/>
          <w:kern w:val="0"/>
          <w:szCs w:val="21"/>
          <w:highlight w:val="none"/>
          <w:lang w:val="zh-CN"/>
        </w:rPr>
        <w:t>项目联系方式</w:t>
      </w:r>
      <w:bookmarkEnd w:id="15"/>
    </w:p>
    <w:p w14:paraId="621CDF94">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zh-CN"/>
        </w:rPr>
      </w:pPr>
      <w:bookmarkStart w:id="16" w:name="_Toc104307934"/>
      <w:r>
        <w:rPr>
          <w:rFonts w:hint="eastAsia" w:ascii="宋体" w:hAnsi="宋体" w:eastAsia="宋体" w:cs="宋体"/>
          <w:color w:val="auto"/>
          <w:spacing w:val="8"/>
          <w:kern w:val="0"/>
          <w:szCs w:val="21"/>
          <w:highlight w:val="none"/>
          <w:lang w:val="zh-CN"/>
        </w:rPr>
        <w:t>项目联系人</w:t>
      </w:r>
      <w:bookmarkEnd w:id="16"/>
      <w:r>
        <w:rPr>
          <w:rFonts w:hint="eastAsia" w:ascii="宋体" w:hAnsi="宋体" w:eastAsia="宋体" w:cs="宋体"/>
          <w:color w:val="auto"/>
          <w:spacing w:val="8"/>
          <w:kern w:val="0"/>
          <w:szCs w:val="21"/>
          <w:highlight w:val="none"/>
          <w:lang w:val="zh-CN"/>
        </w:rPr>
        <w:t>：</w:t>
      </w:r>
      <w:r>
        <w:rPr>
          <w:rFonts w:hint="eastAsia" w:ascii="宋体" w:hAnsi="宋体" w:eastAsia="宋体" w:cs="宋体"/>
          <w:color w:val="auto"/>
          <w:spacing w:val="8"/>
          <w:kern w:val="0"/>
          <w:szCs w:val="21"/>
          <w:highlight w:val="none"/>
          <w:lang w:val="en-US" w:eastAsia="zh-CN"/>
        </w:rPr>
        <w:t>陶冬雨</w:t>
      </w:r>
      <w:r>
        <w:rPr>
          <w:rFonts w:hint="eastAsia" w:ascii="宋体" w:hAnsi="宋体" w:eastAsia="宋体" w:cs="宋体"/>
          <w:color w:val="auto"/>
          <w:spacing w:val="8"/>
          <w:kern w:val="0"/>
          <w:szCs w:val="21"/>
          <w:highlight w:val="none"/>
          <w:lang w:val="zh-CN"/>
        </w:rPr>
        <w:t xml:space="preserve"> </w:t>
      </w:r>
    </w:p>
    <w:p w14:paraId="0682C37C">
      <w:pPr>
        <w:keepNext w:val="0"/>
        <w:keepLines w:val="0"/>
        <w:pageBreakBefore w:val="0"/>
        <w:widowControl/>
        <w:shd w:val="clear" w:color="auto" w:fill="FFFFFF" w:themeFill="background1"/>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pacing w:val="8"/>
          <w:kern w:val="0"/>
          <w:szCs w:val="21"/>
          <w:highlight w:val="none"/>
          <w:lang w:val="en-US" w:eastAsia="zh-CN"/>
        </w:rPr>
      </w:pPr>
      <w:bookmarkStart w:id="17" w:name="_Toc104307935"/>
      <w:r>
        <w:rPr>
          <w:rFonts w:hint="eastAsia" w:ascii="宋体" w:hAnsi="宋体" w:eastAsia="宋体" w:cs="宋体"/>
          <w:color w:val="auto"/>
          <w:spacing w:val="8"/>
          <w:kern w:val="0"/>
          <w:szCs w:val="21"/>
          <w:highlight w:val="none"/>
          <w:lang w:val="zh-CN"/>
        </w:rPr>
        <w:t>电　话：</w:t>
      </w:r>
      <w:bookmarkEnd w:id="17"/>
      <w:r>
        <w:rPr>
          <w:rFonts w:hint="eastAsia" w:ascii="宋体" w:hAnsi="宋体" w:eastAsia="宋体" w:cs="宋体"/>
          <w:color w:val="auto"/>
          <w:spacing w:val="8"/>
          <w:kern w:val="0"/>
          <w:szCs w:val="21"/>
          <w:highlight w:val="none"/>
          <w:lang w:val="en-US" w:eastAsia="zh-CN"/>
        </w:rPr>
        <w:t>13913894080</w:t>
      </w:r>
    </w:p>
    <w:p w14:paraId="3B01CA7C">
      <w:pPr>
        <w:pStyle w:val="55"/>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8"/>
          <w:kern w:val="0"/>
          <w:szCs w:val="21"/>
          <w:highlight w:val="none"/>
        </w:rPr>
      </w:pPr>
    </w:p>
    <w:p w14:paraId="15A50815">
      <w:pPr>
        <w:pStyle w:val="55"/>
        <w:rPr>
          <w:rFonts w:hint="eastAsia" w:ascii="宋体" w:hAnsi="宋体" w:eastAsia="宋体" w:cs="宋体"/>
          <w:color w:val="auto"/>
          <w:spacing w:val="8"/>
          <w:kern w:val="0"/>
          <w:szCs w:val="21"/>
          <w:highlight w:val="none"/>
        </w:rPr>
      </w:pPr>
    </w:p>
    <w:p w14:paraId="424E4274">
      <w:pPr>
        <w:rPr>
          <w:rFonts w:hint="eastAsia" w:ascii="宋体" w:hAnsi="宋体" w:eastAsia="宋体" w:cs="宋体"/>
          <w:color w:val="auto"/>
          <w:highlight w:val="none"/>
        </w:rPr>
      </w:pPr>
      <w:bookmarkStart w:id="18" w:name="_Toc7593"/>
      <w:r>
        <w:rPr>
          <w:rFonts w:hint="eastAsia" w:ascii="宋体" w:hAnsi="宋体" w:eastAsia="宋体" w:cs="宋体"/>
          <w:color w:val="auto"/>
          <w:highlight w:val="none"/>
        </w:rPr>
        <w:br w:type="page"/>
      </w:r>
    </w:p>
    <w:p w14:paraId="70AED79D">
      <w:pPr>
        <w:pStyle w:val="4"/>
        <w:pageBreakBefore w:val="0"/>
        <w:numPr>
          <w:ilvl w:val="0"/>
          <w:numId w:val="0"/>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color w:val="auto"/>
          <w:highlight w:val="none"/>
        </w:rPr>
      </w:pPr>
      <w:bookmarkStart w:id="19" w:name="_Toc27326"/>
      <w:r>
        <w:rPr>
          <w:rFonts w:hint="eastAsia" w:ascii="宋体" w:hAnsi="宋体" w:eastAsia="宋体" w:cs="宋体"/>
          <w:color w:val="auto"/>
          <w:highlight w:val="none"/>
        </w:rPr>
        <w:t>第二章</w:t>
      </w:r>
      <w:bookmarkStart w:id="20" w:name="_Toc452625218"/>
      <w:r>
        <w:rPr>
          <w:rFonts w:hint="eastAsia" w:ascii="宋体" w:hAnsi="宋体" w:eastAsia="宋体" w:cs="宋体"/>
          <w:color w:val="auto"/>
          <w:highlight w:val="none"/>
        </w:rPr>
        <w:t xml:space="preserve"> 投标人须知</w:t>
      </w:r>
      <w:bookmarkEnd w:id="18"/>
      <w:bookmarkEnd w:id="19"/>
      <w:bookmarkEnd w:id="20"/>
    </w:p>
    <w:p w14:paraId="199BA4BC">
      <w:pPr>
        <w:widowControl/>
        <w:shd w:val="clear" w:color="auto" w:fill="FFFFFF"/>
        <w:spacing w:line="360" w:lineRule="auto"/>
        <w:ind w:firstLine="424" w:firstLineChars="201"/>
        <w:rPr>
          <w:rFonts w:hint="eastAsia" w:ascii="宋体" w:hAnsi="宋体" w:cs="宋体"/>
          <w:color w:val="auto"/>
          <w:kern w:val="0"/>
          <w:szCs w:val="21"/>
          <w:highlight w:val="none"/>
        </w:rPr>
      </w:pPr>
      <w:bookmarkStart w:id="21" w:name="_Toc11112"/>
      <w:r>
        <w:rPr>
          <w:rFonts w:hint="eastAsia" w:ascii="宋体" w:hAnsi="宋体" w:cs="宋体"/>
          <w:b/>
          <w:bCs/>
          <w:color w:val="auto"/>
          <w:kern w:val="0"/>
          <w:szCs w:val="21"/>
          <w:highlight w:val="none"/>
        </w:rPr>
        <w:t>一、总 则</w:t>
      </w:r>
    </w:p>
    <w:p w14:paraId="030B860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1、适用范围</w:t>
      </w:r>
    </w:p>
    <w:p w14:paraId="6C22A50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w:t>
      </w:r>
      <w:r>
        <w:rPr>
          <w:rFonts w:hint="eastAsia" w:ascii="宋体" w:hAnsi="宋体" w:cs="宋体"/>
          <w:strike w:val="0"/>
          <w:color w:val="auto"/>
          <w:kern w:val="0"/>
          <w:szCs w:val="21"/>
          <w:highlight w:val="none"/>
        </w:rPr>
        <w:t>本次招标参照《中华人民共和国政府采购法》（以下简称政府采购法）《中华人民共和国政府采购法实施条例》（以下简称政府采购法实施条例）《政府采购货物和服务招标投标管理办法》等法律、行政法规、部门规章和规范性文件。</w:t>
      </w:r>
    </w:p>
    <w:p w14:paraId="08228EA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2、定义</w:t>
      </w:r>
    </w:p>
    <w:p w14:paraId="30C7B6F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2.1“采购人”是指依法进行政府采购的国家机关、事业单位、团体组织。</w:t>
      </w:r>
    </w:p>
    <w:p w14:paraId="78C23BA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2.2“投标人（供应商）”是指参加投标竞争，并符合招标文件规定资格条件的法人、其他组织或者自然人。</w:t>
      </w:r>
    </w:p>
    <w:p w14:paraId="4E784CE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2.3“采购代理机构”是指集中采购机构和集中采购机构以外的采购代理机构，集中采购机构以外的采购代理机构，是从事采购代理业务的社会中介机构。</w:t>
      </w:r>
    </w:p>
    <w:p w14:paraId="782B8A9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2.4“货物和服务”指本招标文件中所述</w:t>
      </w:r>
      <w:r>
        <w:rPr>
          <w:rFonts w:hint="eastAsia" w:ascii="宋体" w:hAnsi="宋体" w:cs="宋体"/>
          <w:bCs/>
          <w:color w:val="auto"/>
          <w:kern w:val="0"/>
          <w:szCs w:val="21"/>
          <w:highlight w:val="none"/>
        </w:rPr>
        <w:t>产品</w:t>
      </w:r>
      <w:r>
        <w:rPr>
          <w:rFonts w:hint="eastAsia" w:ascii="宋体" w:hAnsi="宋体" w:cs="宋体"/>
          <w:color w:val="auto"/>
          <w:kern w:val="0"/>
          <w:szCs w:val="21"/>
          <w:highlight w:val="none"/>
        </w:rPr>
        <w:t>及相关服务。</w:t>
      </w:r>
    </w:p>
    <w:p w14:paraId="3970BE0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2.5“用户或使用单位”是指使用货物，接受服务的单位。</w:t>
      </w:r>
    </w:p>
    <w:p w14:paraId="5D6F378C">
      <w:pPr>
        <w:widowControl/>
        <w:shd w:val="clear" w:color="auto" w:fill="FFFFFF"/>
        <w:spacing w:line="360" w:lineRule="auto"/>
        <w:ind w:firstLine="412"/>
        <w:rPr>
          <w:rFonts w:hint="eastAsia" w:ascii="宋体" w:hAnsi="宋体" w:cs="宋体"/>
          <w:color w:val="auto"/>
          <w:kern w:val="0"/>
          <w:szCs w:val="21"/>
          <w:highlight w:val="none"/>
        </w:rPr>
      </w:pPr>
      <w:r>
        <w:rPr>
          <w:rFonts w:hint="eastAsia" w:ascii="宋体" w:hAnsi="宋体" w:cs="宋体"/>
          <w:b/>
          <w:bCs/>
          <w:color w:val="auto"/>
          <w:kern w:val="0"/>
          <w:szCs w:val="21"/>
          <w:highlight w:val="none"/>
        </w:rPr>
        <w:t>二、招标文件构成</w:t>
      </w:r>
    </w:p>
    <w:p w14:paraId="0EB2CF0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4、招标文件组成</w:t>
      </w:r>
    </w:p>
    <w:p w14:paraId="7CBCF8D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4.1招标文件包括以下主要内容：招标公告；投标人须知；投标人应当提交的资格、资信证明文件；为落实政府采购政策，采购标的需满足的要求，以及投标人须提供的证明材料；投标文件编制要求、投标报价要求和投标保证金交纳、退还方式以及不予退还投标保证金的情形；招标项目预算金额，设定最高限价的，还应当公开最高限价；招标项目的技术规格、数量、服务标准、验收等要求，包括附件、图纸等；拟签订的合同文本；货物、服务提供的时间、地点、方式；采购资金的支付方式、时间、条件；评标方法、评标标准和投标无效情形；投标有效期；投标截止时间、开标时间及地点；采购代理机构代理费用的收取标准和方式；投标人信用信息查询渠道及截止时点、信用信息查询记录和证据留存的具体方式、信用信息的使用规则等；省级以上财政部门规定的其他事项。</w:t>
      </w:r>
    </w:p>
    <w:p w14:paraId="78A40E6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4.2 招标的最小单位是标段。招标货物数量及技术要求中未分标段的，投标人对要求提供的货物和服务不得部分投标；招标货物数量及技术要求中已经分标段的，可以以标段为单位投标。</w:t>
      </w:r>
    </w:p>
    <w:p w14:paraId="48C9504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4.3 采购代理机构如果要求投标人按照招标文件规定提交备选投标方案的，投标人可以提交备选方案；否则，备选方案将被拒绝。</w:t>
      </w:r>
    </w:p>
    <w:p w14:paraId="6E19529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4.4招标文件中要求的产品品牌或型号，是采购人根据项目所要实现的功能推荐的品牌或型号，仅供投标人参考，并不是限制条件。</w:t>
      </w:r>
    </w:p>
    <w:p w14:paraId="5C82376E">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5、招标文件的澄清或者修改</w:t>
      </w:r>
    </w:p>
    <w:p w14:paraId="0A95696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5.1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20F86FB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5.2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5E302F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三、投标文件的编制</w:t>
      </w:r>
    </w:p>
    <w:p w14:paraId="20F5BA1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6、投标文件的语言、计量单位、货币和编制</w:t>
      </w:r>
    </w:p>
    <w:p w14:paraId="0DF1B21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6.1投标人提交的投标文件、技术文件和资料，包括图纸中的说明，以及投标人与采购代理机构就有关投标的所有来往函电均应使用中文。投标文件中若有英文或其他语言文字的资料，应提供相应的中文翻译资料。对不同文本投标文件的解释发生异议的，以中文文本为准。</w:t>
      </w:r>
    </w:p>
    <w:p w14:paraId="0C4A081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6.2投标人所使用的计量单位应为国家法定计量单位。</w:t>
      </w:r>
    </w:p>
    <w:p w14:paraId="0F25AEEE">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6.3投标人应用人民币报价。投标产品如果是进口产品的，应提供人民币与</w:t>
      </w:r>
      <w:r>
        <w:rPr>
          <w:rFonts w:hint="eastAsia" w:ascii="宋体" w:hAnsi="宋体" w:cs="宋体"/>
          <w:b/>
          <w:bCs/>
          <w:color w:val="auto"/>
          <w:kern w:val="0"/>
          <w:szCs w:val="21"/>
          <w:highlight w:val="none"/>
        </w:rPr>
        <w:t>外币之间的汇率。</w:t>
      </w:r>
    </w:p>
    <w:p w14:paraId="33B4A000">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6.4投标文件应按照招标文件规定的顺序打印、装订成册并编制目录。因编排混乱导致投标文件被误读或查找不到，责任由投标人承担。</w:t>
      </w:r>
    </w:p>
    <w:p w14:paraId="336AFB0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6.5投标人应在投标文件中写清相应的项目编号、项目名称、投标人全称、地址、电话、传真等。</w:t>
      </w:r>
    </w:p>
    <w:p w14:paraId="2A2D7CB6">
      <w:pPr>
        <w:widowControl/>
        <w:shd w:val="clear" w:color="auto" w:fill="FFFFFF"/>
        <w:spacing w:line="360" w:lineRule="auto"/>
        <w:ind w:firstLine="412"/>
        <w:rPr>
          <w:rFonts w:hint="eastAsia" w:ascii="宋体" w:hAnsi="宋体" w:cs="宋体"/>
          <w:b/>
          <w:bCs/>
          <w:color w:val="auto"/>
          <w:kern w:val="0"/>
          <w:szCs w:val="21"/>
          <w:highlight w:val="none"/>
        </w:rPr>
      </w:pPr>
      <w:r>
        <w:rPr>
          <w:rFonts w:hint="eastAsia" w:ascii="宋体" w:hAnsi="宋体" w:cs="宋体"/>
          <w:bCs/>
          <w:color w:val="auto"/>
          <w:kern w:val="0"/>
          <w:szCs w:val="21"/>
          <w:highlight w:val="none"/>
        </w:rPr>
        <w:t>6.6</w:t>
      </w:r>
      <w:r>
        <w:rPr>
          <w:rFonts w:hint="eastAsia" w:ascii="宋体" w:hAnsi="宋体" w:cs="宋体"/>
          <w:color w:val="auto"/>
          <w:kern w:val="0"/>
          <w:szCs w:val="21"/>
          <w:highlight w:val="none"/>
        </w:rPr>
        <w:t>投标人根据招标文件载明的标的采购项目实际情况，拟在中标后将中标项目的非主体、非关键性工作交由他人完成的，应当在投标文件中载明。</w:t>
      </w:r>
    </w:p>
    <w:p w14:paraId="2E160FEF">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7、联合体投标</w:t>
      </w:r>
    </w:p>
    <w:p w14:paraId="1F6E180C">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7.1 两个以上的自然人、法人或者其他组织可以组成一个联合体，以一个投标人的身份共同参加政府采购。</w:t>
      </w:r>
    </w:p>
    <w:p w14:paraId="5D9D3E21">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7.2 联合体中有同类资质的投标人按照联合体分工承担相同工作的，按照资质等级较低的投标人确定资质等级。</w:t>
      </w:r>
    </w:p>
    <w:p w14:paraId="7465538C">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7.3 联合体各方之间应当签订联合体协议，明确约定联合体各方承担的工作和相应的责任，并将联合体协议连同投标文件一同提交。</w:t>
      </w:r>
    </w:p>
    <w:p w14:paraId="6E4320B6">
      <w:pPr>
        <w:widowControl/>
        <w:shd w:val="clear" w:color="auto" w:fill="FFFFFF"/>
        <w:spacing w:line="360" w:lineRule="auto"/>
        <w:ind w:firstLine="412"/>
        <w:rPr>
          <w:rFonts w:hint="eastAsia" w:ascii="宋体" w:hAnsi="宋体" w:cs="宋体"/>
          <w:color w:val="auto"/>
          <w:kern w:val="0"/>
          <w:szCs w:val="21"/>
          <w:highlight w:val="none"/>
        </w:rPr>
      </w:pPr>
      <w:r>
        <w:rPr>
          <w:rFonts w:hint="eastAsia" w:ascii="宋体" w:hAnsi="宋体" w:cs="宋体"/>
          <w:bCs/>
          <w:color w:val="auto"/>
          <w:kern w:val="0"/>
          <w:szCs w:val="21"/>
          <w:highlight w:val="none"/>
        </w:rPr>
        <w:t>7.4 以联合体形式参加政府采购活动的，联合体各方不得再单独参加或者与其他投标人另外组成联合体参加同一合同项下的政府采购活动。</w:t>
      </w:r>
    </w:p>
    <w:p w14:paraId="204AD3E4">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8、投标文件的组成</w:t>
      </w:r>
    </w:p>
    <w:p w14:paraId="71AF8959">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color w:val="auto"/>
          <w:kern w:val="0"/>
          <w:szCs w:val="21"/>
          <w:highlight w:val="none"/>
        </w:rPr>
        <w:t>8.1投标人应当根据招标文件要求编制投标文件，投标文件应对招标文件提出的要求和条件作出实质性响应，并在《商务条款偏离表》和《采购需求偏离表》等处逐条标明满足与否。</w:t>
      </w:r>
      <w:r>
        <w:rPr>
          <w:rFonts w:hint="eastAsia" w:ascii="宋体" w:hAnsi="宋体" w:cs="宋体"/>
          <w:b/>
          <w:color w:val="auto"/>
          <w:kern w:val="0"/>
          <w:szCs w:val="21"/>
          <w:highlight w:val="none"/>
        </w:rPr>
        <w:t>对带</w:t>
      </w:r>
      <w:r>
        <w:rPr>
          <w:rFonts w:hint="eastAsia" w:ascii="宋体" w:hAnsi="宋体" w:cs="宋体"/>
          <w:b/>
          <w:bCs/>
          <w:color w:val="auto"/>
          <w:kern w:val="0"/>
          <w:szCs w:val="21"/>
          <w:highlight w:val="none"/>
        </w:rPr>
        <w:t>星号（“</w:t>
      </w:r>
      <w:r>
        <w:rPr>
          <w:rFonts w:hint="eastAsia" w:ascii="宋体" w:hAnsi="宋体" w:cs="宋体"/>
          <w:b/>
          <w:bCs/>
          <w:color w:val="auto"/>
          <w:highlight w:val="none"/>
        </w:rPr>
        <w:t>*</w:t>
      </w:r>
      <w:r>
        <w:rPr>
          <w:rFonts w:hint="eastAsia" w:ascii="宋体" w:hAnsi="宋体" w:cs="宋体"/>
          <w:b/>
          <w:bCs/>
          <w:color w:val="auto"/>
          <w:kern w:val="0"/>
          <w:szCs w:val="21"/>
          <w:highlight w:val="none"/>
        </w:rPr>
        <w:t>”）的技术条款必须在投标文件中提供技术支持资料（如白皮书、彩页、手册、检测报告等），未提供技术支持资料的，视为未对招标文件实质性要求作出响应，评审时不予认可。</w:t>
      </w:r>
    </w:p>
    <w:p w14:paraId="76350C05">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8.2 投标文件由商务、技术、价格以及其他部分内容组成。投标文件目录及有关格式按招标文件“第六章 投标文件格式及附件”的要求编制。</w:t>
      </w:r>
    </w:p>
    <w:p w14:paraId="6C1B233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9、投标文件的商务内容</w:t>
      </w:r>
    </w:p>
    <w:p w14:paraId="6822B12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9.1商务部分内容是证明投标人有资格参加投标和中标后有能力履行合同的文件，这些文件应能满足招标的要求，包括但不限于下列文件：</w:t>
      </w:r>
    </w:p>
    <w:p w14:paraId="15F2D340">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（1）投标函（投标申请及声明）</w:t>
      </w:r>
      <w:r>
        <w:rPr>
          <w:rFonts w:hint="eastAsia" w:ascii="宋体" w:hAnsi="宋体" w:cs="宋体"/>
          <w:bCs/>
          <w:color w:val="auto"/>
          <w:szCs w:val="21"/>
          <w:highlight w:val="none"/>
        </w:rPr>
        <w:t>（</w:t>
      </w:r>
      <w:r>
        <w:rPr>
          <w:rFonts w:hint="eastAsia" w:ascii="宋体" w:hAnsi="宋体" w:cs="宋体"/>
          <w:b/>
          <w:bCs/>
          <w:color w:val="auto"/>
          <w:szCs w:val="21"/>
          <w:highlight w:val="none"/>
        </w:rPr>
        <w:t>格式见第六章</w:t>
      </w:r>
      <w:r>
        <w:rPr>
          <w:rFonts w:hint="eastAsia" w:ascii="宋体" w:hAnsi="宋体" w:cs="宋体"/>
          <w:bCs/>
          <w:color w:val="auto"/>
          <w:szCs w:val="21"/>
          <w:highlight w:val="none"/>
        </w:rPr>
        <w:t>）</w:t>
      </w:r>
      <w:r>
        <w:rPr>
          <w:rFonts w:hint="eastAsia" w:ascii="宋体" w:hAnsi="宋体" w:cs="宋体"/>
          <w:color w:val="auto"/>
          <w:kern w:val="0"/>
          <w:szCs w:val="21"/>
          <w:highlight w:val="none"/>
        </w:rPr>
        <w:t>；</w:t>
      </w:r>
    </w:p>
    <w:p w14:paraId="1F9F0CED">
      <w:pPr>
        <w:widowControl/>
        <w:shd w:val="clear" w:color="auto" w:fill="FFFFFF"/>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（2）法定代表人授权书及委托代理人的身份证明文件的复印件</w:t>
      </w:r>
      <w:r>
        <w:rPr>
          <w:rFonts w:hint="eastAsia" w:ascii="宋体" w:hAnsi="宋体" w:cs="宋体"/>
          <w:bCs/>
          <w:color w:val="auto"/>
          <w:szCs w:val="21"/>
          <w:highlight w:val="none"/>
        </w:rPr>
        <w:t>（</w:t>
      </w:r>
      <w:r>
        <w:rPr>
          <w:rFonts w:hint="eastAsia" w:ascii="宋体" w:hAnsi="宋体" w:cs="宋体"/>
          <w:b/>
          <w:bCs/>
          <w:color w:val="auto"/>
          <w:szCs w:val="21"/>
          <w:highlight w:val="none"/>
        </w:rPr>
        <w:t>格式见第六章</w:t>
      </w:r>
      <w:r>
        <w:rPr>
          <w:rFonts w:hint="eastAsia" w:ascii="宋体" w:hAnsi="宋体" w:cs="宋体"/>
          <w:bCs/>
          <w:color w:val="auto"/>
          <w:szCs w:val="21"/>
          <w:highlight w:val="none"/>
        </w:rPr>
        <w:t>）</w:t>
      </w:r>
      <w:r>
        <w:rPr>
          <w:rFonts w:hint="eastAsia" w:ascii="宋体" w:hAnsi="宋体" w:cs="宋体"/>
          <w:color w:val="auto"/>
          <w:kern w:val="0"/>
          <w:szCs w:val="21"/>
          <w:highlight w:val="none"/>
        </w:rPr>
        <w:t>；</w:t>
      </w:r>
    </w:p>
    <w:p w14:paraId="33BFAF4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（3）投标人资格资信证明文件：</w:t>
      </w:r>
    </w:p>
    <w:p w14:paraId="5BB4D039">
      <w:pPr>
        <w:pStyle w:val="141"/>
        <w:numPr>
          <w:ilvl w:val="1"/>
          <w:numId w:val="3"/>
        </w:numPr>
        <w:tabs>
          <w:tab w:val="left" w:pos="840"/>
          <w:tab w:val="clear" w:pos="990"/>
        </w:tabs>
        <w:spacing w:line="360" w:lineRule="auto"/>
        <w:ind w:left="0" w:firstLine="367" w:firstLineChars="175"/>
        <w:rPr>
          <w:rFonts w:hint="eastAsia" w:ascii="宋体" w:hAnsi="宋体" w:cs="宋体"/>
          <w:bCs/>
          <w:color w:val="auto"/>
          <w:szCs w:val="21"/>
          <w:highlight w:val="none"/>
        </w:rPr>
      </w:pPr>
      <w:r>
        <w:rPr>
          <w:rFonts w:hint="eastAsia" w:ascii="宋体" w:hAnsi="宋体" w:cs="宋体"/>
          <w:bCs/>
          <w:color w:val="auto"/>
          <w:szCs w:val="21"/>
          <w:highlight w:val="none"/>
        </w:rPr>
        <w:t>第一章招标公告中 2.1规定的条件证明文件；</w:t>
      </w:r>
    </w:p>
    <w:p w14:paraId="4EAAE07F">
      <w:pPr>
        <w:pStyle w:val="141"/>
        <w:numPr>
          <w:ilvl w:val="1"/>
          <w:numId w:val="3"/>
        </w:numPr>
        <w:tabs>
          <w:tab w:val="left" w:pos="840"/>
          <w:tab w:val="clear" w:pos="990"/>
        </w:tabs>
        <w:spacing w:line="360" w:lineRule="auto"/>
        <w:ind w:left="0" w:firstLine="367" w:firstLineChars="175"/>
        <w:rPr>
          <w:rFonts w:hint="eastAsia" w:ascii="宋体" w:hAnsi="宋体" w:cs="宋体"/>
          <w:bCs/>
          <w:color w:val="auto"/>
          <w:szCs w:val="21"/>
          <w:highlight w:val="none"/>
        </w:rPr>
      </w:pPr>
      <w:r>
        <w:rPr>
          <w:rFonts w:hint="eastAsia" w:ascii="宋体" w:hAnsi="宋体" w:cs="宋体"/>
          <w:bCs/>
          <w:color w:val="auto"/>
          <w:szCs w:val="21"/>
          <w:highlight w:val="none"/>
        </w:rPr>
        <w:t>第一章招标公告中 2.2 采购人根据采购项目的特殊要求规定的特定条件证明文件。</w:t>
      </w:r>
    </w:p>
    <w:p w14:paraId="0C73353E">
      <w:pPr>
        <w:widowControl/>
        <w:shd w:val="clear" w:color="auto" w:fill="FFFFFF"/>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bCs/>
          <w:color w:val="auto"/>
          <w:szCs w:val="21"/>
          <w:highlight w:val="none"/>
        </w:rPr>
        <w:t>（4）开标一览表及附表（</w:t>
      </w:r>
      <w:r>
        <w:rPr>
          <w:rFonts w:hint="eastAsia" w:ascii="宋体" w:hAnsi="宋体" w:cs="宋体"/>
          <w:b/>
          <w:bCs/>
          <w:color w:val="auto"/>
          <w:szCs w:val="21"/>
          <w:highlight w:val="none"/>
        </w:rPr>
        <w:t>格式见第六章</w:t>
      </w:r>
      <w:r>
        <w:rPr>
          <w:rFonts w:hint="eastAsia" w:ascii="宋体" w:hAnsi="宋体" w:cs="宋体"/>
          <w:bCs/>
          <w:color w:val="auto"/>
          <w:szCs w:val="21"/>
          <w:highlight w:val="none"/>
        </w:rPr>
        <w:t>）；</w:t>
      </w:r>
    </w:p>
    <w:p w14:paraId="3ACE3B7A">
      <w:pPr>
        <w:widowControl/>
        <w:shd w:val="clear" w:color="auto" w:fill="FFFFFF"/>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（5）投标人缴纳投标保证金凭证（如果有）；</w:t>
      </w:r>
    </w:p>
    <w:p w14:paraId="14CC9AC1">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（6）《商务条款偏离表》；</w:t>
      </w:r>
    </w:p>
    <w:p w14:paraId="08599304">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（7）第三章评标标准中对应的所需证明材料（如有自行添加）；</w:t>
      </w:r>
    </w:p>
    <w:p w14:paraId="6F69BD11">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（8）要求采购人提供的配合（如有自拟并自行添加）；</w:t>
      </w:r>
    </w:p>
    <w:p w14:paraId="4687335B">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（9）其它（投标人认为有必要提供的声明和文件，如有，自行拟定并添加）。</w:t>
      </w:r>
    </w:p>
    <w:p w14:paraId="4BC9FF67">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10、投标文件的技术内容</w:t>
      </w:r>
    </w:p>
    <w:p w14:paraId="1F57E7FD">
      <w:pPr>
        <w:widowControl/>
        <w:adjustRightInd w:val="0"/>
        <w:spacing w:line="360" w:lineRule="auto"/>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技术部分</w:t>
      </w:r>
      <w:r>
        <w:rPr>
          <w:rFonts w:hint="eastAsia" w:ascii="宋体" w:hAnsi="宋体" w:cs="宋体"/>
          <w:color w:val="auto"/>
          <w:kern w:val="0"/>
          <w:szCs w:val="21"/>
          <w:highlight w:val="none"/>
        </w:rPr>
        <w:t>内容</w:t>
      </w:r>
      <w:r>
        <w:rPr>
          <w:rFonts w:hint="eastAsia" w:ascii="宋体" w:hAnsi="宋体" w:cs="宋体"/>
          <w:color w:val="auto"/>
          <w:szCs w:val="21"/>
          <w:highlight w:val="none"/>
          <w:lang w:val="zh-CN"/>
        </w:rPr>
        <w:t>是证明</w:t>
      </w:r>
      <w:r>
        <w:rPr>
          <w:rFonts w:hint="eastAsia" w:ascii="宋体" w:hAnsi="宋体" w:cs="宋体"/>
          <w:color w:val="auto"/>
          <w:szCs w:val="21"/>
          <w:highlight w:val="none"/>
        </w:rPr>
        <w:t>投标人提供的货物和服务是合格的、并符合招标文件要求的证明文件，以及</w:t>
      </w:r>
      <w:r>
        <w:rPr>
          <w:rFonts w:hint="eastAsia" w:ascii="宋体" w:hAnsi="宋体" w:cs="宋体"/>
          <w:color w:val="auto"/>
          <w:szCs w:val="21"/>
          <w:highlight w:val="none"/>
          <w:lang w:val="zh-CN"/>
        </w:rPr>
        <w:t>对货物和服务的详细说明</w:t>
      </w:r>
      <w:r>
        <w:rPr>
          <w:rFonts w:hint="eastAsia" w:ascii="宋体" w:hAnsi="宋体" w:cs="宋体"/>
          <w:color w:val="auto"/>
          <w:kern w:val="0"/>
          <w:szCs w:val="21"/>
          <w:highlight w:val="none"/>
          <w:lang w:val="zh-CN"/>
        </w:rPr>
        <w:t>，这些文件可以是文字资料、图纸、数据</w:t>
      </w:r>
      <w:r>
        <w:rPr>
          <w:rFonts w:hint="eastAsia" w:ascii="宋体" w:hAnsi="宋体" w:cs="宋体"/>
          <w:color w:val="auto"/>
          <w:kern w:val="0"/>
          <w:szCs w:val="21"/>
          <w:highlight w:val="none"/>
        </w:rPr>
        <w:t>或其他证明文件</w:t>
      </w:r>
      <w:r>
        <w:rPr>
          <w:rFonts w:hint="eastAsia" w:ascii="宋体" w:hAnsi="宋体" w:cs="宋体"/>
          <w:color w:val="auto"/>
          <w:kern w:val="0"/>
          <w:szCs w:val="21"/>
          <w:highlight w:val="none"/>
          <w:lang w:val="zh-CN"/>
        </w:rPr>
        <w:t>等。</w:t>
      </w:r>
      <w:r>
        <w:rPr>
          <w:rFonts w:hint="eastAsia" w:ascii="宋体" w:hAnsi="宋体" w:cs="宋体"/>
          <w:color w:val="auto"/>
          <w:szCs w:val="21"/>
          <w:highlight w:val="none"/>
          <w:lang w:val="zh-CN"/>
        </w:rPr>
        <w:t>提供的货物和服务如与招标文件要求有不符之处，应说明其差别之所在。包括但不限于下列文件：</w:t>
      </w:r>
    </w:p>
    <w:p w14:paraId="0A6B9906">
      <w:pPr>
        <w:widowControl/>
        <w:adjustRightIn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（1）技术说明或服务方案；</w:t>
      </w:r>
    </w:p>
    <w:p w14:paraId="5CDA32ED">
      <w:pPr>
        <w:widowControl/>
        <w:adjustRightIn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（2）《采购需求偏离表》；</w:t>
      </w:r>
    </w:p>
    <w:p w14:paraId="39E08D55">
      <w:pPr>
        <w:widowControl/>
        <w:adjustRightIn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（3）服务承诺；</w:t>
      </w:r>
    </w:p>
    <w:p w14:paraId="769ACA8B">
      <w:pPr>
        <w:widowControl/>
        <w:adjustRightIn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（4）投标人拟投入本项目的设备、人员情况一览表；</w:t>
      </w:r>
    </w:p>
    <w:p w14:paraId="2B594071">
      <w:pPr>
        <w:widowControl/>
        <w:adjustRightInd w:val="0"/>
        <w:spacing w:line="360" w:lineRule="auto"/>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（5）投标人认为需要提供的其他技术资料。</w:t>
      </w:r>
    </w:p>
    <w:p w14:paraId="1A09F1F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11、投标文件的价格内容</w:t>
      </w:r>
    </w:p>
    <w:p w14:paraId="0A944C14">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11.1价格部分内容是对采购标的价格构成的说明，招标文件如无特别说明，每一项货物及服务仅接受一个价格。</w:t>
      </w:r>
    </w:p>
    <w:p w14:paraId="7637495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11.2报价应包含为履行本项目合同项下所有义务的全部含税费用（包括但不限于</w:t>
      </w:r>
      <w:r>
        <w:rPr>
          <w:rFonts w:hint="eastAsia" w:ascii="宋体" w:hAnsi="宋体" w:cs="宋体"/>
          <w:color w:val="auto"/>
          <w:szCs w:val="21"/>
          <w:highlight w:val="none"/>
        </w:rPr>
        <w:t>货物设计、制造、包装、仓储、运输装缷、保险、安装、调试及其材料及验收合格之前保管及保修期内备品备件、专用工具、伴随服务、技术图纸资料、人员培训发生的所有含税费用、支付给员工的工资和国家强制缴纳的各种社会保障资金</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w:t>
      </w:r>
      <w:r>
        <w:rPr>
          <w:rFonts w:hint="eastAsia" w:ascii="宋体" w:hAnsi="宋体" w:cs="宋体"/>
          <w:bCs/>
          <w:color w:val="auto"/>
          <w:szCs w:val="21"/>
          <w:highlight w:val="none"/>
        </w:rPr>
        <w:t>以</w:t>
      </w:r>
      <w:r>
        <w:rPr>
          <w:rFonts w:hint="eastAsia" w:ascii="宋体" w:hAnsi="宋体" w:cs="宋体"/>
          <w:color w:val="auto"/>
          <w:szCs w:val="21"/>
          <w:highlight w:val="none"/>
        </w:rPr>
        <w:t>及投标人认为需要的其他费用等</w:t>
      </w:r>
      <w:r>
        <w:rPr>
          <w:rFonts w:hint="eastAsia" w:ascii="宋体" w:hAnsi="宋体" w:cs="宋体"/>
          <w:b/>
          <w:color w:val="auto"/>
          <w:szCs w:val="21"/>
          <w:highlight w:val="none"/>
        </w:rPr>
        <w:t>。</w:t>
      </w:r>
    </w:p>
    <w:p w14:paraId="4205AA0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11.3投标人的任何错漏、优惠、竞争性报价不得作为减轻责任、减少服务、增加收费、降低质量的理由。</w:t>
      </w:r>
    </w:p>
    <w:p w14:paraId="6E57DE1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ascii="宋体" w:hAnsi="宋体" w:cs="宋体"/>
          <w:b/>
          <w:bCs/>
          <w:color w:val="auto"/>
          <w:kern w:val="0"/>
          <w:szCs w:val="21"/>
          <w:highlight w:val="none"/>
        </w:rPr>
        <w:t>无效投标处理</w:t>
      </w:r>
      <w:r>
        <w:rPr>
          <w:rFonts w:hint="eastAsia" w:ascii="宋体" w:hAnsi="宋体" w:cs="宋体"/>
          <w:color w:val="auto"/>
          <w:kern w:val="0"/>
          <w:szCs w:val="21"/>
          <w:highlight w:val="none"/>
        </w:rPr>
        <w:t>。</w:t>
      </w:r>
    </w:p>
    <w:p w14:paraId="3BEF6674">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11.5 投标人应在《开标一览表》《分项报价表》等标明投标货物和服务的单价、总价以及分项报价等。</w:t>
      </w:r>
    </w:p>
    <w:p w14:paraId="6A3A4B2D">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color w:val="auto"/>
          <w:kern w:val="0"/>
          <w:szCs w:val="21"/>
          <w:highlight w:val="none"/>
        </w:rPr>
        <w:t>11.6 《开标一览表》一式两份，一份装订在投标文件中，一份单独封装，并标明“开标一览表”字样，随投标文件一并递交，以便唱标时使用。</w:t>
      </w:r>
      <w:r>
        <w:rPr>
          <w:rFonts w:hint="eastAsia" w:ascii="宋体" w:hAnsi="宋体" w:cs="宋体"/>
          <w:b/>
          <w:bCs/>
          <w:color w:val="auto"/>
          <w:kern w:val="0"/>
          <w:szCs w:val="21"/>
          <w:highlight w:val="none"/>
        </w:rPr>
        <w:t>如两份开标一览表中的投标报价不一致，视为提交备选投标报价，作无效投标处理。</w:t>
      </w:r>
    </w:p>
    <w:p w14:paraId="5962F1C9">
      <w:pPr>
        <w:widowControl/>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11.7本项目预算为：详见第一章</w:t>
      </w:r>
      <w:r>
        <w:rPr>
          <w:rFonts w:hint="eastAsia" w:ascii="宋体" w:hAnsi="宋体" w:cs="宋体"/>
          <w:bCs/>
          <w:color w:val="auto"/>
          <w:kern w:val="0"/>
          <w:szCs w:val="21"/>
          <w:highlight w:val="none"/>
        </w:rPr>
        <w:t>。</w:t>
      </w:r>
    </w:p>
    <w:p w14:paraId="43E2903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12、投标文件的其他部分</w:t>
      </w:r>
    </w:p>
    <w:p w14:paraId="65C2C8B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12.1 其他部分由投标人根据编制投标文件需要提供的其他相关文件组成。</w:t>
      </w:r>
    </w:p>
    <w:p w14:paraId="7C9C2784">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13、投标保证金（本项目不需要缴纳投标保证金）</w:t>
      </w:r>
    </w:p>
    <w:p w14:paraId="0DA4F4E2">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14、投标有效期</w:t>
      </w:r>
    </w:p>
    <w:p w14:paraId="0C53346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14.1 自开标之日起</w:t>
      </w:r>
      <w:r>
        <w:rPr>
          <w:rFonts w:hint="eastAsia" w:ascii="宋体" w:hAnsi="宋体" w:cs="宋体"/>
          <w:b/>
          <w:color w:val="auto"/>
          <w:kern w:val="0"/>
          <w:szCs w:val="21"/>
          <w:highlight w:val="none"/>
        </w:rPr>
        <w:t>90</w:t>
      </w:r>
      <w:r>
        <w:rPr>
          <w:rFonts w:hint="eastAsia" w:ascii="宋体" w:hAnsi="宋体" w:cs="宋体"/>
          <w:color w:val="auto"/>
          <w:kern w:val="0"/>
          <w:szCs w:val="21"/>
          <w:highlight w:val="none"/>
        </w:rPr>
        <w:t>天内投标有效</w:t>
      </w:r>
      <w:r>
        <w:rPr>
          <w:rFonts w:hint="eastAsia" w:ascii="宋体" w:hAnsi="宋体" w:cs="宋体"/>
          <w:b/>
          <w:color w:val="auto"/>
          <w:highlight w:val="none"/>
        </w:rPr>
        <w:t>，投标有效期从提交投标文件的截止之日起算。投标文件中承诺的投标有效期应当不少于招标文件中载明的投标有效期。</w:t>
      </w:r>
    </w:p>
    <w:p w14:paraId="6F0D428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14.2 特殊情况下，在原投标有效期截止之前，采购代理机构可要求投标人同意延长投标有效期，这种要求与答复均应以书面形式提交。投标人可拒绝这种要求，并且不影响投标保证金的退还。接受延长投标有效期的投标人将不会要求和允许修正其投标，而只会被要求相应地延长其投标保证金的有效期。在这种情况下，有关投标保证金的退还规定在延长了的有效期内继续有效。</w:t>
      </w:r>
    </w:p>
    <w:p w14:paraId="6ABD43D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15、投标文件签署</w:t>
      </w:r>
    </w:p>
    <w:p w14:paraId="79DFE45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15.1 投标文件的正本和副本均应由投标人法定代表人或经正式授权并对投标人有约束力的委托代理人签字，如果它们之间内容有差异，则以正本为准。</w:t>
      </w:r>
    </w:p>
    <w:p w14:paraId="1D47027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16、投标费用</w:t>
      </w:r>
    </w:p>
    <w:p w14:paraId="48377A6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16.1 投标人应承担所有与准备和参加投标有关的费用，无论招标结果如何，采购代理机构和采购人在任何情况下均无义务和责任承担这些费用。</w:t>
      </w:r>
    </w:p>
    <w:p w14:paraId="135FD16F">
      <w:pPr>
        <w:widowControl/>
        <w:shd w:val="clear" w:color="auto" w:fill="FFFFFF"/>
        <w:spacing w:line="360" w:lineRule="auto"/>
        <w:ind w:firstLine="420"/>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rPr>
        <w:t>16.2 招标代理服务费：本次招标，中标人参照《招标代理服务费管理暂行办法》（国家发展计划委员会计价格【2002】1980号）</w:t>
      </w:r>
      <w:r>
        <w:rPr>
          <w:rFonts w:hint="eastAsia" w:ascii="宋体" w:hAnsi="宋体" w:cs="宋体"/>
          <w:b/>
          <w:color w:val="auto"/>
          <w:kern w:val="0"/>
          <w:szCs w:val="21"/>
          <w:highlight w:val="none"/>
          <w:lang w:eastAsia="zh-CN"/>
        </w:rPr>
        <w:t>代理服务招标收费基准费率50%计算，在领取中标通知书前向采购代理机构支付招标服务费。</w:t>
      </w:r>
      <w:r>
        <w:rPr>
          <w:rFonts w:hint="eastAsia" w:ascii="宋体" w:hAnsi="宋体" w:cs="宋体"/>
          <w:b/>
          <w:color w:val="auto"/>
          <w:kern w:val="0"/>
          <w:szCs w:val="21"/>
          <w:highlight w:val="none"/>
        </w:rPr>
        <w:t>本项费用无需在投标报价表中单列。本项目专家评审费由招标人支付。</w:t>
      </w:r>
    </w:p>
    <w:p w14:paraId="5DF2472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四、投标文件的递交</w:t>
      </w:r>
    </w:p>
    <w:p w14:paraId="32A03CA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17、投标文件的密封和递交</w:t>
      </w:r>
    </w:p>
    <w:p w14:paraId="4843567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17.1</w:t>
      </w:r>
      <w:r>
        <w:rPr>
          <w:rFonts w:hint="eastAsia" w:ascii="宋体" w:hAnsi="宋体" w:cs="宋体"/>
          <w:b/>
          <w:bCs/>
          <w:color w:val="auto"/>
          <w:kern w:val="0"/>
          <w:szCs w:val="21"/>
          <w:highlight w:val="none"/>
        </w:rPr>
        <w:t>投标人的</w:t>
      </w:r>
      <w:r>
        <w:rPr>
          <w:rFonts w:hint="eastAsia" w:ascii="宋体" w:hAnsi="宋体" w:cs="宋体"/>
          <w:b/>
          <w:color w:val="auto"/>
          <w:highlight w:val="none"/>
        </w:rPr>
        <w:t>所有投标文件均应密封后递交，同时应提供电子版投标文件</w:t>
      </w:r>
      <w:r>
        <w:rPr>
          <w:rFonts w:hint="eastAsia" w:ascii="宋体" w:hAnsi="宋体" w:cs="宋体"/>
          <w:b/>
          <w:color w:val="auto"/>
          <w:szCs w:val="21"/>
          <w:highlight w:val="none"/>
        </w:rPr>
        <w:t>壹份（电子版须为投标文件正本加盖公章、签字后形成PDF扫描件，扫描件内容应与纸质投标文件正本完全一致、U盘形式（单独封装）、随纸质正本文件一并提交）</w:t>
      </w:r>
      <w:r>
        <w:rPr>
          <w:rFonts w:hint="eastAsia" w:ascii="宋体" w:hAnsi="宋体" w:cs="宋体"/>
          <w:b/>
          <w:color w:val="auto"/>
          <w:highlight w:val="none"/>
        </w:rPr>
        <w:t>。</w:t>
      </w:r>
      <w:r>
        <w:rPr>
          <w:rFonts w:hint="eastAsia" w:ascii="宋体" w:hAnsi="宋体" w:cs="宋体"/>
          <w:color w:val="auto"/>
          <w:highlight w:val="none"/>
        </w:rPr>
        <w:t>当电子版文件和纸质正本文件不一致时，以纸质正本文件为准。</w:t>
      </w:r>
      <w:r>
        <w:rPr>
          <w:rFonts w:hint="eastAsia" w:ascii="宋体" w:hAnsi="宋体" w:cs="宋体"/>
          <w:color w:val="auto"/>
          <w:kern w:val="0"/>
          <w:szCs w:val="21"/>
          <w:highlight w:val="none"/>
        </w:rPr>
        <w:t>每套投标文件须清楚标明“正本”、“副本”。</w:t>
      </w:r>
      <w:r>
        <w:rPr>
          <w:rFonts w:hint="eastAsia" w:ascii="宋体" w:hAnsi="宋体" w:cs="宋体"/>
          <w:color w:val="auto"/>
          <w:highlight w:val="none"/>
        </w:rPr>
        <w:t>如果它们之间内容有差异，以正本为准。</w:t>
      </w:r>
    </w:p>
    <w:p w14:paraId="5A59DD5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17.2 </w:t>
      </w:r>
      <w:r>
        <w:rPr>
          <w:rFonts w:hint="eastAsia" w:ascii="宋体" w:hAnsi="宋体" w:cs="宋体"/>
          <w:b/>
          <w:color w:val="auto"/>
          <w:highlight w:val="none"/>
        </w:rPr>
        <w:t>投标文件正本和所有副本均需打印或用不褪色墨水书写，并由投标人的法定代表人或授权代表签字（或签章）并在招标文件中注明须加盖公章的地方加盖公章，如为授权代表签字的应附“法定代表人授权书”，正本必须为原件，但投标人的相关证明文件可采用复印件，采用复印件的，评标委员会认为需要时，投标人应提供原件供核对。</w:t>
      </w:r>
    </w:p>
    <w:p w14:paraId="448E1E7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17.3 投标文件不应有涂改、增删之处，如必须修改时，修改处必须有投标人法定代表人或授权代表签字（或签章），同时加盖投标人公章。</w:t>
      </w:r>
    </w:p>
    <w:p w14:paraId="1B33815E">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highlight w:val="none"/>
        </w:rPr>
        <w:t>17.4投标文件提倡按照A4幅面打印或复印并进行装订，如有资料超过A4幅面折叠成A4幅面；投标文件装订提倡采用胶装的形式。</w:t>
      </w:r>
    </w:p>
    <w:p w14:paraId="21F6A73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17.5 </w:t>
      </w:r>
      <w:r>
        <w:rPr>
          <w:rFonts w:hint="eastAsia" w:ascii="宋体" w:hAnsi="宋体" w:cs="宋体"/>
          <w:b/>
          <w:bCs/>
          <w:color w:val="auto"/>
          <w:kern w:val="0"/>
          <w:szCs w:val="21"/>
          <w:highlight w:val="none"/>
        </w:rPr>
        <w:t>投标人应当在招标文件要求提交投标文件的截止时间前，将投标文件密封送达投标地点。</w:t>
      </w:r>
      <w:r>
        <w:rPr>
          <w:rFonts w:hint="eastAsia" w:ascii="宋体" w:hAnsi="宋体" w:cs="宋体"/>
          <w:color w:val="auto"/>
          <w:kern w:val="0"/>
          <w:szCs w:val="21"/>
          <w:highlight w:val="none"/>
        </w:rPr>
        <w:t>任何单位和个人不得在开标前开启投标文件。</w:t>
      </w:r>
    </w:p>
    <w:p w14:paraId="0E7A18C4">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18、有下列情形的投标文件将被拒收：</w:t>
      </w:r>
    </w:p>
    <w:p w14:paraId="7D14CF9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18.1逾期送达的；</w:t>
      </w:r>
    </w:p>
    <w:p w14:paraId="226DFE59">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18.2未按照招标文件要求密封的。</w:t>
      </w:r>
    </w:p>
    <w:p w14:paraId="70C3724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19、投标文件的修改和撤回</w:t>
      </w:r>
    </w:p>
    <w:p w14:paraId="1503CE6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19.1投标人在投标截止时间前，可以对所递交的投标文件进行补充、修改或者撤回，并书面通知采购人或者采购代理机构。补充、修改的内容应当按照招标文件要求签署、盖章、密封后，作为投标文件的组成部分。</w:t>
      </w:r>
    </w:p>
    <w:p w14:paraId="4E114F4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19.2 投标截止时间之后，投标文件不得撤回；如撤回，投标保证金不予退还。</w:t>
      </w:r>
    </w:p>
    <w:p w14:paraId="091A5FA9">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20、诚实信用</w:t>
      </w:r>
    </w:p>
    <w:p w14:paraId="53D4913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20.1投标人应当遵循公平竞争的原则，不得恶意串通，不得妨碍其他投标人的竞争行为，不得损害采购人或者其他投标人的合法权益。</w:t>
      </w:r>
    </w:p>
    <w:p w14:paraId="1CD3B50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20.2在评标过程中发现投标人有上述情形的，评标委员会应当认定其投标无效，并书面报告</w:t>
      </w:r>
      <w:r>
        <w:rPr>
          <w:rFonts w:hint="eastAsia" w:ascii="宋体" w:hAnsi="宋体" w:cs="宋体"/>
          <w:color w:val="auto"/>
          <w:kern w:val="0"/>
          <w:szCs w:val="21"/>
          <w:highlight w:val="none"/>
          <w:lang w:val="en-US" w:eastAsia="zh-CN"/>
        </w:rPr>
        <w:t>采购人</w:t>
      </w:r>
      <w:r>
        <w:rPr>
          <w:rFonts w:hint="eastAsia" w:ascii="宋体" w:hAnsi="宋体" w:cs="宋体"/>
          <w:color w:val="auto"/>
          <w:kern w:val="0"/>
          <w:szCs w:val="21"/>
          <w:highlight w:val="none"/>
        </w:rPr>
        <w:t>。</w:t>
      </w:r>
    </w:p>
    <w:p w14:paraId="00D3F94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五、开标、评标与定标</w:t>
      </w:r>
    </w:p>
    <w:p w14:paraId="33FB02F5">
      <w:pPr>
        <w:widowControl/>
        <w:shd w:val="clear" w:color="auto" w:fill="FFFFFF"/>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21、开标</w:t>
      </w:r>
    </w:p>
    <w:p w14:paraId="2069C771">
      <w:pPr>
        <w:widowControl/>
        <w:shd w:val="clear" w:color="auto" w:fill="FFFFFF"/>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21.1 </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将在招标文件确定的时间和地点进行公开开标。投标人应委派代表准时参加，参加开标的代表须签名报到以证明其出席。</w:t>
      </w:r>
    </w:p>
    <w:p w14:paraId="5D15EBDE">
      <w:pPr>
        <w:widowControl/>
        <w:shd w:val="clear" w:color="auto" w:fill="FFFFFF"/>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21.2开标时，应当由投标人或者其推选的代表检查投标文件的密封情况；经确认无误后，由</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或者</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工作人员当众拆封，宣布投标人名称、投标价格和招标文件规定的需要宣布的其他内容。</w:t>
      </w:r>
    </w:p>
    <w:p w14:paraId="5D50AA34">
      <w:pPr>
        <w:widowControl/>
        <w:shd w:val="clear" w:color="auto" w:fill="FFFFFF"/>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21.3投标人不足3家的，不得开标。</w:t>
      </w:r>
    </w:p>
    <w:p w14:paraId="78D05B05">
      <w:pPr>
        <w:widowControl/>
        <w:shd w:val="clear" w:color="auto" w:fill="FFFFFF"/>
        <w:spacing w:line="360" w:lineRule="auto"/>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21.4开标过程由</w:t>
      </w:r>
      <w:r>
        <w:rPr>
          <w:rFonts w:hint="eastAsia" w:ascii="宋体" w:hAnsi="宋体" w:eastAsia="宋体" w:cs="宋体"/>
          <w:color w:val="auto"/>
          <w:kern w:val="0"/>
          <w:szCs w:val="21"/>
          <w:highlight w:val="none"/>
          <w:lang w:eastAsia="zh-CN"/>
        </w:rPr>
        <w:t>采购代理机构</w:t>
      </w:r>
      <w:r>
        <w:rPr>
          <w:rFonts w:hint="eastAsia" w:ascii="宋体" w:hAnsi="宋体" w:eastAsia="宋体" w:cs="宋体"/>
          <w:color w:val="auto"/>
          <w:kern w:val="0"/>
          <w:szCs w:val="21"/>
          <w:highlight w:val="none"/>
        </w:rPr>
        <w:t>负责记录，由参加开标的各投标人代表和相关工作人员签字确认后随招标文件一并存档。</w:t>
      </w:r>
    </w:p>
    <w:p w14:paraId="60415CD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投标人代表对开标过程和开标记录有疑义，以及认为</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相关工作人员有需要回避的情形的，应当场提出询问或者回避申请。</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对投标人代表提出的询问或者回避申请及时处理。</w:t>
      </w:r>
    </w:p>
    <w:p w14:paraId="244659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21.5投标人未参加开标的，视同认可开标结果。</w:t>
      </w:r>
    </w:p>
    <w:p w14:paraId="1FF9548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21.6本次采购已进行过两次或以上公开采购，如投标文件递交截止时间止只有2家或1家单位递交文件，则不进行公开唱标。如投标文件递交截止时间止只有2家单位递交文件或通过符合性审查单位只有2家，则可以按文件评审办法进行磋商采购（也可终止采购），如投标文件递交截止时间止仅有1家单位递交文件或通过符合性审查单位仅有1家，则采购人可以与该单位进行谈判采购（也可终止采购）。</w:t>
      </w:r>
      <w:bookmarkStart w:id="35" w:name="_GoBack"/>
      <w:bookmarkEnd w:id="35"/>
    </w:p>
    <w:p w14:paraId="0C047AC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22、评标</w:t>
      </w:r>
    </w:p>
    <w:p w14:paraId="22E6415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22.1 评标委员会</w:t>
      </w:r>
    </w:p>
    <w:p w14:paraId="766475EC">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
          <w:bCs/>
          <w:color w:val="auto"/>
          <w:kern w:val="0"/>
          <w:szCs w:val="21"/>
          <w:highlight w:val="none"/>
        </w:rPr>
        <w:t>22.1.1</w:t>
      </w:r>
      <w:r>
        <w:rPr>
          <w:rFonts w:hint="eastAsia" w:ascii="宋体" w:hAnsi="宋体" w:cs="宋体"/>
          <w:bCs/>
          <w:color w:val="auto"/>
          <w:kern w:val="0"/>
          <w:szCs w:val="21"/>
          <w:highlight w:val="none"/>
        </w:rPr>
        <w:t>评标委员会负责具体评标事务，并独立履行下列职责：</w:t>
      </w:r>
    </w:p>
    <w:p w14:paraId="070CD31A">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（一）审查、评价投标文件是否符合招标文件的商务、技术等实质性要求；</w:t>
      </w:r>
    </w:p>
    <w:p w14:paraId="120B435F">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（二）要求投标人对投标文件有关事项作出澄清或者说明；</w:t>
      </w:r>
    </w:p>
    <w:p w14:paraId="55244C75">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（三）对投标文件进行比较和评价；</w:t>
      </w:r>
    </w:p>
    <w:p w14:paraId="6C960024">
      <w:pPr>
        <w:widowControl/>
        <w:shd w:val="clear" w:color="auto" w:fill="FFFFFF"/>
        <w:spacing w:line="360" w:lineRule="auto"/>
        <w:ind w:firstLine="42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（四）确定中标候选人名单，以及根据采购人委托直接确定中标人；</w:t>
      </w:r>
    </w:p>
    <w:p w14:paraId="51904489">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Cs/>
          <w:color w:val="auto"/>
          <w:kern w:val="0"/>
          <w:szCs w:val="21"/>
          <w:highlight w:val="none"/>
        </w:rPr>
        <w:t>（五）向采购人、采购代理机构或者有关部门报告评标中发现的违法行为。</w:t>
      </w:r>
    </w:p>
    <w:p w14:paraId="26A2257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 xml:space="preserve">22.1.2 </w:t>
      </w:r>
      <w:r>
        <w:rPr>
          <w:rFonts w:hint="eastAsia" w:ascii="宋体" w:hAnsi="宋体" w:cs="宋体"/>
          <w:color w:val="auto"/>
          <w:kern w:val="0"/>
          <w:szCs w:val="21"/>
          <w:highlight w:val="none"/>
        </w:rPr>
        <w:t>评标委员会由</w:t>
      </w:r>
      <w:r>
        <w:rPr>
          <w:rFonts w:hint="eastAsia" w:ascii="宋体" w:hAnsi="宋体" w:cs="宋体"/>
          <w:bCs/>
          <w:color w:val="auto"/>
          <w:kern w:val="0"/>
          <w:szCs w:val="21"/>
          <w:highlight w:val="none"/>
        </w:rPr>
        <w:t>采购人</w:t>
      </w:r>
      <w:r>
        <w:rPr>
          <w:rFonts w:hint="eastAsia" w:ascii="宋体" w:hAnsi="宋体" w:cs="宋体"/>
          <w:color w:val="auto"/>
          <w:kern w:val="0"/>
          <w:szCs w:val="21"/>
          <w:highlight w:val="none"/>
        </w:rPr>
        <w:t>代表和有关技术、经济等方面的专家组成，独立开展评审工作。</w:t>
      </w:r>
    </w:p>
    <w:p w14:paraId="358537ED">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22.2  评标程序</w:t>
      </w:r>
    </w:p>
    <w:p w14:paraId="52BF612E">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22.2.1 </w:t>
      </w:r>
      <w:r>
        <w:rPr>
          <w:rFonts w:hint="eastAsia" w:ascii="宋体" w:hAnsi="宋体" w:cs="宋体"/>
          <w:b/>
          <w:bCs/>
          <w:color w:val="auto"/>
          <w:kern w:val="0"/>
          <w:szCs w:val="21"/>
          <w:highlight w:val="none"/>
        </w:rPr>
        <w:t>投标文件的资格性检查。</w:t>
      </w:r>
      <w:r>
        <w:rPr>
          <w:rFonts w:hint="eastAsia" w:ascii="宋体" w:hAnsi="宋体" w:cs="宋体"/>
          <w:color w:val="auto"/>
          <w:kern w:val="0"/>
          <w:szCs w:val="21"/>
          <w:highlight w:val="none"/>
        </w:rPr>
        <w:t>公开招标采购项目开标结束后，</w:t>
      </w:r>
      <w:r>
        <w:rPr>
          <w:rFonts w:hint="eastAsia" w:ascii="宋体" w:hAnsi="宋体" w:cs="宋体"/>
          <w:color w:val="auto"/>
          <w:highlight w:val="none"/>
        </w:rPr>
        <w:t>采购人</w:t>
      </w:r>
      <w:r>
        <w:rPr>
          <w:rFonts w:hint="eastAsia" w:ascii="宋体" w:hAnsi="宋体" w:cs="宋体"/>
          <w:color w:val="auto"/>
          <w:kern w:val="0"/>
          <w:szCs w:val="21"/>
          <w:highlight w:val="none"/>
        </w:rPr>
        <w:t>或者</w:t>
      </w:r>
      <w:r>
        <w:rPr>
          <w:rFonts w:hint="eastAsia" w:ascii="宋体" w:hAnsi="宋体" w:cs="宋体"/>
          <w:color w:val="auto"/>
          <w:highlight w:val="none"/>
        </w:rPr>
        <w:t>采购代理机构</w:t>
      </w:r>
      <w:r>
        <w:rPr>
          <w:rFonts w:hint="eastAsia" w:ascii="宋体" w:hAnsi="宋体" w:cs="宋体"/>
          <w:color w:val="auto"/>
          <w:kern w:val="0"/>
          <w:szCs w:val="21"/>
          <w:highlight w:val="none"/>
        </w:rPr>
        <w:t>应当依法对投标人的资格进行审查。合格投标人不足3家的，不得评标。</w:t>
      </w:r>
    </w:p>
    <w:p w14:paraId="12FFF2A3">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22.2.2投标文件的符合性审查</w:t>
      </w:r>
      <w:r>
        <w:rPr>
          <w:rFonts w:hint="eastAsia" w:ascii="宋体" w:hAnsi="宋体" w:cs="宋体"/>
          <w:color w:val="auto"/>
          <w:kern w:val="0"/>
          <w:szCs w:val="21"/>
          <w:highlight w:val="none"/>
        </w:rPr>
        <w:t>。评标委员会对通过资格性检查的投标人的投标文件进行符合性审查，以确定其是否满足招标文件的实质性要求。投标文件有下列情况之一的，在符合性检查时按照无效投标处理：</w:t>
      </w:r>
    </w:p>
    <w:p w14:paraId="000C114A">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（1）未按照招标文件规定的要求密封、签署、盖章的</w:t>
      </w:r>
      <w:r>
        <w:rPr>
          <w:rFonts w:hint="eastAsia" w:ascii="宋体" w:hAnsi="宋体" w:cs="宋体"/>
          <w:b/>
          <w:bCs/>
          <w:color w:val="auto"/>
          <w:kern w:val="0"/>
          <w:szCs w:val="21"/>
          <w:highlight w:val="none"/>
        </w:rPr>
        <w:t>；</w:t>
      </w:r>
    </w:p>
    <w:p w14:paraId="69FFEE97">
      <w:pPr>
        <w:widowControl/>
        <w:shd w:val="clear" w:color="auto" w:fill="FFFFFF"/>
        <w:spacing w:line="360" w:lineRule="auto"/>
        <w:ind w:firstLine="420"/>
        <w:jc w:val="left"/>
        <w:rPr>
          <w:rFonts w:hint="eastAsia" w:ascii="宋体" w:hAnsi="宋体" w:cs="宋体"/>
          <w:b/>
          <w:strike w:val="0"/>
          <w:color w:val="auto"/>
          <w:kern w:val="0"/>
          <w:szCs w:val="21"/>
          <w:highlight w:val="none"/>
        </w:rPr>
      </w:pPr>
      <w:r>
        <w:rPr>
          <w:rFonts w:hint="eastAsia" w:ascii="宋体" w:hAnsi="宋体" w:cs="宋体"/>
          <w:b/>
          <w:strike w:val="0"/>
          <w:color w:val="auto"/>
          <w:kern w:val="0"/>
          <w:szCs w:val="21"/>
          <w:highlight w:val="none"/>
        </w:rPr>
        <w:t>（2）不具备招标文件中规定的资格要求的；</w:t>
      </w:r>
    </w:p>
    <w:p w14:paraId="1A71053B">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（2）报价超过招标文件中规定的预算金额或者最高限价的；</w:t>
      </w:r>
    </w:p>
    <w:p w14:paraId="7CE25889">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（3）投标文件含有采购人不能接受的附加条件的；</w:t>
      </w:r>
    </w:p>
    <w:p w14:paraId="126B7124">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（4）投标文件内容不全或不符合招标文件中规定的其它实质性要求的；</w:t>
      </w:r>
    </w:p>
    <w:p w14:paraId="3EE01ED0">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（5）未按招标文件规定的数额和形式交纳投标保证金的；</w:t>
      </w:r>
    </w:p>
    <w:p w14:paraId="370AD5E6">
      <w:pPr>
        <w:widowControl/>
        <w:shd w:val="clear" w:color="auto" w:fill="FFFFFF"/>
        <w:spacing w:line="360" w:lineRule="auto"/>
        <w:ind w:firstLine="420"/>
        <w:rPr>
          <w:rFonts w:hint="eastAsia" w:ascii="宋体" w:hAnsi="宋体" w:cs="宋体"/>
          <w:b/>
          <w:color w:val="auto"/>
          <w:kern w:val="0"/>
          <w:szCs w:val="21"/>
          <w:highlight w:val="none"/>
        </w:rPr>
      </w:pPr>
      <w:r>
        <w:rPr>
          <w:rFonts w:hint="eastAsia" w:ascii="宋体" w:hAnsi="宋体" w:cs="宋体"/>
          <w:b/>
          <w:color w:val="auto"/>
          <w:kern w:val="0"/>
          <w:szCs w:val="21"/>
          <w:highlight w:val="none"/>
        </w:rPr>
        <w:t>（6）现行法律、法规、规章和招标文件规定的其他无效情形。</w:t>
      </w:r>
    </w:p>
    <w:p w14:paraId="35BCA535">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22.2.2.1 实质性要求是指本招标文件中用带星号（“</w:t>
      </w:r>
      <w:r>
        <w:rPr>
          <w:rFonts w:hint="eastAsia" w:ascii="宋体" w:hAnsi="宋体" w:cs="宋体"/>
          <w:b/>
          <w:bCs/>
          <w:color w:val="auto"/>
          <w:highlight w:val="none"/>
        </w:rPr>
        <w:t>*</w:t>
      </w:r>
      <w:r>
        <w:rPr>
          <w:rFonts w:hint="eastAsia" w:ascii="宋体" w:hAnsi="宋体" w:cs="宋体"/>
          <w:b/>
          <w:bCs/>
          <w:color w:val="auto"/>
          <w:kern w:val="0"/>
          <w:szCs w:val="21"/>
          <w:highlight w:val="none"/>
        </w:rPr>
        <w:t>”）、“必须”或“应（应当）”等其他文字说明的商务和技术要求。</w:t>
      </w:r>
    </w:p>
    <w:p w14:paraId="211AB520">
      <w:pPr>
        <w:widowControl/>
        <w:shd w:val="clear" w:color="auto" w:fill="FFFFFF"/>
        <w:spacing w:line="360" w:lineRule="auto"/>
        <w:ind w:firstLine="42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22.2.2.2</w:t>
      </w:r>
      <w:r>
        <w:rPr>
          <w:rFonts w:hint="eastAsia" w:ascii="宋体" w:hAnsi="宋体" w:cs="宋体"/>
          <w:color w:val="auto"/>
          <w:kern w:val="0"/>
          <w:szCs w:val="21"/>
          <w:highlight w:val="none"/>
        </w:rPr>
        <w:t>有下列情形之一的予以废标：</w:t>
      </w:r>
    </w:p>
    <w:p w14:paraId="18A3626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（1）符合专业条件的投标人或者对招标文件作实质性响应的投标人不足三家的；</w:t>
      </w:r>
    </w:p>
    <w:p w14:paraId="4F037BE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53B4853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（3）投标人的报价均超过了采购预算，采购人不能支付的；</w:t>
      </w:r>
    </w:p>
    <w:p w14:paraId="4F6748F9">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（4）因重大变故，采购任务取消的。</w:t>
      </w:r>
    </w:p>
    <w:p w14:paraId="486768ED">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22.2.3</w:t>
      </w:r>
      <w:r>
        <w:rPr>
          <w:rFonts w:hint="eastAsia" w:ascii="宋体" w:hAnsi="宋体" w:cs="宋体"/>
          <w:b/>
          <w:bCs/>
          <w:color w:val="auto"/>
          <w:kern w:val="0"/>
          <w:szCs w:val="21"/>
          <w:highlight w:val="none"/>
        </w:rPr>
        <w:t>澄清有关问题</w:t>
      </w:r>
      <w:r>
        <w:rPr>
          <w:rFonts w:hint="eastAsia" w:ascii="宋体" w:hAnsi="宋体" w:cs="宋体"/>
          <w:color w:val="auto"/>
          <w:kern w:val="0"/>
          <w:szCs w:val="21"/>
          <w:highlight w:val="none"/>
        </w:rPr>
        <w:t>。</w:t>
      </w:r>
    </w:p>
    <w:p w14:paraId="4231183A">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22.2.3.1对于投标文件中含义不明确、同类问题表述不一致或者有明显文字和计算错误的内容，评标委员会应当以书面形式要求投标人作出必要的澄清、说明或者补正。</w:t>
      </w:r>
    </w:p>
    <w:p w14:paraId="707B3186">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22.2.3.2投标人的澄清、说明或者补正应当采用书面形式，并加盖公章，或者由法定代表人或其授权代表签字。投标人的澄清、说明或者补正不得超出投标文件的范围或者改变投标文件的实质性内容。</w:t>
      </w:r>
    </w:p>
    <w:p w14:paraId="4127D45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22.2.3.3投标文件报价出现前后不一致的，除招标文件另有规定外，按照下列规定修正：</w:t>
      </w:r>
    </w:p>
    <w:p w14:paraId="3009245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（1）投标文件中开标一览表（报价表）内容与投标文件中相应内容不一致的，以开标一览表（报价表）为准；</w:t>
      </w:r>
    </w:p>
    <w:p w14:paraId="69C3A2D9">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（2）大写金额和小写金额不一致的，以大写金额为准；</w:t>
      </w:r>
    </w:p>
    <w:p w14:paraId="114B5419">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（3）单价金额小数点或者百分比有明显错位的，以开标一览表的总价为准，并修改单价；</w:t>
      </w:r>
    </w:p>
    <w:p w14:paraId="11E600D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（4）总价金额与按单价汇总金额不一致的，以单价金额计算结果为准。</w:t>
      </w:r>
    </w:p>
    <w:p w14:paraId="3FBA6BE7">
      <w:pPr>
        <w:widowControl/>
        <w:shd w:val="clear" w:color="auto" w:fill="FFFFFF"/>
        <w:spacing w:line="360" w:lineRule="auto"/>
        <w:ind w:firstLine="420"/>
        <w:rPr>
          <w:rFonts w:hint="eastAsia" w:ascii="宋体" w:hAnsi="宋体" w:cs="宋体"/>
          <w:b/>
          <w:color w:val="auto"/>
          <w:kern w:val="0"/>
          <w:szCs w:val="21"/>
          <w:highlight w:val="none"/>
        </w:rPr>
      </w:pPr>
      <w:r>
        <w:rPr>
          <w:rFonts w:hint="eastAsia" w:ascii="宋体" w:hAnsi="宋体" w:cs="宋体"/>
          <w:color w:val="auto"/>
          <w:kern w:val="0"/>
          <w:szCs w:val="21"/>
          <w:highlight w:val="none"/>
        </w:rPr>
        <w:t>同时出现两种以上不一致的，按照前款规定的顺序修正。</w:t>
      </w:r>
      <w:r>
        <w:rPr>
          <w:rFonts w:hint="eastAsia" w:ascii="宋体" w:hAnsi="宋体" w:cs="宋体"/>
          <w:b/>
          <w:color w:val="auto"/>
          <w:kern w:val="0"/>
          <w:szCs w:val="21"/>
          <w:highlight w:val="none"/>
        </w:rPr>
        <w:t>修正后的报价按照前款规定经投标人确认后产生约束力，投标人不确认的，其投标无效。</w:t>
      </w:r>
    </w:p>
    <w:p w14:paraId="6DCA612B">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22.2.3.4</w:t>
      </w:r>
      <w:r>
        <w:rPr>
          <w:rFonts w:hint="eastAsia" w:ascii="宋体" w:hAnsi="宋体" w:cs="宋体"/>
          <w:color w:val="auto"/>
          <w:highlight w:val="none"/>
        </w:rPr>
        <w:t>评标委员会认为投标人的报价明显低于其他通过符合性审查投标人的报价，有可能影响产品质量或者不能诚信履约的，将要求其在评标现场合理的时间内提供书面说明，必要时提交相关证明材料；</w:t>
      </w:r>
      <w:r>
        <w:rPr>
          <w:rFonts w:hint="eastAsia" w:ascii="宋体" w:hAnsi="宋体" w:cs="宋体"/>
          <w:b/>
          <w:color w:val="auto"/>
          <w:highlight w:val="none"/>
        </w:rPr>
        <w:t>投标人不能证明其报价合理性的，评标委员会将其作为无效投标处理。</w:t>
      </w:r>
    </w:p>
    <w:p w14:paraId="3A9C5A63">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22.2.4</w:t>
      </w:r>
      <w:r>
        <w:rPr>
          <w:rFonts w:hint="eastAsia" w:ascii="宋体" w:hAnsi="宋体" w:eastAsia="宋体" w:cs="宋体"/>
          <w:bCs/>
          <w:color w:val="auto"/>
          <w:kern w:val="0"/>
          <w:szCs w:val="21"/>
          <w:highlight w:val="none"/>
        </w:rPr>
        <w:t>比较与评价。</w:t>
      </w:r>
      <w:r>
        <w:rPr>
          <w:rFonts w:hint="eastAsia" w:ascii="宋体" w:hAnsi="宋体" w:eastAsia="宋体" w:cs="宋体"/>
          <w:color w:val="auto"/>
          <w:kern w:val="0"/>
          <w:szCs w:val="21"/>
          <w:highlight w:val="none"/>
        </w:rPr>
        <w:t>评标委员会应当按照招标文件中规定的评标方法和标准，对符合性审查合格的投标文件进行商务和技术评估，</w:t>
      </w:r>
      <w:r>
        <w:rPr>
          <w:rFonts w:hint="eastAsia" w:ascii="宋体" w:hAnsi="宋体" w:cs="宋体"/>
          <w:color w:val="auto"/>
          <w:kern w:val="0"/>
          <w:szCs w:val="21"/>
          <w:highlight w:val="none"/>
          <w:lang w:eastAsia="zh-CN"/>
        </w:rPr>
        <w:t>综合评审</w:t>
      </w:r>
      <w:r>
        <w:rPr>
          <w:rFonts w:hint="eastAsia" w:ascii="宋体" w:hAnsi="宋体" w:eastAsia="宋体" w:cs="宋体"/>
          <w:color w:val="auto"/>
          <w:kern w:val="0"/>
          <w:szCs w:val="21"/>
          <w:highlight w:val="none"/>
        </w:rPr>
        <w:t>与评价。</w:t>
      </w:r>
    </w:p>
    <w:p w14:paraId="7B7330C1">
      <w:pPr>
        <w:widowControl/>
        <w:shd w:val="clear" w:color="auto" w:fill="FFFFFF"/>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kern w:val="0"/>
          <w:szCs w:val="21"/>
          <w:highlight w:val="none"/>
        </w:rPr>
        <w:t>22.2.5</w:t>
      </w:r>
      <w:r>
        <w:rPr>
          <w:rFonts w:hint="eastAsia" w:ascii="宋体" w:hAnsi="宋体" w:eastAsia="宋体" w:cs="宋体"/>
          <w:color w:val="auto"/>
          <w:highlight w:val="none"/>
        </w:rPr>
        <w:t>相同品牌产品的投标</w:t>
      </w:r>
    </w:p>
    <w:p w14:paraId="2529504E">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委托评标委员会按照招标文件规定的方式确定一个参加评标的投标人，招标文件未规定的采取随机抽取方式确定，其他投标无效。</w:t>
      </w:r>
    </w:p>
    <w:p w14:paraId="4EDA3515">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委托评标委员会按照招标文件规定的方式确定一个投标人获得中标人推荐资格，招标文件未规定的采取随机抽取方式确定，其他同品牌投标人不作为中标候选人。</w:t>
      </w:r>
    </w:p>
    <w:p w14:paraId="4E46D663">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eastAsia="宋体" w:cs="宋体"/>
          <w:color w:val="auto"/>
          <w:kern w:val="0"/>
          <w:szCs w:val="21"/>
          <w:highlight w:val="none"/>
        </w:rPr>
        <w:t>非单一产品采购项目，确定核心产品的方法在招标文件技术需求中载明。多家投标人提供的核心产品品牌相同的，按前两款规定处理。</w:t>
      </w:r>
    </w:p>
    <w:p w14:paraId="50C52DE6">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22.3 评标方法和标准</w:t>
      </w:r>
    </w:p>
    <w:p w14:paraId="377EBA6E">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22.3.1评标方法分为最低评标价法和综合评分法。本次招标的评标方法和标准，详见本招标文件第三章。</w:t>
      </w:r>
    </w:p>
    <w:p w14:paraId="13C2DAB1">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22.3.2最低评标价法，是指投标文件满足招标文件全部实质性要求，且投标报价最低的投标人为中标候选人的评标方法。</w:t>
      </w:r>
    </w:p>
    <w:p w14:paraId="354C6BC7">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采用最低评标价法评标时，除了算术修正和落实政府采购政策需进行的价格扣除外，不对投标人的投标价格进行任何调整。</w:t>
      </w:r>
    </w:p>
    <w:p w14:paraId="4FCF82F7">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22.3.3综合评分法，是指投标文件满足招标文件全部实质性要求，且按照评审因素的量化指标评审得分最高的投标人为中标候选人的评标方法。</w:t>
      </w:r>
    </w:p>
    <w:p w14:paraId="66E0171E">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评审因素，包括价格、技术、商务等。</w:t>
      </w:r>
    </w:p>
    <w:p w14:paraId="3DE3CE7D">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评标时，评标委员会各成员应当独立对每个投标人的投标文件进行评价，并汇总每个投标人的得分。</w:t>
      </w:r>
    </w:p>
    <w:p w14:paraId="67755D29">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价格分采用低价优先法计算，即满足招标文件要求且投标价格最低的投标报价为评标基准价，其价格分为满分。</w:t>
      </w:r>
    </w:p>
    <w:p w14:paraId="1C83E03D">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评标总得分＝F1×A1＋F2×A2＋……＋Fn×An</w:t>
      </w:r>
    </w:p>
    <w:p w14:paraId="0A3E3EAF">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F1、F2……Fn分别为各项评审因素的得分；</w:t>
      </w:r>
    </w:p>
    <w:p w14:paraId="7F397493">
      <w:pPr>
        <w:widowControl/>
        <w:shd w:val="clear" w:color="auto" w:fill="FFFFFF"/>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A1、A2、……An 分别为各项评审因素所占的权重(A1＋A2＋……＋An＝1)。</w:t>
      </w:r>
    </w:p>
    <w:p w14:paraId="5A3A1CD8">
      <w:pPr>
        <w:widowControl/>
        <w:shd w:val="clear" w:color="auto" w:fill="FFFFFF"/>
        <w:spacing w:line="360" w:lineRule="auto"/>
        <w:ind w:firstLine="420"/>
        <w:rPr>
          <w:rFonts w:hint="eastAsia" w:ascii="宋体" w:hAnsi="宋体" w:cs="宋体"/>
          <w:b/>
          <w:color w:val="auto"/>
          <w:kern w:val="0"/>
          <w:szCs w:val="21"/>
          <w:highlight w:val="none"/>
        </w:rPr>
      </w:pPr>
      <w:r>
        <w:rPr>
          <w:rFonts w:hint="eastAsia" w:ascii="宋体" w:hAnsi="宋体" w:cs="宋体"/>
          <w:b/>
          <w:bCs/>
          <w:color w:val="auto"/>
          <w:kern w:val="0"/>
          <w:szCs w:val="21"/>
          <w:highlight w:val="none"/>
        </w:rPr>
        <w:t>23、</w:t>
      </w:r>
      <w:r>
        <w:rPr>
          <w:rFonts w:hint="eastAsia" w:ascii="宋体" w:hAnsi="宋体" w:cs="宋体"/>
          <w:b/>
          <w:color w:val="auto"/>
          <w:kern w:val="0"/>
          <w:szCs w:val="21"/>
          <w:highlight w:val="none"/>
        </w:rPr>
        <w:t>确定中标人</w:t>
      </w:r>
    </w:p>
    <w:p w14:paraId="0271649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23.1 采用最低评标价法的，评标结果按投标报价由低到高顺序排列。投标报价相同的并列。投标文件满足招标文件全部实质性要求且投标报价最低的投标人为排名第一的中标候选人。</w:t>
      </w:r>
    </w:p>
    <w:p w14:paraId="532D7BDA">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2F5497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23.3 中标人确定后，在指定的媒体上公告中标结果，中标公告期为1个工作日，公告的同时向中标人发出中标通知书。</w:t>
      </w:r>
    </w:p>
    <w:p w14:paraId="671040F5">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23.4 中标通知书对采购人和中标人具有同等法律效力。中标通知书发出后，采购人不得违法改变中标结果，中标人无正当理由不得放弃中标。</w:t>
      </w:r>
    </w:p>
    <w:p w14:paraId="7598D1F7">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23.5 所有投标文件不论中标与否，均不退回。</w:t>
      </w:r>
    </w:p>
    <w:p w14:paraId="02BBDE34">
      <w:pPr>
        <w:widowControl/>
        <w:shd w:val="clear" w:color="auto" w:fill="FFFFFF"/>
        <w:spacing w:line="360" w:lineRule="auto"/>
        <w:ind w:firstLine="412"/>
        <w:rPr>
          <w:rFonts w:hint="eastAsia" w:ascii="宋体" w:hAnsi="宋体" w:cs="宋体"/>
          <w:color w:val="auto"/>
          <w:kern w:val="0"/>
          <w:szCs w:val="21"/>
          <w:highlight w:val="none"/>
        </w:rPr>
      </w:pPr>
      <w:r>
        <w:rPr>
          <w:rFonts w:hint="eastAsia" w:ascii="宋体" w:hAnsi="宋体" w:cs="宋体"/>
          <w:b/>
          <w:bCs/>
          <w:color w:val="auto"/>
          <w:kern w:val="0"/>
          <w:szCs w:val="21"/>
          <w:highlight w:val="none"/>
        </w:rPr>
        <w:t>24、编写评标报告</w:t>
      </w:r>
    </w:p>
    <w:p w14:paraId="7C4832E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24.1评标委员会根据全体评标成员签字的原始评标记录和评标结果编写评标报告。</w:t>
      </w:r>
    </w:p>
    <w:p w14:paraId="78D5A2B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25、评标过程的保密性</w:t>
      </w:r>
    </w:p>
    <w:p w14:paraId="36D0D68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25.1 采购人和采购代理机构将采取必要措施，保证评标在严格保密的情况下进行。</w:t>
      </w:r>
    </w:p>
    <w:p w14:paraId="04C3810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25.2 任何单位和个人不得非法干预、影响评标办法的确定，以及评标过程和结果。</w:t>
      </w:r>
    </w:p>
    <w:p w14:paraId="5B394D3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25.3 凡是与审查、澄清、评价和比较投标的有关资料等，均不向投标人及与评标无关的其他人员透露。</w:t>
      </w:r>
    </w:p>
    <w:p w14:paraId="4054443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六、签订合同</w:t>
      </w:r>
    </w:p>
    <w:p w14:paraId="7BCA013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26、签订合同</w:t>
      </w:r>
    </w:p>
    <w:p w14:paraId="0F9E8CC1">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26.1采购人与中标人应当自中标通知书发出之日起30日内，按照招标文件和中标人投标文件的规定，签订书面合同。所签订的合同不得对招标文件确定的事项和中标人投标文件作实质性修改。</w:t>
      </w:r>
    </w:p>
    <w:p w14:paraId="508A8AE0">
      <w:pPr>
        <w:widowControl/>
        <w:shd w:val="clear" w:color="auto" w:fill="FFFFFF"/>
        <w:spacing w:line="360" w:lineRule="auto"/>
        <w:ind w:firstLine="420"/>
        <w:rPr>
          <w:rFonts w:hint="eastAsia" w:ascii="宋体" w:hAnsi="宋体" w:cs="宋体"/>
          <w:b/>
          <w:bCs/>
          <w:color w:val="auto"/>
          <w:szCs w:val="21"/>
          <w:highlight w:val="none"/>
        </w:rPr>
      </w:pPr>
      <w:r>
        <w:rPr>
          <w:rFonts w:hint="eastAsia" w:ascii="宋体" w:hAnsi="宋体" w:cs="宋体"/>
          <w:color w:val="auto"/>
          <w:kern w:val="0"/>
          <w:szCs w:val="21"/>
          <w:highlight w:val="none"/>
        </w:rPr>
        <w:t>26.2  除继续履行将损害国家利益和社会公众利益的，</w:t>
      </w:r>
      <w:r>
        <w:rPr>
          <w:rFonts w:hint="eastAsia" w:ascii="宋体" w:hAnsi="宋体" w:cs="宋体"/>
          <w:strike/>
          <w:color w:val="auto"/>
          <w:kern w:val="0"/>
          <w:szCs w:val="21"/>
          <w:highlight w:val="none"/>
        </w:rPr>
        <w:t>政府</w:t>
      </w:r>
      <w:r>
        <w:rPr>
          <w:rFonts w:hint="eastAsia" w:ascii="宋体" w:hAnsi="宋体" w:cs="宋体"/>
          <w:color w:val="auto"/>
          <w:kern w:val="0"/>
          <w:szCs w:val="21"/>
          <w:highlight w:val="none"/>
        </w:rPr>
        <w:t>采购合同的双方当事人不得擅自变更、中止或者终止合同。放弃或拒绝签订合同的，中标人不得参加对该项目重新开展的采购活动，投标保证金不予退还，不收取投标保证金的项目，中标人应向采购人支付采购人为招标所发生的相关费用。</w:t>
      </w:r>
    </w:p>
    <w:p w14:paraId="6DFE8724">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26.3采购人不得向中标人提出任何不合理的要求作为签订合同的条件。</w:t>
      </w:r>
    </w:p>
    <w:p w14:paraId="58937320">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26.4中标人拒绝与采购人签订合同的，采购人可以按照评审报告推荐的中标或者成交候选人名单排序，确定下一候选人为中标或者成交供应商，也可以重新开展政府采购活动。</w:t>
      </w:r>
    </w:p>
    <w:p w14:paraId="2BB486F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26.5 </w:t>
      </w:r>
      <w:r>
        <w:rPr>
          <w:rFonts w:hint="eastAsia" w:ascii="宋体" w:hAnsi="宋体" w:cs="宋体"/>
          <w:strike/>
          <w:color w:val="auto"/>
          <w:kern w:val="0"/>
          <w:szCs w:val="21"/>
          <w:highlight w:val="none"/>
        </w:rPr>
        <w:t>政府</w:t>
      </w:r>
      <w:r>
        <w:rPr>
          <w:rFonts w:hint="eastAsia" w:ascii="宋体" w:hAnsi="宋体" w:cs="宋体"/>
          <w:color w:val="auto"/>
          <w:kern w:val="0"/>
          <w:szCs w:val="21"/>
          <w:highlight w:val="none"/>
        </w:rPr>
        <w:t>采购合同履行中，采购人需追加与合同标的相同的货物或者服务的，在不改变合同其他条款的前提下，可以与供应商协商签订补充合同，但所有补充合同的采购金额不得超过原合同采购金额的百分之十。</w:t>
      </w:r>
    </w:p>
    <w:p w14:paraId="47AB751F">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26.6 采购人与中标人应当根据合同的约定依法履行合同义务。</w:t>
      </w:r>
    </w:p>
    <w:p w14:paraId="17B8FE9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七、质疑和投诉</w:t>
      </w:r>
    </w:p>
    <w:p w14:paraId="2F0C39B4">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27、质疑</w:t>
      </w:r>
    </w:p>
    <w:p w14:paraId="030E8D7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27.1供应商对招标活动事项有疑问的，可以向采购代理机构提出询问，采购代理机构将依法作出答复，但答复的内容不涉及商业秘密</w:t>
      </w:r>
      <w:r>
        <w:rPr>
          <w:rFonts w:hint="eastAsia" w:ascii="宋体" w:hAnsi="宋体" w:cs="宋体"/>
          <w:b/>
          <w:bCs/>
          <w:color w:val="auto"/>
          <w:kern w:val="0"/>
          <w:szCs w:val="21"/>
          <w:highlight w:val="none"/>
        </w:rPr>
        <w:t>。</w:t>
      </w:r>
    </w:p>
    <w:p w14:paraId="6056480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27.2提出质疑的供应商应当是参与所质疑项目采购活动的供应商。潜在供应商已依法获取其可质疑的采购文件的，可以对该文件提出质疑。</w:t>
      </w:r>
    </w:p>
    <w:p w14:paraId="6917068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szCs w:val="21"/>
          <w:highlight w:val="none"/>
        </w:rPr>
        <w:t>以联合体形式参加政府采购活动的，其质疑应当由组成联合体的所有供应商共同提出。</w:t>
      </w:r>
    </w:p>
    <w:p w14:paraId="336301F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27.3供应商认为采购文件、采购过程和中标结果使自己的合法权益受到损害的，可以在知道或者应知其权益受到损害之日起七个工作日内，将质疑文件原件送达采购人或采购代理机构。</w:t>
      </w:r>
    </w:p>
    <w:p w14:paraId="784E9FFD">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14:paraId="7B5CAF82">
      <w:pPr>
        <w:widowControl/>
        <w:shd w:val="clear" w:color="auto" w:fill="FFFFFF"/>
        <w:spacing w:line="360" w:lineRule="auto"/>
        <w:ind w:firstLine="420"/>
        <w:rPr>
          <w:rFonts w:hint="eastAsia" w:ascii="宋体" w:hAnsi="宋体" w:cs="宋体"/>
          <w:b/>
          <w:bCs/>
          <w:color w:val="auto"/>
          <w:kern w:val="0"/>
          <w:szCs w:val="21"/>
          <w:highlight w:val="none"/>
        </w:rPr>
      </w:pPr>
      <w:r>
        <w:rPr>
          <w:rFonts w:hint="eastAsia" w:ascii="宋体" w:hAnsi="宋体" w:cs="宋体"/>
          <w:b/>
          <w:bCs/>
          <w:color w:val="auto"/>
          <w:highlight w:val="none"/>
        </w:rPr>
        <w:t>供应商必须在法定质疑期内一次性提出针对同一采购程序环节的质疑。</w:t>
      </w:r>
    </w:p>
    <w:p w14:paraId="2DC5FF25">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27.4 供应商提出质疑应当提交质疑函和必要的证明材料。质疑函应当包括下列内容：</w:t>
      </w:r>
    </w:p>
    <w:p w14:paraId="1FD9FE18">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（一）供应商的姓名或者名称、地址、邮编、联系人及联系电话；</w:t>
      </w:r>
    </w:p>
    <w:p w14:paraId="08F5956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（二）质疑项目的名称、编号；</w:t>
      </w:r>
    </w:p>
    <w:p w14:paraId="5071F446">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（三）具体、明确的质疑事项和与质疑事项相关的请求（具体条款）；</w:t>
      </w:r>
    </w:p>
    <w:p w14:paraId="3EB5096E">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（四）事实依据（具体条款）；</w:t>
      </w:r>
    </w:p>
    <w:p w14:paraId="42379F4C">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（五）必要的法律依据（具体条款）；</w:t>
      </w:r>
    </w:p>
    <w:p w14:paraId="6AE6F46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　　（六）提出质疑的日期。</w:t>
      </w:r>
    </w:p>
    <w:p w14:paraId="393A4245">
      <w:pPr>
        <w:widowControl/>
        <w:shd w:val="clear" w:color="auto" w:fill="FFFFFF"/>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为自然人的，应当由本人签字；供应商为法人或者其他组织的，应当由法定代表人、主要负责人，或者其授权代表签字或者盖章，并加盖公章。代理人提出质疑和投诉，应当提交供应商签署的授权委托书。其授权委托书应当载明代理人的姓名或者名称、代理事项、具体权限、期限和相关事项。</w:t>
      </w:r>
    </w:p>
    <w:p w14:paraId="0B0D35D9">
      <w:pPr>
        <w:widowControl/>
        <w:shd w:val="clear" w:color="auto" w:fill="FFFFFF"/>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质疑函应当使用中文。相关当事人提供外文书证或者外国语视听资料的，应当附有中文译本，由翻译机构盖章或者翻译人员签名。</w:t>
      </w:r>
    </w:p>
    <w:p w14:paraId="14D78513">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27.5质疑函应当现场提交至采购代理机构联系人处，提交时应出示有效身份证明。未按上述要求提交质疑函的，质疑不予受理。</w:t>
      </w:r>
    </w:p>
    <w:p w14:paraId="2B18E912">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27.6 投标人不得虚假质疑和恶意质疑，并对质疑内容的真实性承担责任。投标人或者其他利害关系人通过捏造事实、伪造证明材料等方式提出异议或投诉，阻碍招投标活动正常进行的，属于严重不良行为。</w:t>
      </w:r>
    </w:p>
    <w:p w14:paraId="75B20FBB">
      <w:pPr>
        <w:widowControl/>
        <w:shd w:val="clear" w:color="auto" w:fill="FFFFFF"/>
        <w:spacing w:line="360" w:lineRule="auto"/>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27.7采购代理机构在收到投标人的书面质疑后将及时组织调查核实，在</w:t>
      </w:r>
      <w:r>
        <w:rPr>
          <w:rFonts w:hint="eastAsia" w:ascii="宋体" w:hAnsi="宋体" w:cs="宋体"/>
          <w:b/>
          <w:bCs/>
          <w:color w:val="auto"/>
          <w:kern w:val="0"/>
          <w:szCs w:val="21"/>
          <w:highlight w:val="none"/>
        </w:rPr>
        <w:t>七个工作日内</w:t>
      </w:r>
      <w:r>
        <w:rPr>
          <w:rFonts w:hint="eastAsia" w:ascii="宋体" w:hAnsi="宋体" w:cs="宋体"/>
          <w:color w:val="auto"/>
          <w:kern w:val="0"/>
          <w:szCs w:val="21"/>
          <w:highlight w:val="none"/>
        </w:rPr>
        <w:t>作出答复，并以书面或在网站公告形式通知质疑投标人和其他有关投标人，答复的内容不涉及商业秘密。</w:t>
      </w:r>
    </w:p>
    <w:p w14:paraId="20113634">
      <w:pPr>
        <w:widowControl/>
        <w:shd w:val="clear" w:color="auto" w:fill="FFFFFF"/>
        <w:spacing w:line="420" w:lineRule="exact"/>
        <w:ind w:firstLine="420"/>
        <w:rPr>
          <w:rFonts w:hint="eastAsia" w:ascii="宋体" w:hAnsi="宋体" w:cs="宋体"/>
          <w:color w:val="auto"/>
          <w:kern w:val="0"/>
          <w:szCs w:val="21"/>
          <w:highlight w:val="none"/>
        </w:rPr>
      </w:pPr>
      <w:r>
        <w:rPr>
          <w:rFonts w:hint="eastAsia" w:ascii="宋体" w:hAnsi="宋体" w:cs="宋体"/>
          <w:b/>
          <w:bCs/>
          <w:color w:val="auto"/>
          <w:kern w:val="0"/>
          <w:szCs w:val="21"/>
          <w:highlight w:val="none"/>
        </w:rPr>
        <w:t>28、投诉</w:t>
      </w:r>
    </w:p>
    <w:p w14:paraId="4F592F53">
      <w:pPr>
        <w:spacing w:line="420" w:lineRule="exact"/>
        <w:ind w:firstLine="420" w:firstLineChars="200"/>
        <w:rPr>
          <w:rFonts w:hint="eastAsia" w:ascii="宋体" w:hAnsi="宋体" w:cs="宋体"/>
          <w:color w:val="auto"/>
          <w:highlight w:val="none"/>
        </w:rPr>
      </w:pPr>
      <w:r>
        <w:rPr>
          <w:rFonts w:hint="eastAsia" w:ascii="宋体" w:hAnsi="宋体" w:cs="宋体"/>
          <w:color w:val="auto"/>
          <w:highlight w:val="none"/>
        </w:rPr>
        <w:t>28.1质疑供应商对采购代理机构的答复不满意或者采购代理机构未在规定的时间内作出答复的，可以在答复期满后十五个工作日内向监督管理部门投诉。</w:t>
      </w:r>
    </w:p>
    <w:p w14:paraId="09507E63">
      <w:pPr>
        <w:spacing w:line="420" w:lineRule="exact"/>
        <w:ind w:firstLine="420" w:firstLineChars="200"/>
        <w:rPr>
          <w:rFonts w:hint="eastAsia" w:ascii="宋体" w:hAnsi="宋体" w:eastAsia="宋体" w:cs="宋体"/>
          <w:color w:val="auto"/>
          <w:highlight w:val="none"/>
        </w:rPr>
      </w:pPr>
      <w:r>
        <w:rPr>
          <w:rFonts w:hint="eastAsia" w:ascii="宋体" w:hAnsi="宋体" w:cs="宋体"/>
          <w:color w:val="auto"/>
          <w:szCs w:val="21"/>
          <w:highlight w:val="none"/>
        </w:rPr>
        <w:t>28.2供应商投诉应当有明确的请求和必要的证明材料。供应商投诉的事项不得超出已质疑事项的范围。</w:t>
      </w:r>
    </w:p>
    <w:p w14:paraId="53E08308">
      <w:pPr>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0210D6A">
      <w:pPr>
        <w:pStyle w:val="4"/>
        <w:pageBreakBefore w:val="0"/>
        <w:widowControl w:val="0"/>
        <w:numPr>
          <w:ilvl w:val="0"/>
          <w:numId w:val="0"/>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color w:val="auto"/>
          <w:kern w:val="0"/>
          <w:highlight w:val="none"/>
        </w:rPr>
      </w:pPr>
      <w:bookmarkStart w:id="22" w:name="_Toc29984"/>
      <w:r>
        <w:rPr>
          <w:rFonts w:hint="eastAsia" w:ascii="宋体" w:hAnsi="宋体" w:eastAsia="宋体" w:cs="宋体"/>
          <w:color w:val="auto"/>
          <w:kern w:val="0"/>
          <w:highlight w:val="none"/>
        </w:rPr>
        <w:t> </w:t>
      </w:r>
      <w:bookmarkStart w:id="23" w:name="_Toc481057145"/>
      <w:r>
        <w:rPr>
          <w:rFonts w:hint="eastAsia" w:ascii="宋体" w:hAnsi="宋体" w:eastAsia="宋体" w:cs="宋体"/>
          <w:color w:val="auto"/>
          <w:kern w:val="0"/>
          <w:highlight w:val="none"/>
        </w:rPr>
        <w:t>第三章  评标标准</w:t>
      </w:r>
      <w:bookmarkEnd w:id="21"/>
      <w:bookmarkEnd w:id="22"/>
    </w:p>
    <w:bookmarkEnd w:id="23"/>
    <w:p w14:paraId="5B9BF4C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采用低价优先法，评分统计方法采用百分制（满分100分），将全部评委评分直接进行算术平均，小数点后保留2位。按评审后得分由高到低顺序排列，得分相同的，按投标报价由低到高顺序排列，得分且投标报价相同的，按技术指标优劣顺序排列，由评标委员会确定中标人。</w:t>
      </w:r>
    </w:p>
    <w:tbl>
      <w:tblPr>
        <w:tblStyle w:val="45"/>
        <w:tblpPr w:leftFromText="180" w:rightFromText="180" w:vertAnchor="text" w:horzAnchor="page" w:tblpX="692" w:tblpY="724"/>
        <w:tblOverlap w:val="never"/>
        <w:tblW w:w="1050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56"/>
        <w:gridCol w:w="1058"/>
        <w:gridCol w:w="8393"/>
      </w:tblGrid>
      <w:tr w14:paraId="525D5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 w:hRule="atLeast"/>
          <w:tblHeader/>
          <w:jc w:val="center"/>
        </w:trPr>
        <w:tc>
          <w:tcPr>
            <w:tcW w:w="2114" w:type="dxa"/>
            <w:gridSpan w:val="2"/>
            <w:noWrap w:val="0"/>
            <w:vAlign w:val="center"/>
          </w:tcPr>
          <w:p w14:paraId="5FDE76D5">
            <w:pPr>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pacing w:val="-3"/>
                <w:sz w:val="24"/>
                <w:highlight w:val="none"/>
              </w:rPr>
              <w:t>评分内容</w:t>
            </w:r>
          </w:p>
        </w:tc>
        <w:tc>
          <w:tcPr>
            <w:tcW w:w="8393" w:type="dxa"/>
            <w:noWrap w:val="0"/>
            <w:vAlign w:val="center"/>
          </w:tcPr>
          <w:p w14:paraId="65DEA69E">
            <w:pPr>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pacing w:val="-3"/>
                <w:sz w:val="24"/>
                <w:highlight w:val="none"/>
              </w:rPr>
              <w:t>评分指标</w:t>
            </w:r>
          </w:p>
        </w:tc>
      </w:tr>
      <w:tr w14:paraId="38385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4" w:hRule="atLeast"/>
          <w:jc w:val="center"/>
        </w:trPr>
        <w:tc>
          <w:tcPr>
            <w:tcW w:w="2114" w:type="dxa"/>
            <w:gridSpan w:val="2"/>
            <w:vMerge w:val="restart"/>
            <w:noWrap w:val="0"/>
            <w:vAlign w:val="center"/>
          </w:tcPr>
          <w:p w14:paraId="2C0859D3">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分值构成</w:t>
            </w:r>
          </w:p>
          <w:p w14:paraId="4287FC6C">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（满分100分）</w:t>
            </w:r>
          </w:p>
        </w:tc>
        <w:tc>
          <w:tcPr>
            <w:tcW w:w="8393" w:type="dxa"/>
            <w:noWrap w:val="0"/>
            <w:vAlign w:val="center"/>
          </w:tcPr>
          <w:p w14:paraId="720FB835">
            <w:pPr>
              <w:keepNext w:val="0"/>
              <w:keepLines w:val="0"/>
              <w:pageBreakBefore w:val="0"/>
              <w:widowControl/>
              <w:kinsoku/>
              <w:wordWrap/>
              <w:overflowPunct/>
              <w:topLinePunct w:val="0"/>
              <w:autoSpaceDE/>
              <w:autoSpaceDN/>
              <w:bidi w:val="0"/>
              <w:adjustRightInd/>
              <w:snapToGrid/>
              <w:spacing w:line="360" w:lineRule="auto"/>
              <w:ind w:right="0" w:firstLine="408"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lang w:val="en-US" w:eastAsia="zh-CN"/>
              </w:rPr>
              <w:t>投标人</w:t>
            </w:r>
            <w:r>
              <w:rPr>
                <w:rFonts w:hint="eastAsia" w:ascii="宋体" w:hAnsi="宋体" w:eastAsia="宋体" w:cs="宋体"/>
                <w:color w:val="auto"/>
                <w:spacing w:val="-3"/>
                <w:sz w:val="21"/>
                <w:szCs w:val="21"/>
                <w:highlight w:val="none"/>
              </w:rPr>
              <w:t>的总得分包括</w:t>
            </w:r>
            <w:r>
              <w:rPr>
                <w:rFonts w:hint="eastAsia" w:ascii="宋体" w:hAnsi="宋体" w:eastAsia="宋体" w:cs="宋体"/>
                <w:color w:val="auto"/>
                <w:spacing w:val="-1"/>
                <w:sz w:val="21"/>
                <w:szCs w:val="21"/>
                <w:highlight w:val="none"/>
                <w:lang w:val="en-US" w:eastAsia="zh-CN"/>
              </w:rPr>
              <w:t>投标报价</w:t>
            </w:r>
            <w:r>
              <w:rPr>
                <w:rFonts w:hint="eastAsia" w:ascii="宋体" w:hAnsi="宋体" w:eastAsia="宋体" w:cs="宋体"/>
                <w:color w:val="auto"/>
                <w:spacing w:val="-1"/>
                <w:sz w:val="21"/>
                <w:szCs w:val="21"/>
                <w:highlight w:val="none"/>
              </w:rPr>
              <w:t>、技术部分、商务</w:t>
            </w:r>
            <w:r>
              <w:rPr>
                <w:rFonts w:hint="eastAsia" w:ascii="宋体" w:hAnsi="宋体" w:eastAsia="宋体" w:cs="宋体"/>
                <w:color w:val="auto"/>
                <w:spacing w:val="-6"/>
                <w:sz w:val="21"/>
                <w:szCs w:val="21"/>
                <w:highlight w:val="none"/>
              </w:rPr>
              <w:t>部分3项评分因素的汇总得分。</w:t>
            </w:r>
          </w:p>
        </w:tc>
      </w:tr>
      <w:tr w14:paraId="3EB83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jc w:val="center"/>
        </w:trPr>
        <w:tc>
          <w:tcPr>
            <w:tcW w:w="2114" w:type="dxa"/>
            <w:gridSpan w:val="2"/>
            <w:vMerge w:val="continue"/>
            <w:noWrap w:val="0"/>
            <w:vAlign w:val="center"/>
          </w:tcPr>
          <w:p w14:paraId="277E3CAD">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p>
        </w:tc>
        <w:tc>
          <w:tcPr>
            <w:tcW w:w="8393" w:type="dxa"/>
            <w:noWrap w:val="0"/>
            <w:vAlign w:val="center"/>
          </w:tcPr>
          <w:p w14:paraId="257987A5">
            <w:pPr>
              <w:keepNext w:val="0"/>
              <w:keepLines w:val="0"/>
              <w:pageBreakBefore w:val="0"/>
              <w:widowControl/>
              <w:kinsoku/>
              <w:wordWrap/>
              <w:overflowPunct/>
              <w:topLinePunct w:val="0"/>
              <w:autoSpaceDE/>
              <w:autoSpaceDN/>
              <w:bidi w:val="0"/>
              <w:adjustRightInd/>
              <w:snapToGrid/>
              <w:spacing w:line="360" w:lineRule="auto"/>
              <w:ind w:right="0" w:firstLine="39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7"/>
                <w:sz w:val="21"/>
                <w:szCs w:val="21"/>
                <w:highlight w:val="none"/>
                <w:lang w:val="en-US" w:eastAsia="zh-CN"/>
              </w:rPr>
              <w:t>投标报价</w:t>
            </w:r>
            <w:r>
              <w:rPr>
                <w:rFonts w:hint="eastAsia" w:ascii="宋体" w:hAnsi="宋体" w:eastAsia="宋体" w:cs="宋体"/>
                <w:color w:val="auto"/>
                <w:spacing w:val="-7"/>
                <w:sz w:val="21"/>
                <w:szCs w:val="21"/>
                <w:highlight w:val="none"/>
              </w:rPr>
              <w:t>：</w:t>
            </w:r>
            <w:r>
              <w:rPr>
                <w:rFonts w:hint="eastAsia" w:ascii="宋体" w:hAnsi="宋体" w:cs="宋体"/>
                <w:color w:val="auto"/>
                <w:spacing w:val="-7"/>
                <w:sz w:val="21"/>
                <w:szCs w:val="21"/>
                <w:highlight w:val="none"/>
                <w:lang w:val="en-US" w:eastAsia="zh-CN"/>
              </w:rPr>
              <w:t>3</w:t>
            </w:r>
            <w:r>
              <w:rPr>
                <w:rFonts w:hint="eastAsia" w:ascii="宋体" w:hAnsi="宋体" w:eastAsia="宋体" w:cs="宋体"/>
                <w:color w:val="auto"/>
                <w:spacing w:val="-7"/>
                <w:sz w:val="21"/>
                <w:szCs w:val="21"/>
                <w:highlight w:val="none"/>
                <w:lang w:val="en-US" w:eastAsia="zh-CN"/>
              </w:rPr>
              <w:t>0</w:t>
            </w:r>
            <w:r>
              <w:rPr>
                <w:rFonts w:hint="eastAsia" w:ascii="宋体" w:hAnsi="宋体" w:eastAsia="宋体" w:cs="宋体"/>
                <w:color w:val="auto"/>
                <w:spacing w:val="-7"/>
                <w:sz w:val="21"/>
                <w:szCs w:val="21"/>
                <w:highlight w:val="none"/>
              </w:rPr>
              <w:t>分；商务</w:t>
            </w:r>
            <w:r>
              <w:rPr>
                <w:rFonts w:hint="eastAsia" w:ascii="宋体" w:hAnsi="宋体" w:eastAsia="宋体" w:cs="宋体"/>
                <w:color w:val="auto"/>
                <w:spacing w:val="-7"/>
                <w:sz w:val="21"/>
                <w:szCs w:val="21"/>
                <w:highlight w:val="none"/>
                <w:lang w:val="en-US" w:eastAsia="zh-CN"/>
              </w:rPr>
              <w:t>部分</w:t>
            </w:r>
            <w:r>
              <w:rPr>
                <w:rFonts w:hint="eastAsia" w:ascii="宋体" w:hAnsi="宋体" w:cs="宋体"/>
                <w:color w:val="auto"/>
                <w:spacing w:val="-7"/>
                <w:sz w:val="21"/>
                <w:szCs w:val="21"/>
                <w:highlight w:val="none"/>
                <w:lang w:val="en-US" w:eastAsia="zh-CN"/>
              </w:rPr>
              <w:t>12</w:t>
            </w:r>
            <w:r>
              <w:rPr>
                <w:rFonts w:hint="eastAsia" w:ascii="宋体" w:hAnsi="宋体" w:eastAsia="宋体" w:cs="宋体"/>
                <w:color w:val="auto"/>
                <w:spacing w:val="-7"/>
                <w:sz w:val="21"/>
                <w:szCs w:val="21"/>
                <w:highlight w:val="none"/>
                <w:lang w:val="en-US" w:eastAsia="zh-CN"/>
              </w:rPr>
              <w:t>分</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技术部分：</w:t>
            </w:r>
            <w:r>
              <w:rPr>
                <w:rFonts w:hint="eastAsia" w:ascii="宋体" w:hAnsi="宋体" w:cs="宋体"/>
                <w:color w:val="auto"/>
                <w:spacing w:val="-7"/>
                <w:sz w:val="21"/>
                <w:szCs w:val="21"/>
                <w:highlight w:val="none"/>
                <w:lang w:val="en-US" w:eastAsia="zh-CN"/>
              </w:rPr>
              <w:t>58</w:t>
            </w:r>
            <w:r>
              <w:rPr>
                <w:rFonts w:hint="eastAsia" w:ascii="宋体" w:hAnsi="宋体" w:eastAsia="宋体" w:cs="宋体"/>
                <w:color w:val="auto"/>
                <w:spacing w:val="-7"/>
                <w:sz w:val="21"/>
                <w:szCs w:val="21"/>
                <w:highlight w:val="none"/>
              </w:rPr>
              <w:t>分</w:t>
            </w:r>
            <w:r>
              <w:rPr>
                <w:rFonts w:hint="eastAsia" w:ascii="宋体" w:hAnsi="宋体" w:eastAsia="宋体" w:cs="宋体"/>
                <w:color w:val="auto"/>
                <w:spacing w:val="-7"/>
                <w:sz w:val="21"/>
                <w:szCs w:val="21"/>
                <w:highlight w:val="none"/>
                <w:lang w:val="en-US" w:eastAsia="zh-CN"/>
              </w:rPr>
              <w:t>。</w:t>
            </w:r>
          </w:p>
        </w:tc>
      </w:tr>
      <w:tr w14:paraId="29860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2114" w:type="dxa"/>
            <w:gridSpan w:val="2"/>
            <w:noWrap w:val="0"/>
            <w:vAlign w:val="center"/>
          </w:tcPr>
          <w:p w14:paraId="07FF2DF6">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lang w:val="en-US" w:eastAsia="zh-CN"/>
              </w:rPr>
              <w:t>投标报价</w:t>
            </w:r>
          </w:p>
          <w:p w14:paraId="1DDAA112">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w:t>
            </w:r>
            <w:r>
              <w:rPr>
                <w:rFonts w:hint="eastAsia" w:ascii="宋体" w:hAnsi="宋体" w:cs="宋体"/>
                <w:b/>
                <w:bCs/>
                <w:color w:val="auto"/>
                <w:spacing w:val="-3"/>
                <w:sz w:val="21"/>
                <w:szCs w:val="21"/>
                <w:highlight w:val="none"/>
                <w:lang w:val="en-US" w:eastAsia="zh-CN"/>
              </w:rPr>
              <w:t>3</w:t>
            </w:r>
            <w:r>
              <w:rPr>
                <w:rFonts w:hint="eastAsia" w:ascii="宋体" w:hAnsi="宋体" w:eastAsia="宋体" w:cs="宋体"/>
                <w:b/>
                <w:bCs/>
                <w:color w:val="auto"/>
                <w:spacing w:val="-3"/>
                <w:sz w:val="21"/>
                <w:szCs w:val="21"/>
                <w:highlight w:val="none"/>
                <w:lang w:val="en-US" w:eastAsia="zh-CN"/>
              </w:rPr>
              <w:t>0</w:t>
            </w:r>
            <w:r>
              <w:rPr>
                <w:rFonts w:hint="eastAsia" w:ascii="宋体" w:hAnsi="宋体" w:eastAsia="宋体" w:cs="宋体"/>
                <w:b/>
                <w:bCs/>
                <w:color w:val="auto"/>
                <w:spacing w:val="-3"/>
                <w:sz w:val="21"/>
                <w:szCs w:val="21"/>
                <w:highlight w:val="none"/>
              </w:rPr>
              <w:t>分）</w:t>
            </w:r>
          </w:p>
        </w:tc>
        <w:tc>
          <w:tcPr>
            <w:tcW w:w="8393" w:type="dxa"/>
            <w:noWrap w:val="0"/>
            <w:vAlign w:val="center"/>
          </w:tcPr>
          <w:p w14:paraId="019598E9">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采用低价优先法计算，即满足采购文件要求且价格最低的投标报价为投标基准价，其价格分为满分</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0分。其他投标人的价格分统一按照下列公式计算：投标报价得分=(投标基准价／投标报价)×</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0（小数点保留两位）</w:t>
            </w:r>
          </w:p>
          <w:p w14:paraId="2B064C10">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cs="宋体"/>
                <w:b/>
                <w:bCs/>
                <w:color w:val="auto"/>
                <w:sz w:val="21"/>
                <w:szCs w:val="21"/>
                <w:highlight w:val="none"/>
                <w:lang w:eastAsia="zh-CN"/>
              </w:rPr>
              <w:t>投标报价超出项目预算金额或超出投标单价限价的，按无效标处理。</w:t>
            </w:r>
          </w:p>
        </w:tc>
      </w:tr>
      <w:tr w14:paraId="5B35E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38" w:hRule="atLeast"/>
          <w:jc w:val="center"/>
        </w:trPr>
        <w:tc>
          <w:tcPr>
            <w:tcW w:w="1056" w:type="dxa"/>
            <w:vMerge w:val="restart"/>
            <w:noWrap w:val="0"/>
            <w:vAlign w:val="center"/>
          </w:tcPr>
          <w:p w14:paraId="1483A9A9">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商务部分</w:t>
            </w:r>
          </w:p>
          <w:p w14:paraId="2EF7F32F">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12</w:t>
            </w:r>
            <w:r>
              <w:rPr>
                <w:rFonts w:hint="eastAsia" w:ascii="宋体" w:hAnsi="宋体" w:eastAsia="宋体" w:cs="宋体"/>
                <w:b/>
                <w:bCs/>
                <w:color w:val="auto"/>
                <w:spacing w:val="-3"/>
                <w:sz w:val="21"/>
                <w:szCs w:val="21"/>
                <w:highlight w:val="none"/>
                <w:lang w:val="en-US" w:eastAsia="zh-CN"/>
              </w:rPr>
              <w:t>分）</w:t>
            </w:r>
          </w:p>
        </w:tc>
        <w:tc>
          <w:tcPr>
            <w:tcW w:w="1058" w:type="dxa"/>
            <w:noWrap w:val="0"/>
            <w:vAlign w:val="center"/>
          </w:tcPr>
          <w:p w14:paraId="2687A47F">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服务业绩</w:t>
            </w:r>
          </w:p>
          <w:p w14:paraId="11667479">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10</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2F655B55">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提供202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w:t>
            </w:r>
            <w:r>
              <w:rPr>
                <w:rFonts w:hint="eastAsia" w:ascii="宋体" w:hAnsi="宋体" w:cs="宋体"/>
                <w:color w:val="auto"/>
                <w:sz w:val="21"/>
                <w:szCs w:val="21"/>
                <w:highlight w:val="none"/>
                <w:lang w:val="en-US" w:eastAsia="zh-CN"/>
              </w:rPr>
              <w:t>至招标公告发布日期前（不含当天）</w:t>
            </w:r>
            <w:r>
              <w:rPr>
                <w:rFonts w:hint="eastAsia" w:ascii="宋体" w:hAnsi="宋体" w:eastAsia="宋体" w:cs="宋体"/>
                <w:color w:val="auto"/>
                <w:sz w:val="21"/>
                <w:szCs w:val="21"/>
                <w:highlight w:val="none"/>
                <w:lang w:val="en-US" w:eastAsia="zh-CN"/>
              </w:rPr>
              <w:t>的</w:t>
            </w:r>
            <w:r>
              <w:rPr>
                <w:rFonts w:hint="eastAsia" w:ascii="宋体" w:hAnsi="宋体" w:cs="宋体"/>
                <w:color w:val="auto"/>
                <w:sz w:val="21"/>
                <w:szCs w:val="21"/>
                <w:highlight w:val="none"/>
                <w:lang w:val="en-US" w:eastAsia="zh-CN"/>
              </w:rPr>
              <w:t>与所招标的标的内容相同的</w:t>
            </w:r>
            <w:r>
              <w:rPr>
                <w:rFonts w:hint="eastAsia" w:ascii="宋体" w:hAnsi="宋体" w:eastAsia="宋体" w:cs="宋体"/>
                <w:color w:val="auto"/>
                <w:sz w:val="21"/>
                <w:szCs w:val="21"/>
                <w:highlight w:val="none"/>
                <w:lang w:val="en-US" w:eastAsia="zh-CN"/>
              </w:rPr>
              <w:t>服务业绩</w:t>
            </w:r>
            <w:r>
              <w:rPr>
                <w:rFonts w:hint="eastAsia" w:ascii="宋体" w:hAnsi="宋体" w:cs="宋体"/>
                <w:color w:val="auto"/>
                <w:sz w:val="21"/>
                <w:szCs w:val="21"/>
                <w:highlight w:val="none"/>
                <w:lang w:val="en-US" w:eastAsia="zh-CN"/>
              </w:rPr>
              <w:t>，且所供货单位须为</w:t>
            </w:r>
            <w:r>
              <w:rPr>
                <w:rFonts w:hint="eastAsia" w:ascii="宋体" w:hAnsi="宋体" w:cs="宋体"/>
                <w:b/>
                <w:bCs/>
                <w:color w:val="auto"/>
                <w:sz w:val="21"/>
                <w:szCs w:val="21"/>
                <w:highlight w:val="none"/>
                <w:lang w:val="en-US" w:eastAsia="zh-CN"/>
              </w:rPr>
              <w:t>医院</w:t>
            </w:r>
            <w:r>
              <w:rPr>
                <w:rFonts w:hint="eastAsia" w:ascii="宋体" w:hAnsi="宋体" w:cs="宋体"/>
                <w:color w:val="auto"/>
                <w:sz w:val="21"/>
                <w:szCs w:val="21"/>
                <w:highlight w:val="none"/>
                <w:lang w:val="en-US" w:eastAsia="zh-CN"/>
              </w:rPr>
              <w:t>或</w:t>
            </w:r>
            <w:r>
              <w:rPr>
                <w:rFonts w:hint="eastAsia" w:ascii="宋体" w:hAnsi="宋体" w:cs="宋体"/>
                <w:b/>
                <w:bCs/>
                <w:color w:val="auto"/>
                <w:sz w:val="21"/>
                <w:szCs w:val="21"/>
                <w:highlight w:val="none"/>
                <w:lang w:val="en-US" w:eastAsia="zh-CN"/>
              </w:rPr>
              <w:t>药厂</w:t>
            </w:r>
            <w:r>
              <w:rPr>
                <w:rFonts w:hint="eastAsia" w:ascii="宋体" w:hAnsi="宋体" w:cs="宋体"/>
                <w:color w:val="auto"/>
                <w:sz w:val="21"/>
                <w:szCs w:val="21"/>
                <w:highlight w:val="none"/>
                <w:lang w:val="en-US" w:eastAsia="zh-CN"/>
              </w:rPr>
              <w:t>或</w:t>
            </w:r>
            <w:r>
              <w:rPr>
                <w:rFonts w:hint="eastAsia" w:ascii="宋体" w:hAnsi="宋体" w:cs="宋体"/>
                <w:b/>
                <w:bCs/>
                <w:color w:val="auto"/>
                <w:sz w:val="21"/>
                <w:szCs w:val="21"/>
                <w:highlight w:val="none"/>
                <w:lang w:val="en-US" w:eastAsia="zh-CN"/>
              </w:rPr>
              <w:t>生产企业</w:t>
            </w:r>
            <w:r>
              <w:rPr>
                <w:rFonts w:hint="eastAsia" w:ascii="宋体" w:hAnsi="宋体" w:eastAsia="宋体" w:cs="宋体"/>
                <w:color w:val="auto"/>
                <w:sz w:val="21"/>
                <w:szCs w:val="21"/>
                <w:highlight w:val="none"/>
              </w:rPr>
              <w:t>，每提供一</w:t>
            </w:r>
            <w:r>
              <w:rPr>
                <w:rFonts w:hint="eastAsia" w:ascii="宋体" w:hAnsi="宋体" w:eastAsia="宋体" w:cs="宋体"/>
                <w:color w:val="auto"/>
                <w:sz w:val="21"/>
                <w:szCs w:val="21"/>
                <w:highlight w:val="none"/>
                <w:lang w:val="en-US" w:eastAsia="zh-CN"/>
              </w:rPr>
              <w:t>份</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分，最多得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分，不提供不得分。（时间以合同签订时间为准。）</w:t>
            </w:r>
          </w:p>
          <w:p w14:paraId="4AE8E75A">
            <w:pPr>
              <w:pStyle w:val="6"/>
              <w:pageBreakBefore w:val="0"/>
              <w:widowControl w:val="0"/>
              <w:numPr>
                <w:ilvl w:val="2"/>
                <w:numId w:val="0"/>
              </w:numPr>
              <w:kinsoku/>
              <w:wordWrap/>
              <w:overflowPunct/>
              <w:topLinePunct w:val="0"/>
              <w:autoSpaceDE/>
              <w:autoSpaceDN/>
              <w:bidi w:val="0"/>
              <w:adjustRightInd/>
              <w:snapToGrid/>
              <w:spacing w:before="0" w:after="0" w:line="360" w:lineRule="auto"/>
              <w:ind w:left="0" w:leftChars="0" w:right="0" w:firstLine="422" w:firstLineChars="200"/>
              <w:textAlignment w:val="auto"/>
              <w:rPr>
                <w:rFonts w:hint="eastAsia" w:ascii="宋体" w:hAnsi="宋体" w:cs="宋体"/>
                <w:b/>
                <w:i w:val="0"/>
                <w:color w:val="auto"/>
                <w:kern w:val="0"/>
                <w:sz w:val="21"/>
                <w:szCs w:val="21"/>
                <w:highlight w:val="none"/>
                <w:u w:val="none"/>
                <w:lang w:val="en-US" w:eastAsia="zh-CN" w:bidi="ar"/>
              </w:rPr>
            </w:pPr>
            <w:r>
              <w:rPr>
                <w:rFonts w:hint="eastAsia" w:ascii="宋体" w:hAnsi="宋体" w:cs="宋体"/>
                <w:b/>
                <w:i w:val="0"/>
                <w:color w:val="auto"/>
                <w:kern w:val="0"/>
                <w:sz w:val="21"/>
                <w:szCs w:val="21"/>
                <w:highlight w:val="none"/>
                <w:u w:val="none"/>
                <w:lang w:val="en-US" w:eastAsia="zh-CN" w:bidi="ar"/>
              </w:rPr>
              <w:t>注：</w:t>
            </w:r>
          </w:p>
          <w:p w14:paraId="617263F0">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1.须提供合同复印件（合同原件备查）及该合同项下对应的任一结算周期（须在上述时间范围内）发票复印件及发票对应国家税务总局全国增值税发票查验平台查验截图。</w:t>
            </w:r>
          </w:p>
          <w:p w14:paraId="2D1F5FD7">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2.合同复印件必须至少包含清晰的双方印章、合同主要内容、金额、时间等合同信息，缺少任何一项视同合同无效。</w:t>
            </w:r>
          </w:p>
          <w:p w14:paraId="024C0F16">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3.同一合作单位（包括合同中的同一甲方，为同一单位不同分支机构提供服务的也算同一合作单位）同一项下的同类业绩，按一份计算，不重复计分。</w:t>
            </w:r>
            <w:r>
              <w:rPr>
                <w:rFonts w:hint="eastAsia" w:ascii="宋体" w:hAnsi="宋体" w:cs="宋体"/>
                <w:color w:val="auto"/>
                <w:sz w:val="21"/>
                <w:szCs w:val="21"/>
                <w:highlight w:val="none"/>
                <w:lang w:val="en-US" w:eastAsia="zh-CN"/>
              </w:rPr>
              <w:t>子母公司的业绩合同以合同签订方为准，不得授权使用。</w:t>
            </w:r>
          </w:p>
          <w:p w14:paraId="5012D83A">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4.业绩合同中所提供产品的品牌须与所投产品的品牌一致，否则不得分。</w:t>
            </w:r>
          </w:p>
          <w:p w14:paraId="3A72140A">
            <w:pPr>
              <w:pageBreakBefore w:val="0"/>
              <w:widowControl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default"/>
                <w:color w:val="auto"/>
                <w:highlight w:val="none"/>
                <w:lang w:val="en-US"/>
              </w:rPr>
            </w:pPr>
            <w:r>
              <w:rPr>
                <w:rFonts w:hint="eastAsia" w:ascii="宋体" w:hAnsi="宋体" w:eastAsia="宋体" w:cs="宋体"/>
                <w:color w:val="auto"/>
                <w:sz w:val="21"/>
                <w:szCs w:val="21"/>
                <w:highlight w:val="none"/>
                <w:lang w:val="en-US" w:eastAsia="zh-CN"/>
              </w:rPr>
              <w:t>5.业绩合同中所提供产品的名称须与所招标的标的名称一致，否则不得分。</w:t>
            </w:r>
          </w:p>
        </w:tc>
      </w:tr>
      <w:tr w14:paraId="0C9CB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38" w:hRule="atLeast"/>
          <w:jc w:val="center"/>
        </w:trPr>
        <w:tc>
          <w:tcPr>
            <w:tcW w:w="1056" w:type="dxa"/>
            <w:vMerge w:val="continue"/>
            <w:noWrap w:val="0"/>
            <w:vAlign w:val="center"/>
          </w:tcPr>
          <w:p w14:paraId="5247A622">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p>
        </w:tc>
        <w:tc>
          <w:tcPr>
            <w:tcW w:w="1058" w:type="dxa"/>
            <w:noWrap w:val="0"/>
            <w:vAlign w:val="center"/>
          </w:tcPr>
          <w:p w14:paraId="5EF8FC9F">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cs="宋体"/>
                <w:b/>
                <w:bCs/>
                <w:color w:val="auto"/>
                <w:spacing w:val="-3"/>
                <w:sz w:val="21"/>
                <w:szCs w:val="21"/>
                <w:highlight w:val="none"/>
                <w:lang w:val="en-US" w:eastAsia="zh-CN"/>
              </w:rPr>
            </w:pPr>
            <w:r>
              <w:rPr>
                <w:rFonts w:hint="eastAsia" w:ascii="宋体" w:hAnsi="宋体" w:cs="宋体"/>
                <w:b/>
                <w:bCs/>
                <w:color w:val="auto"/>
                <w:spacing w:val="-3"/>
                <w:sz w:val="21"/>
                <w:szCs w:val="21"/>
                <w:highlight w:val="none"/>
                <w:lang w:val="en-US" w:eastAsia="zh-CN"/>
              </w:rPr>
              <w:t>产品优势</w:t>
            </w:r>
          </w:p>
          <w:p w14:paraId="47F4068F">
            <w:pPr>
              <w:pStyle w:val="2"/>
              <w:rPr>
                <w:rFonts w:hint="default"/>
                <w:color w:val="auto"/>
                <w:highlight w:val="none"/>
                <w:lang w:val="en-US" w:eastAsia="zh-CN"/>
              </w:rPr>
            </w:pPr>
            <w:r>
              <w:rPr>
                <w:rFonts w:hint="eastAsia" w:ascii="宋体" w:hAnsi="宋体" w:cs="宋体"/>
                <w:b/>
                <w:bCs/>
                <w:color w:val="auto"/>
                <w:spacing w:val="-3"/>
                <w:sz w:val="21"/>
                <w:szCs w:val="21"/>
                <w:highlight w:val="none"/>
                <w:lang w:val="en-US" w:eastAsia="zh-CN"/>
              </w:rPr>
              <w:t>（2分）</w:t>
            </w:r>
          </w:p>
        </w:tc>
        <w:tc>
          <w:tcPr>
            <w:tcW w:w="8393" w:type="dxa"/>
            <w:noWrap w:val="0"/>
            <w:vAlign w:val="center"/>
          </w:tcPr>
          <w:p w14:paraId="12D71978">
            <w:pPr>
              <w:numPr>
                <w:ilvl w:val="0"/>
                <w:numId w:val="0"/>
              </w:num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cs="宋体"/>
                <w:color w:val="auto"/>
                <w:szCs w:val="21"/>
                <w:highlight w:val="none"/>
                <w:lang w:val="en-US" w:eastAsia="zh-CN"/>
              </w:rPr>
              <w:t>投标人拟提供的产品具有连续三批次稳定性报告的得2分。</w:t>
            </w:r>
          </w:p>
          <w:p w14:paraId="1FBFC5E9">
            <w:pPr>
              <w:numPr>
                <w:ilvl w:val="0"/>
                <w:numId w:val="0"/>
              </w:numPr>
              <w:spacing w:line="360" w:lineRule="auto"/>
              <w:ind w:firstLineChars="200"/>
              <w:rPr>
                <w:rFonts w:hint="default"/>
                <w:color w:val="auto"/>
                <w:highlight w:val="none"/>
                <w:lang w:val="en-US" w:eastAsia="zh-CN"/>
              </w:rPr>
            </w:pPr>
            <w:r>
              <w:rPr>
                <w:rFonts w:hint="eastAsia" w:ascii="宋体" w:hAnsi="宋体" w:cs="宋体"/>
                <w:color w:val="auto"/>
                <w:szCs w:val="21"/>
                <w:highlight w:val="none"/>
                <w:lang w:val="en-US" w:eastAsia="zh-CN"/>
              </w:rPr>
              <w:t>注：须提供相关证明材料复印件并加盖公章。</w:t>
            </w:r>
          </w:p>
        </w:tc>
      </w:tr>
      <w:tr w14:paraId="0CCE9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45" w:hRule="atLeast"/>
          <w:jc w:val="center"/>
        </w:trPr>
        <w:tc>
          <w:tcPr>
            <w:tcW w:w="1056" w:type="dxa"/>
            <w:vMerge w:val="restart"/>
            <w:noWrap w:val="0"/>
            <w:vAlign w:val="center"/>
          </w:tcPr>
          <w:p w14:paraId="1FE1C9B3">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技术部分</w:t>
            </w:r>
          </w:p>
          <w:p w14:paraId="3B57FA81">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58</w:t>
            </w:r>
            <w:r>
              <w:rPr>
                <w:rFonts w:hint="eastAsia" w:ascii="宋体" w:hAnsi="宋体" w:eastAsia="宋体" w:cs="宋体"/>
                <w:b/>
                <w:bCs/>
                <w:color w:val="auto"/>
                <w:spacing w:val="-3"/>
                <w:sz w:val="21"/>
                <w:szCs w:val="21"/>
                <w:highlight w:val="none"/>
                <w:lang w:val="en-US" w:eastAsia="zh-CN"/>
              </w:rPr>
              <w:t>分）</w:t>
            </w:r>
          </w:p>
        </w:tc>
        <w:tc>
          <w:tcPr>
            <w:tcW w:w="1058" w:type="dxa"/>
            <w:noWrap w:val="0"/>
            <w:vAlign w:val="center"/>
          </w:tcPr>
          <w:p w14:paraId="0FB027E5">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cs="宋体"/>
                <w:b/>
                <w:bCs/>
                <w:color w:val="auto"/>
                <w:spacing w:val="-3"/>
                <w:sz w:val="21"/>
                <w:szCs w:val="21"/>
                <w:highlight w:val="none"/>
                <w:lang w:val="en-US" w:eastAsia="zh-CN"/>
              </w:rPr>
            </w:pPr>
            <w:r>
              <w:rPr>
                <w:rFonts w:hint="eastAsia" w:ascii="宋体" w:hAnsi="宋体" w:cs="宋体"/>
                <w:b/>
                <w:bCs/>
                <w:color w:val="auto"/>
                <w:spacing w:val="-3"/>
                <w:sz w:val="21"/>
                <w:szCs w:val="21"/>
                <w:highlight w:val="none"/>
                <w:lang w:val="en-US" w:eastAsia="zh-CN"/>
              </w:rPr>
              <w:t>生产能力</w:t>
            </w:r>
          </w:p>
          <w:p w14:paraId="47AED04B">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kern w:val="2"/>
                <w:sz w:val="21"/>
                <w:szCs w:val="21"/>
                <w:highlight w:val="none"/>
                <w:lang w:val="en-US" w:eastAsia="zh-CN" w:bidi="ar-SA"/>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467D11BB">
            <w:pPr>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val="en-US" w:eastAsia="zh-CN" w:bidi="ar"/>
              </w:rPr>
            </w:pPr>
            <w:r>
              <w:rPr>
                <w:rFonts w:hint="eastAsia" w:ascii="宋体" w:hAnsi="宋体" w:cs="宋体"/>
                <w:color w:val="auto"/>
                <w:sz w:val="21"/>
                <w:szCs w:val="21"/>
                <w:highlight w:val="none"/>
                <w:lang w:val="en-US" w:eastAsia="zh-CN" w:bidi="ar"/>
              </w:rPr>
              <w:t>对投标人具有所投产品生产工艺类型设备进行综合评审：</w:t>
            </w:r>
          </w:p>
          <w:p w14:paraId="08C8A842">
            <w:pPr>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val="en-US" w:eastAsia="zh-CN" w:bidi="ar"/>
              </w:rPr>
            </w:pPr>
            <w:r>
              <w:rPr>
                <w:rFonts w:hint="eastAsia" w:ascii="宋体" w:hAnsi="宋体" w:cs="宋体"/>
                <w:color w:val="auto"/>
                <w:sz w:val="21"/>
                <w:szCs w:val="21"/>
                <w:highlight w:val="none"/>
                <w:lang w:val="en-US" w:eastAsia="zh-CN" w:bidi="ar"/>
              </w:rPr>
              <w:t>设备齐全、安全性强、先进性强的得 6分；</w:t>
            </w:r>
          </w:p>
          <w:p w14:paraId="06C84117">
            <w:pPr>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val="en-US" w:eastAsia="zh-CN" w:bidi="ar"/>
              </w:rPr>
            </w:pPr>
            <w:r>
              <w:rPr>
                <w:rFonts w:hint="eastAsia" w:ascii="宋体" w:hAnsi="宋体" w:cs="宋体"/>
                <w:color w:val="auto"/>
                <w:sz w:val="21"/>
                <w:szCs w:val="21"/>
                <w:highlight w:val="none"/>
                <w:lang w:val="en-US" w:eastAsia="zh-CN" w:bidi="ar"/>
              </w:rPr>
              <w:t>设备齐全、安全性一般、先进性一般的得3分；</w:t>
            </w:r>
          </w:p>
          <w:p w14:paraId="272A4B6F">
            <w:pPr>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val="en-US" w:eastAsia="zh-CN" w:bidi="ar"/>
              </w:rPr>
            </w:pPr>
            <w:r>
              <w:rPr>
                <w:rFonts w:hint="eastAsia" w:ascii="宋体" w:hAnsi="宋体" w:cs="宋体"/>
                <w:color w:val="auto"/>
                <w:sz w:val="21"/>
                <w:szCs w:val="21"/>
                <w:highlight w:val="none"/>
                <w:lang w:val="en-US" w:eastAsia="zh-CN" w:bidi="ar"/>
              </w:rPr>
              <w:t>设备可完成生产需要，安全性和先进性差得1分。</w:t>
            </w:r>
          </w:p>
          <w:p w14:paraId="1571A61C">
            <w:pPr>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bidi="ar"/>
              </w:rPr>
              <w:t>提供所投产品生产厂商的生产车间图片，未提供不得分。</w:t>
            </w:r>
          </w:p>
        </w:tc>
      </w:tr>
      <w:tr w14:paraId="0DF59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6" w:hRule="atLeast"/>
          <w:jc w:val="center"/>
        </w:trPr>
        <w:tc>
          <w:tcPr>
            <w:tcW w:w="1056" w:type="dxa"/>
            <w:vMerge w:val="continue"/>
            <w:noWrap w:val="0"/>
            <w:vAlign w:val="center"/>
          </w:tcPr>
          <w:p w14:paraId="31728B61">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tcBorders>
              <w:top w:val="nil"/>
            </w:tcBorders>
            <w:noWrap w:val="0"/>
            <w:vAlign w:val="center"/>
          </w:tcPr>
          <w:p w14:paraId="64B8C6A3">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default" w:ascii="宋体" w:hAnsi="宋体" w:cs="宋体"/>
                <w:b/>
                <w:bCs/>
                <w:color w:val="auto"/>
                <w:spacing w:val="-3"/>
                <w:sz w:val="21"/>
                <w:szCs w:val="21"/>
                <w:highlight w:val="none"/>
                <w:lang w:val="en-US" w:eastAsia="zh-CN"/>
              </w:rPr>
            </w:pPr>
            <w:r>
              <w:rPr>
                <w:rFonts w:hint="eastAsia" w:ascii="宋体" w:hAnsi="宋体" w:cs="宋体"/>
                <w:b/>
                <w:bCs/>
                <w:color w:val="auto"/>
                <w:spacing w:val="-3"/>
                <w:sz w:val="21"/>
                <w:szCs w:val="21"/>
                <w:highlight w:val="none"/>
                <w:lang w:val="en-US" w:eastAsia="zh-CN"/>
              </w:rPr>
              <w:t>管理制度与服务程序</w:t>
            </w:r>
          </w:p>
          <w:p w14:paraId="23C5B960">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kern w:val="2"/>
                <w:sz w:val="21"/>
                <w:szCs w:val="21"/>
                <w:highlight w:val="none"/>
                <w:lang w:val="en-US" w:eastAsia="zh-CN" w:bidi="ar-SA"/>
              </w:rPr>
            </w:pPr>
            <w:r>
              <w:rPr>
                <w:rFonts w:hint="eastAsia" w:ascii="宋体" w:hAnsi="宋体" w:eastAsia="宋体" w:cs="宋体"/>
                <w:b/>
                <w:bCs/>
                <w:color w:val="auto"/>
                <w:spacing w:val="-3"/>
                <w:sz w:val="21"/>
                <w:szCs w:val="21"/>
                <w:highlight w:val="none"/>
                <w:lang w:eastAsia="zh-CN"/>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5C80AEBB">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bidi="ar"/>
              </w:rPr>
              <w:t>投标人必须严格执行国家</w:t>
            </w:r>
            <w:r>
              <w:rPr>
                <w:rFonts w:hint="eastAsia" w:ascii="宋体" w:hAnsi="宋体" w:cs="宋体"/>
                <w:color w:val="auto"/>
                <w:sz w:val="21"/>
                <w:szCs w:val="21"/>
                <w:highlight w:val="none"/>
                <w:lang w:val="en-US" w:eastAsia="zh-CN" w:bidi="ar"/>
              </w:rPr>
              <w:t>相关</w:t>
            </w:r>
            <w:r>
              <w:rPr>
                <w:rFonts w:hint="eastAsia" w:ascii="宋体" w:hAnsi="宋体" w:cs="宋体"/>
                <w:color w:val="auto"/>
                <w:sz w:val="21"/>
                <w:szCs w:val="21"/>
                <w:highlight w:val="none"/>
                <w:lang w:bidi="ar"/>
              </w:rPr>
              <w:t>标准</w:t>
            </w:r>
            <w:r>
              <w:rPr>
                <w:rFonts w:hint="eastAsia" w:ascii="宋体" w:hAnsi="宋体" w:cs="宋体"/>
                <w:color w:val="auto"/>
                <w:sz w:val="21"/>
                <w:szCs w:val="21"/>
                <w:highlight w:val="none"/>
                <w:lang w:eastAsia="zh-CN" w:bidi="ar"/>
              </w:rPr>
              <w:t>、</w:t>
            </w:r>
            <w:r>
              <w:rPr>
                <w:rFonts w:hint="eastAsia" w:ascii="宋体" w:hAnsi="宋体" w:cs="宋体"/>
                <w:color w:val="auto"/>
                <w:sz w:val="21"/>
                <w:szCs w:val="21"/>
                <w:highlight w:val="none"/>
                <w:lang w:bidi="ar"/>
              </w:rPr>
              <w:t>规范</w:t>
            </w:r>
            <w:r>
              <w:rPr>
                <w:rFonts w:hint="eastAsia" w:ascii="宋体" w:hAnsi="宋体" w:cs="宋体"/>
                <w:color w:val="auto"/>
                <w:sz w:val="21"/>
                <w:szCs w:val="21"/>
                <w:highlight w:val="none"/>
                <w:lang w:eastAsia="zh-CN" w:bidi="ar"/>
              </w:rPr>
              <w:t>：</w:t>
            </w:r>
          </w:p>
          <w:p w14:paraId="246F3C40">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提供的制度和程序完整合理符合规范，且可行性强的得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64DCEFEB">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提供的制度和程序基本合理规范有缺陷、可行性一般的得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5BF84E26">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提供的制度和程序不完整，有多处不规范、可行性较差的得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w:t>
            </w:r>
          </w:p>
          <w:p w14:paraId="65873D80">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未提供不得分。</w:t>
            </w:r>
          </w:p>
        </w:tc>
      </w:tr>
      <w:tr w14:paraId="644CD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8" w:hRule="atLeast"/>
          <w:jc w:val="center"/>
        </w:trPr>
        <w:tc>
          <w:tcPr>
            <w:tcW w:w="1056" w:type="dxa"/>
            <w:vMerge w:val="continue"/>
            <w:noWrap w:val="0"/>
            <w:vAlign w:val="center"/>
          </w:tcPr>
          <w:p w14:paraId="39BD168B">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0FD2CC56">
            <w:pPr>
              <w:widowControl/>
              <w:spacing w:line="360" w:lineRule="auto"/>
              <w:jc w:val="center"/>
              <w:rPr>
                <w:rFonts w:hint="eastAsia" w:ascii="宋体" w:hAnsi="宋体" w:cs="宋体"/>
                <w:b/>
                <w:bCs/>
                <w:color w:val="auto"/>
                <w:spacing w:val="-3"/>
                <w:szCs w:val="21"/>
                <w:highlight w:val="none"/>
              </w:rPr>
            </w:pPr>
            <w:r>
              <w:rPr>
                <w:rFonts w:hint="eastAsia" w:ascii="宋体" w:hAnsi="宋体" w:cs="宋体"/>
                <w:b/>
                <w:bCs/>
                <w:color w:val="auto"/>
                <w:spacing w:val="-3"/>
                <w:szCs w:val="21"/>
                <w:highlight w:val="none"/>
              </w:rPr>
              <w:t>紧急预案</w:t>
            </w:r>
          </w:p>
          <w:p w14:paraId="36A6CC87">
            <w:pPr>
              <w:widowControl/>
              <w:spacing w:line="360" w:lineRule="auto"/>
              <w:jc w:val="center"/>
              <w:rPr>
                <w:rFonts w:hint="eastAsia" w:ascii="宋体" w:hAnsi="宋体" w:eastAsia="宋体" w:cs="宋体"/>
                <w:b/>
                <w:bCs/>
                <w:color w:val="auto"/>
                <w:spacing w:val="-3"/>
                <w:sz w:val="21"/>
                <w:szCs w:val="21"/>
                <w:highlight w:val="none"/>
                <w:lang w:val="en-US" w:eastAsia="zh-CN"/>
              </w:rPr>
            </w:pPr>
            <w:r>
              <w:rPr>
                <w:rFonts w:hint="eastAsia" w:ascii="宋体" w:hAnsi="宋体" w:cs="宋体"/>
                <w:b/>
                <w:bCs/>
                <w:color w:val="auto"/>
                <w:spacing w:val="-3"/>
                <w:szCs w:val="21"/>
                <w:highlight w:val="none"/>
              </w:rPr>
              <w:t>（</w:t>
            </w:r>
            <w:r>
              <w:rPr>
                <w:rFonts w:hint="eastAsia" w:ascii="宋体" w:hAnsi="宋体" w:cs="宋体"/>
                <w:b/>
                <w:bCs/>
                <w:color w:val="auto"/>
                <w:spacing w:val="-3"/>
                <w:szCs w:val="21"/>
                <w:highlight w:val="none"/>
                <w:lang w:val="en-US" w:eastAsia="zh-CN"/>
              </w:rPr>
              <w:t>6</w:t>
            </w:r>
            <w:r>
              <w:rPr>
                <w:rFonts w:hint="eastAsia" w:ascii="宋体" w:hAnsi="宋体" w:cs="宋体"/>
                <w:b/>
                <w:bCs/>
                <w:color w:val="auto"/>
                <w:spacing w:val="-3"/>
                <w:szCs w:val="21"/>
                <w:highlight w:val="none"/>
              </w:rPr>
              <w:t>分）</w:t>
            </w:r>
          </w:p>
        </w:tc>
        <w:tc>
          <w:tcPr>
            <w:tcW w:w="8393" w:type="dxa"/>
            <w:noWrap w:val="0"/>
            <w:vAlign w:val="center"/>
          </w:tcPr>
          <w:p w14:paraId="5C29F9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针对紧急调换货，供应商配货出错等问题采取的措施。</w:t>
            </w:r>
          </w:p>
          <w:p w14:paraId="70988E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方案完整合理、可行性强的得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p w14:paraId="6FC256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方案合理有缺陷、可行性一般的得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p w14:paraId="7192F2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方案没有针对性，可行性差得</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分。</w:t>
            </w:r>
          </w:p>
          <w:p w14:paraId="51A0C96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Cs w:val="21"/>
                <w:highlight w:val="none"/>
              </w:rPr>
              <w:t>未提供不得分。</w:t>
            </w:r>
          </w:p>
        </w:tc>
      </w:tr>
      <w:tr w14:paraId="1200F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8" w:hRule="atLeast"/>
          <w:jc w:val="center"/>
        </w:trPr>
        <w:tc>
          <w:tcPr>
            <w:tcW w:w="1056" w:type="dxa"/>
            <w:vMerge w:val="continue"/>
            <w:noWrap w:val="0"/>
            <w:vAlign w:val="center"/>
          </w:tcPr>
          <w:p w14:paraId="3783C7E3">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017E7484">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cs="宋体"/>
                <w:b/>
                <w:bCs/>
                <w:color w:val="auto"/>
                <w:spacing w:val="-3"/>
                <w:sz w:val="21"/>
                <w:szCs w:val="21"/>
                <w:highlight w:val="none"/>
                <w:lang w:val="en-US" w:eastAsia="zh-CN"/>
              </w:rPr>
            </w:pPr>
            <w:r>
              <w:rPr>
                <w:rFonts w:hint="eastAsia" w:ascii="宋体" w:hAnsi="宋体" w:cs="宋体"/>
                <w:b/>
                <w:bCs/>
                <w:color w:val="auto"/>
                <w:spacing w:val="-3"/>
                <w:sz w:val="21"/>
                <w:szCs w:val="21"/>
                <w:highlight w:val="none"/>
                <w:lang w:val="en-US" w:eastAsia="zh-CN"/>
              </w:rPr>
              <w:t>追溯能力</w:t>
            </w:r>
          </w:p>
          <w:p w14:paraId="22BE3D27">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kern w:val="2"/>
                <w:sz w:val="21"/>
                <w:szCs w:val="21"/>
                <w:highlight w:val="none"/>
                <w:lang w:val="en-US" w:eastAsia="zh-CN" w:bidi="ar-SA"/>
              </w:rPr>
            </w:pPr>
            <w:r>
              <w:rPr>
                <w:rFonts w:hint="eastAsia" w:ascii="宋体" w:hAnsi="宋体" w:eastAsia="宋体" w:cs="宋体"/>
                <w:b/>
                <w:bCs/>
                <w:color w:val="auto"/>
                <w:spacing w:val="-3"/>
                <w:sz w:val="21"/>
                <w:szCs w:val="21"/>
                <w:highlight w:val="none"/>
              </w:rPr>
              <w:t>（</w:t>
            </w:r>
            <w:r>
              <w:rPr>
                <w:rFonts w:hint="eastAsia" w:ascii="宋体" w:hAnsi="宋体" w:cs="宋体"/>
                <w:b/>
                <w:bCs/>
                <w:color w:val="auto"/>
                <w:spacing w:val="-3"/>
                <w:sz w:val="21"/>
                <w:szCs w:val="21"/>
                <w:highlight w:val="none"/>
                <w:lang w:val="en-US" w:eastAsia="zh-CN"/>
              </w:rPr>
              <w:t>8</w:t>
            </w:r>
            <w:r>
              <w:rPr>
                <w:rFonts w:hint="eastAsia" w:ascii="宋体" w:hAnsi="宋体" w:eastAsia="宋体" w:cs="宋体"/>
                <w:b/>
                <w:bCs/>
                <w:color w:val="auto"/>
                <w:spacing w:val="-3"/>
                <w:sz w:val="21"/>
                <w:szCs w:val="21"/>
                <w:highlight w:val="none"/>
              </w:rPr>
              <w:t>分）</w:t>
            </w:r>
          </w:p>
        </w:tc>
        <w:tc>
          <w:tcPr>
            <w:tcW w:w="8393" w:type="dxa"/>
            <w:noWrap w:val="0"/>
            <w:vAlign w:val="center"/>
          </w:tcPr>
          <w:p w14:paraId="552A00BF">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eastAsia="zh-CN" w:bidi="ar"/>
              </w:rPr>
            </w:pPr>
            <w:r>
              <w:rPr>
                <w:rFonts w:hint="eastAsia" w:ascii="宋体" w:hAnsi="宋体" w:cs="宋体"/>
                <w:color w:val="auto"/>
                <w:sz w:val="21"/>
                <w:szCs w:val="21"/>
                <w:highlight w:val="none"/>
                <w:lang w:bidi="ar"/>
              </w:rPr>
              <w:t>投标人必须严格执行国家</w:t>
            </w:r>
            <w:r>
              <w:rPr>
                <w:rFonts w:hint="eastAsia" w:ascii="宋体" w:hAnsi="宋体" w:cs="宋体"/>
                <w:color w:val="auto"/>
                <w:sz w:val="21"/>
                <w:szCs w:val="21"/>
                <w:highlight w:val="none"/>
                <w:lang w:val="en-US" w:eastAsia="zh-CN" w:bidi="ar"/>
              </w:rPr>
              <w:t>相关</w:t>
            </w:r>
            <w:r>
              <w:rPr>
                <w:rFonts w:hint="eastAsia" w:ascii="宋体" w:hAnsi="宋体" w:cs="宋体"/>
                <w:color w:val="auto"/>
                <w:sz w:val="21"/>
                <w:szCs w:val="21"/>
                <w:highlight w:val="none"/>
                <w:lang w:bidi="ar"/>
              </w:rPr>
              <w:t>标准</w:t>
            </w:r>
            <w:r>
              <w:rPr>
                <w:rFonts w:hint="eastAsia" w:ascii="宋体" w:hAnsi="宋体" w:cs="宋体"/>
                <w:color w:val="auto"/>
                <w:sz w:val="21"/>
                <w:szCs w:val="21"/>
                <w:highlight w:val="none"/>
                <w:lang w:eastAsia="zh-CN" w:bidi="ar"/>
              </w:rPr>
              <w:t>、</w:t>
            </w:r>
            <w:r>
              <w:rPr>
                <w:rFonts w:hint="eastAsia" w:ascii="宋体" w:hAnsi="宋体" w:cs="宋体"/>
                <w:color w:val="auto"/>
                <w:sz w:val="21"/>
                <w:szCs w:val="21"/>
                <w:highlight w:val="none"/>
                <w:lang w:bidi="ar"/>
              </w:rPr>
              <w:t>规范</w:t>
            </w:r>
            <w:r>
              <w:rPr>
                <w:rFonts w:hint="eastAsia" w:ascii="宋体" w:hAnsi="宋体" w:cs="宋体"/>
                <w:color w:val="auto"/>
                <w:sz w:val="21"/>
                <w:szCs w:val="21"/>
                <w:highlight w:val="none"/>
                <w:lang w:eastAsia="zh-CN" w:bidi="ar"/>
              </w:rPr>
              <w:t>：</w:t>
            </w:r>
          </w:p>
          <w:p w14:paraId="304AD67C">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提供详细追溯说明，有溯源系统的，</w:t>
            </w:r>
            <w:r>
              <w:rPr>
                <w:rFonts w:hint="eastAsia" w:ascii="宋体" w:hAnsi="宋体" w:cs="宋体"/>
                <w:color w:val="auto"/>
                <w:sz w:val="21"/>
                <w:szCs w:val="21"/>
                <w:highlight w:val="none"/>
                <w:lang w:val="en-US" w:eastAsia="zh-CN" w:bidi="ar"/>
              </w:rPr>
              <w:t>且系统</w:t>
            </w:r>
            <w:r>
              <w:rPr>
                <w:rFonts w:hint="eastAsia" w:ascii="宋体" w:hAnsi="宋体" w:cs="宋体"/>
                <w:color w:val="auto"/>
                <w:sz w:val="21"/>
                <w:szCs w:val="21"/>
                <w:highlight w:val="none"/>
                <w:lang w:bidi="ar"/>
              </w:rPr>
              <w:t>能够可完整追溯的</w:t>
            </w:r>
            <w:r>
              <w:rPr>
                <w:rFonts w:hint="eastAsia" w:ascii="宋体" w:hAnsi="宋体" w:eastAsia="宋体" w:cs="宋体"/>
                <w:color w:val="auto"/>
                <w:sz w:val="21"/>
                <w:szCs w:val="21"/>
                <w:highlight w:val="none"/>
                <w:lang w:bidi="ar"/>
              </w:rPr>
              <w:t>得</w:t>
            </w:r>
            <w:r>
              <w:rPr>
                <w:rFonts w:hint="eastAsia" w:ascii="宋体" w:hAnsi="宋体" w:cs="宋体"/>
                <w:color w:val="auto"/>
                <w:sz w:val="21"/>
                <w:szCs w:val="21"/>
                <w:highlight w:val="none"/>
                <w:lang w:val="en-US" w:eastAsia="zh-CN" w:bidi="ar"/>
              </w:rPr>
              <w:t>8</w:t>
            </w:r>
            <w:r>
              <w:rPr>
                <w:rFonts w:hint="eastAsia" w:ascii="宋体" w:hAnsi="宋体" w:eastAsia="宋体" w:cs="宋体"/>
                <w:color w:val="auto"/>
                <w:sz w:val="21"/>
                <w:szCs w:val="21"/>
                <w:highlight w:val="none"/>
                <w:lang w:bidi="ar"/>
              </w:rPr>
              <w:t>分；</w:t>
            </w:r>
          </w:p>
          <w:p w14:paraId="787C049F">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提供比较详细追溯说明，且系统能够大致环节都可追溯的得</w:t>
            </w:r>
            <w:r>
              <w:rPr>
                <w:rFonts w:hint="eastAsia" w:ascii="宋体" w:hAnsi="宋体" w:cs="宋体"/>
                <w:color w:val="auto"/>
                <w:sz w:val="21"/>
                <w:szCs w:val="21"/>
                <w:highlight w:val="none"/>
                <w:lang w:val="en-US" w:eastAsia="zh-CN" w:bidi="ar"/>
              </w:rPr>
              <w:t>6</w:t>
            </w:r>
            <w:r>
              <w:rPr>
                <w:rFonts w:hint="eastAsia" w:ascii="宋体" w:hAnsi="宋体" w:eastAsia="宋体" w:cs="宋体"/>
                <w:color w:val="auto"/>
                <w:sz w:val="21"/>
                <w:szCs w:val="21"/>
                <w:highlight w:val="none"/>
                <w:lang w:bidi="ar"/>
              </w:rPr>
              <w:t>分；</w:t>
            </w:r>
          </w:p>
          <w:p w14:paraId="557E41DF">
            <w:pPr>
              <w:numPr>
                <w:ilvl w:val="0"/>
                <w:numId w:val="0"/>
              </w:numPr>
              <w:spacing w:line="360" w:lineRule="auto"/>
              <w:ind w:firstLineChars="200"/>
              <w:rPr>
                <w:rFonts w:hint="eastAsia" w:ascii="宋体" w:hAnsi="宋体" w:eastAsia="宋体" w:cs="宋体"/>
                <w:color w:val="auto"/>
                <w:szCs w:val="21"/>
                <w:highlight w:val="none"/>
                <w:lang w:val="en-US" w:eastAsia="zh-CN" w:bidi="ar"/>
              </w:rPr>
            </w:pPr>
            <w:r>
              <w:rPr>
                <w:rFonts w:hint="eastAsia" w:ascii="宋体" w:hAnsi="宋体" w:eastAsia="宋体" w:cs="宋体"/>
                <w:color w:val="auto"/>
                <w:sz w:val="21"/>
                <w:szCs w:val="21"/>
                <w:highlight w:val="none"/>
                <w:lang w:bidi="ar"/>
              </w:rPr>
              <w:t>追溯说明</w:t>
            </w:r>
            <w:r>
              <w:rPr>
                <w:rFonts w:hint="eastAsia" w:ascii="宋体" w:hAnsi="宋体" w:cs="宋体"/>
                <w:color w:val="auto"/>
                <w:sz w:val="21"/>
                <w:szCs w:val="21"/>
                <w:highlight w:val="none"/>
                <w:lang w:val="en-US" w:eastAsia="zh-CN" w:bidi="ar"/>
              </w:rPr>
              <w:t>一般，</w:t>
            </w:r>
            <w:r>
              <w:rPr>
                <w:rFonts w:hint="eastAsia" w:ascii="宋体" w:hAnsi="宋体" w:eastAsia="宋体" w:cs="宋体"/>
                <w:color w:val="auto"/>
                <w:sz w:val="21"/>
                <w:szCs w:val="21"/>
                <w:highlight w:val="none"/>
                <w:lang w:bidi="ar"/>
              </w:rPr>
              <w:t>系统能够大致环节都可追溯的得</w:t>
            </w:r>
            <w:r>
              <w:rPr>
                <w:rFonts w:hint="eastAsia" w:ascii="宋体" w:hAnsi="宋体" w:cs="宋体"/>
                <w:color w:val="auto"/>
                <w:sz w:val="21"/>
                <w:szCs w:val="21"/>
                <w:highlight w:val="none"/>
                <w:lang w:val="en-US" w:eastAsia="zh-CN" w:bidi="ar"/>
              </w:rPr>
              <w:t>3</w:t>
            </w:r>
            <w:r>
              <w:rPr>
                <w:rFonts w:hint="eastAsia" w:ascii="宋体" w:hAnsi="宋体" w:eastAsia="宋体" w:cs="宋体"/>
                <w:color w:val="auto"/>
                <w:sz w:val="21"/>
                <w:szCs w:val="21"/>
                <w:highlight w:val="none"/>
                <w:lang w:bidi="ar"/>
              </w:rPr>
              <w:t>分</w:t>
            </w:r>
            <w:r>
              <w:rPr>
                <w:rFonts w:hint="eastAsia" w:ascii="宋体" w:hAnsi="宋体" w:cs="宋体"/>
                <w:color w:val="auto"/>
                <w:sz w:val="21"/>
                <w:szCs w:val="21"/>
                <w:highlight w:val="none"/>
                <w:lang w:eastAsia="zh-CN" w:bidi="ar"/>
              </w:rPr>
              <w:t>。</w:t>
            </w:r>
          </w:p>
          <w:p w14:paraId="41B15182">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未提供的不得分。</w:t>
            </w:r>
          </w:p>
        </w:tc>
      </w:tr>
      <w:tr w14:paraId="54E5C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8" w:hRule="atLeast"/>
          <w:jc w:val="center"/>
        </w:trPr>
        <w:tc>
          <w:tcPr>
            <w:tcW w:w="1056" w:type="dxa"/>
            <w:vMerge w:val="continue"/>
            <w:noWrap w:val="0"/>
            <w:vAlign w:val="center"/>
          </w:tcPr>
          <w:p w14:paraId="7EB43B9F">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21CC69EA">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default"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供货速度</w:t>
            </w:r>
            <w:r>
              <w:rPr>
                <w:rFonts w:hint="eastAsia" w:ascii="宋体" w:hAnsi="宋体" w:cs="宋体"/>
                <w:b/>
                <w:bCs/>
                <w:color w:val="auto"/>
                <w:spacing w:val="-3"/>
                <w:sz w:val="21"/>
                <w:szCs w:val="21"/>
                <w:highlight w:val="none"/>
                <w:lang w:val="en-US" w:eastAsia="zh-CN"/>
              </w:rPr>
              <w:t>及方案</w:t>
            </w:r>
          </w:p>
          <w:p w14:paraId="535C9553">
            <w:pPr>
              <w:keepNext w:val="0"/>
              <w:keepLines w:val="0"/>
              <w:pageBreakBefore w:val="0"/>
              <w:widowControl/>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511B2B3C">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在满足接招标人通知一周内完成供货的基础上，根据投标人的供货速度进行评审，</w:t>
            </w:r>
          </w:p>
          <w:p w14:paraId="7FF21DCD">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供货速度快，</w:t>
            </w:r>
            <w:r>
              <w:rPr>
                <w:rFonts w:hint="eastAsia" w:ascii="宋体" w:hAnsi="宋体" w:eastAsia="宋体" w:cs="宋体"/>
                <w:color w:val="auto"/>
                <w:sz w:val="21"/>
                <w:szCs w:val="21"/>
                <w:highlight w:val="none"/>
                <w:lang w:val="en-US" w:eastAsia="zh-CN"/>
              </w:rPr>
              <w:t>方案完整合理、可行性强的得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p>
          <w:p w14:paraId="25133227">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供货速度</w:t>
            </w:r>
            <w:r>
              <w:rPr>
                <w:rFonts w:hint="eastAsia" w:ascii="宋体" w:hAnsi="宋体" w:cs="宋体"/>
                <w:color w:val="auto"/>
                <w:sz w:val="21"/>
                <w:szCs w:val="21"/>
                <w:highlight w:val="none"/>
                <w:lang w:val="en-US" w:eastAsia="zh-CN"/>
              </w:rPr>
              <w:t>较</w:t>
            </w:r>
            <w:r>
              <w:rPr>
                <w:rFonts w:hint="eastAsia" w:ascii="宋体" w:hAnsi="宋体" w:eastAsia="宋体" w:cs="宋体"/>
                <w:color w:val="auto"/>
                <w:sz w:val="21"/>
                <w:szCs w:val="21"/>
                <w:highlight w:val="none"/>
                <w:lang w:val="en-US" w:eastAsia="zh-CN"/>
              </w:rPr>
              <w:t>快</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方案合理有缺陷、可行性一般的得3分；</w:t>
            </w:r>
          </w:p>
          <w:p w14:paraId="391BD6F4">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供货速度</w:t>
            </w:r>
            <w:r>
              <w:rPr>
                <w:rFonts w:hint="eastAsia" w:ascii="宋体" w:hAnsi="宋体" w:cs="宋体"/>
                <w:color w:val="auto"/>
                <w:sz w:val="21"/>
                <w:szCs w:val="21"/>
                <w:highlight w:val="none"/>
                <w:lang w:val="en-US" w:eastAsia="zh-CN"/>
              </w:rPr>
              <w:t>基本满足基础要求，</w:t>
            </w:r>
            <w:r>
              <w:rPr>
                <w:rFonts w:hint="eastAsia" w:ascii="宋体" w:hAnsi="宋体" w:eastAsia="宋体" w:cs="宋体"/>
                <w:color w:val="auto"/>
                <w:sz w:val="21"/>
                <w:szCs w:val="21"/>
                <w:highlight w:val="none"/>
                <w:lang w:val="en-US" w:eastAsia="zh-CN"/>
              </w:rPr>
              <w:t>方案没有针对性，可行性差得1分；</w:t>
            </w:r>
          </w:p>
          <w:p w14:paraId="7D6E0D5B">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未提供的不得分。</w:t>
            </w:r>
          </w:p>
        </w:tc>
      </w:tr>
      <w:tr w14:paraId="40212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8" w:hRule="atLeast"/>
          <w:jc w:val="center"/>
        </w:trPr>
        <w:tc>
          <w:tcPr>
            <w:tcW w:w="1056" w:type="dxa"/>
            <w:vMerge w:val="continue"/>
            <w:noWrap w:val="0"/>
            <w:vAlign w:val="center"/>
          </w:tcPr>
          <w:p w14:paraId="327A5679">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7894A6C7">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cs="宋体"/>
                <w:b/>
                <w:bCs/>
                <w:color w:val="auto"/>
                <w:spacing w:val="-3"/>
                <w:sz w:val="21"/>
                <w:szCs w:val="21"/>
                <w:highlight w:val="none"/>
                <w:lang w:val="en-US" w:eastAsia="zh-CN"/>
              </w:rPr>
            </w:pPr>
            <w:r>
              <w:rPr>
                <w:rFonts w:hint="eastAsia" w:ascii="宋体" w:hAnsi="宋体" w:cs="宋体"/>
                <w:b/>
                <w:bCs/>
                <w:color w:val="auto"/>
                <w:spacing w:val="-3"/>
                <w:sz w:val="21"/>
                <w:szCs w:val="21"/>
                <w:highlight w:val="none"/>
                <w:lang w:val="en-US" w:eastAsia="zh-CN"/>
              </w:rPr>
              <w:t>退换货速度及方案</w:t>
            </w:r>
          </w:p>
          <w:p w14:paraId="7C15D223">
            <w:pPr>
              <w:keepNext w:val="0"/>
              <w:keepLines w:val="0"/>
              <w:pageBreakBefore w:val="0"/>
              <w:widowControl/>
              <w:kinsoku/>
              <w:wordWrap/>
              <w:overflowPunct/>
              <w:topLinePunct w:val="0"/>
              <w:autoSpaceDE/>
              <w:autoSpaceDN/>
              <w:bidi w:val="0"/>
              <w:adjustRightInd/>
              <w:snapToGrid/>
              <w:spacing w:line="360" w:lineRule="auto"/>
              <w:ind w:right="0" w:rightChars="0"/>
              <w:jc w:val="center"/>
              <w:textAlignment w:val="auto"/>
              <w:rPr>
                <w:rFonts w:hint="default"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09A2937E">
            <w:pPr>
              <w:keepNext w:val="0"/>
              <w:keepLines w:val="0"/>
              <w:pageBreakBefore w:val="0"/>
              <w:numPr>
                <w:ilvl w:val="0"/>
                <w:numId w:val="0"/>
              </w:numPr>
              <w:kinsoku/>
              <w:wordWrap/>
              <w:overflowPunct/>
              <w:topLinePunct w:val="0"/>
              <w:autoSpaceDE/>
              <w:autoSpaceDN/>
              <w:bidi w:val="0"/>
              <w:adjustRightInd/>
              <w:snapToGrid/>
              <w:spacing w:line="360" w:lineRule="auto"/>
              <w:ind w:left="420" w:leftChars="200"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在满足</w:t>
            </w:r>
            <w:r>
              <w:rPr>
                <w:rFonts w:hint="eastAsia" w:ascii="宋体" w:hAnsi="宋体" w:cs="宋体"/>
                <w:color w:val="auto"/>
                <w:sz w:val="21"/>
                <w:szCs w:val="21"/>
                <w:highlight w:val="none"/>
                <w:lang w:val="en-US" w:eastAsia="zh-CN"/>
              </w:rPr>
              <w:t>接招标人通知</w:t>
            </w:r>
            <w:r>
              <w:rPr>
                <w:rFonts w:hint="eastAsia" w:ascii="宋体" w:hAnsi="宋体" w:eastAsia="宋体" w:cs="宋体"/>
                <w:color w:val="auto"/>
                <w:sz w:val="21"/>
                <w:szCs w:val="21"/>
                <w:highlight w:val="none"/>
              </w:rPr>
              <w:t>一周内</w:t>
            </w:r>
            <w:r>
              <w:rPr>
                <w:rFonts w:hint="eastAsia" w:ascii="宋体" w:hAnsi="宋体" w:eastAsia="宋体" w:cs="宋体"/>
                <w:color w:val="auto"/>
                <w:sz w:val="21"/>
                <w:szCs w:val="21"/>
                <w:highlight w:val="none"/>
                <w:lang w:val="en-US" w:eastAsia="zh-CN"/>
              </w:rPr>
              <w:t>完成退换货的</w:t>
            </w:r>
            <w:r>
              <w:rPr>
                <w:rFonts w:hint="eastAsia" w:ascii="宋体" w:hAnsi="宋体" w:eastAsia="宋体" w:cs="宋体"/>
                <w:color w:val="auto"/>
                <w:sz w:val="21"/>
                <w:szCs w:val="21"/>
                <w:highlight w:val="none"/>
              </w:rPr>
              <w:t>基础上，根据投标人的</w:t>
            </w:r>
            <w:r>
              <w:rPr>
                <w:rFonts w:hint="eastAsia" w:ascii="宋体" w:hAnsi="宋体" w:eastAsia="宋体" w:cs="宋体"/>
                <w:color w:val="auto"/>
                <w:sz w:val="21"/>
                <w:szCs w:val="21"/>
                <w:highlight w:val="none"/>
                <w:lang w:val="en-US" w:eastAsia="zh-CN"/>
              </w:rPr>
              <w:t>退换货速度</w:t>
            </w:r>
            <w:r>
              <w:rPr>
                <w:rFonts w:hint="eastAsia" w:ascii="宋体" w:hAnsi="宋体" w:eastAsia="宋体" w:cs="宋体"/>
                <w:color w:val="auto"/>
                <w:sz w:val="21"/>
                <w:szCs w:val="21"/>
                <w:highlight w:val="none"/>
              </w:rPr>
              <w:t>进行</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退换货速度快，方案完整合理、可行性强的得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4A4D2E43">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退换货速度较快，方案合理有缺陷、可行性一般的得3分；</w:t>
            </w:r>
          </w:p>
          <w:p w14:paraId="36F71530">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退换货速度基本满足基础要求，方案没有针对性，可行性差得1分；</w:t>
            </w:r>
          </w:p>
          <w:p w14:paraId="5AE220C5">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未提供的不得分。</w:t>
            </w:r>
          </w:p>
        </w:tc>
      </w:tr>
      <w:tr w14:paraId="2E096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1056" w:type="dxa"/>
            <w:vMerge w:val="continue"/>
            <w:noWrap w:val="0"/>
            <w:vAlign w:val="center"/>
          </w:tcPr>
          <w:p w14:paraId="3F3A38C3">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5BD42201">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仓储管理能力</w:t>
            </w:r>
          </w:p>
          <w:p w14:paraId="6EEA0609">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rPr>
              <w:t>（</w:t>
            </w:r>
            <w:r>
              <w:rPr>
                <w:rFonts w:hint="eastAsia" w:ascii="宋体" w:hAnsi="宋体" w:cs="宋体"/>
                <w:b/>
                <w:bCs/>
                <w:color w:val="auto"/>
                <w:spacing w:val="-3"/>
                <w:sz w:val="21"/>
                <w:szCs w:val="21"/>
                <w:highlight w:val="none"/>
                <w:lang w:val="en-US" w:eastAsia="zh-CN"/>
              </w:rPr>
              <w:t>5</w:t>
            </w:r>
            <w:r>
              <w:rPr>
                <w:rFonts w:hint="eastAsia" w:ascii="宋体" w:hAnsi="宋体" w:eastAsia="宋体" w:cs="宋体"/>
                <w:b/>
                <w:bCs/>
                <w:color w:val="auto"/>
                <w:spacing w:val="-3"/>
                <w:sz w:val="21"/>
                <w:szCs w:val="21"/>
                <w:highlight w:val="none"/>
              </w:rPr>
              <w:t>分）</w:t>
            </w:r>
          </w:p>
        </w:tc>
        <w:tc>
          <w:tcPr>
            <w:tcW w:w="8393" w:type="dxa"/>
            <w:noWrap w:val="0"/>
            <w:vAlign w:val="center"/>
          </w:tcPr>
          <w:p w14:paraId="08D91E65">
            <w:pPr>
              <w:keepNext w:val="0"/>
              <w:keepLines w:val="0"/>
              <w:pageBreakBefore w:val="0"/>
              <w:numPr>
                <w:ilvl w:val="0"/>
                <w:numId w:val="4"/>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投标人为生产厂商，提供自有或租赁</w:t>
            </w:r>
            <w:r>
              <w:rPr>
                <w:rFonts w:hint="eastAsia" w:ascii="宋体" w:hAnsi="宋体" w:eastAsia="宋体" w:cs="宋体"/>
                <w:color w:val="auto"/>
                <w:sz w:val="21"/>
                <w:szCs w:val="21"/>
                <w:highlight w:val="none"/>
                <w:lang w:val="en-US" w:eastAsia="zh-CN"/>
              </w:rPr>
              <w:t>原辅料</w:t>
            </w:r>
            <w:r>
              <w:rPr>
                <w:rFonts w:hint="eastAsia" w:ascii="宋体" w:hAnsi="宋体" w:eastAsia="宋体" w:cs="宋体"/>
                <w:color w:val="auto"/>
                <w:sz w:val="21"/>
                <w:szCs w:val="21"/>
                <w:highlight w:val="none"/>
              </w:rPr>
              <w:t>仓库</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须提供相关证明材料</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03E697B6">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投标人为</w:t>
            </w:r>
            <w:r>
              <w:rPr>
                <w:rFonts w:hint="eastAsia" w:ascii="宋体" w:hAnsi="宋体" w:cs="宋体"/>
                <w:color w:val="auto"/>
                <w:sz w:val="21"/>
                <w:szCs w:val="21"/>
                <w:highlight w:val="none"/>
                <w:lang w:val="en-US" w:eastAsia="zh-CN"/>
              </w:rPr>
              <w:t>代理商的，提供</w:t>
            </w:r>
            <w:r>
              <w:rPr>
                <w:rFonts w:hint="eastAsia" w:ascii="宋体" w:hAnsi="宋体" w:eastAsia="宋体" w:cs="宋体"/>
                <w:color w:val="auto"/>
                <w:sz w:val="21"/>
                <w:szCs w:val="21"/>
                <w:highlight w:val="none"/>
              </w:rPr>
              <w:t>自有或租赁</w:t>
            </w:r>
            <w:r>
              <w:rPr>
                <w:rFonts w:hint="eastAsia" w:ascii="宋体" w:hAnsi="宋体" w:cs="宋体"/>
                <w:color w:val="auto"/>
                <w:sz w:val="21"/>
                <w:szCs w:val="21"/>
                <w:highlight w:val="none"/>
                <w:lang w:val="en-US" w:eastAsia="zh-CN"/>
              </w:rPr>
              <w:t>原辅料仓库的得3分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须提供相关证明材料</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w:t>
            </w:r>
          </w:p>
          <w:p w14:paraId="67862021">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、具有原辅料仓储质量保证管理制度及规范，制度与记录最</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rPr>
              <w:t>完善的得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有</w:t>
            </w:r>
            <w:r>
              <w:rPr>
                <w:rFonts w:hint="eastAsia" w:ascii="宋体" w:hAnsi="宋体" w:eastAsia="宋体" w:cs="宋体"/>
                <w:color w:val="auto"/>
                <w:sz w:val="21"/>
                <w:szCs w:val="21"/>
                <w:highlight w:val="none"/>
                <w:lang w:val="en-US" w:eastAsia="zh-CN"/>
              </w:rPr>
              <w:t>简单</w:t>
            </w:r>
            <w:r>
              <w:rPr>
                <w:rFonts w:hint="eastAsia" w:ascii="宋体" w:hAnsi="宋体" w:eastAsia="宋体" w:cs="宋体"/>
                <w:color w:val="auto"/>
                <w:sz w:val="21"/>
                <w:szCs w:val="21"/>
                <w:highlight w:val="none"/>
              </w:rPr>
              <w:t>基本的制度与记录的得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分，无制度或无记录的均不得分。</w:t>
            </w:r>
          </w:p>
          <w:p w14:paraId="4662012B">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注：</w:t>
            </w:r>
            <w:r>
              <w:rPr>
                <w:rFonts w:hint="eastAsia" w:ascii="宋体" w:hAnsi="宋体" w:eastAsia="宋体" w:cs="宋体"/>
                <w:color w:val="auto"/>
                <w:sz w:val="21"/>
                <w:szCs w:val="21"/>
                <w:highlight w:val="none"/>
              </w:rPr>
              <w:t>提供仓库产权证明或仓库租赁合同证明，若为租赁仓库需提供租赁合同复印件及</w:t>
            </w:r>
            <w:r>
              <w:rPr>
                <w:rFonts w:hint="eastAsia" w:ascii="宋体" w:hAnsi="宋体" w:cs="宋体"/>
                <w:color w:val="auto"/>
                <w:sz w:val="21"/>
                <w:szCs w:val="21"/>
                <w:highlight w:val="none"/>
                <w:lang w:val="en-US" w:eastAsia="zh-CN"/>
              </w:rPr>
              <w:t>租赁期内开具的</w:t>
            </w:r>
            <w:r>
              <w:rPr>
                <w:rFonts w:hint="eastAsia" w:ascii="宋体" w:hAnsi="宋体" w:eastAsia="宋体" w:cs="宋体"/>
                <w:color w:val="auto"/>
                <w:sz w:val="21"/>
                <w:szCs w:val="21"/>
                <w:highlight w:val="none"/>
              </w:rPr>
              <w:t>发票复印件。未提供证明材料不得分。</w:t>
            </w:r>
          </w:p>
        </w:tc>
      </w:tr>
      <w:tr w14:paraId="2D81F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jc w:val="center"/>
        </w:trPr>
        <w:tc>
          <w:tcPr>
            <w:tcW w:w="1056" w:type="dxa"/>
            <w:vMerge w:val="continue"/>
            <w:noWrap w:val="0"/>
            <w:vAlign w:val="center"/>
          </w:tcPr>
          <w:p w14:paraId="7D246A2C">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48F3F425">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物流配送</w:t>
            </w:r>
          </w:p>
          <w:p w14:paraId="63D921B4">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default"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rPr>
              <w:t>分）</w:t>
            </w:r>
          </w:p>
        </w:tc>
        <w:tc>
          <w:tcPr>
            <w:tcW w:w="8393" w:type="dxa"/>
            <w:noWrap w:val="0"/>
            <w:vAlign w:val="center"/>
          </w:tcPr>
          <w:p w14:paraId="307BEE53">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投标人自有配送车队</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至少</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辆车辆对产品进行配送的得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须提供行驶证等相关证明材料</w:t>
            </w:r>
            <w:r>
              <w:rPr>
                <w:rFonts w:hint="eastAsia" w:ascii="宋体" w:hAnsi="宋体" w:cs="宋体"/>
                <w:color w:val="auto"/>
                <w:sz w:val="21"/>
                <w:szCs w:val="21"/>
                <w:highlight w:val="none"/>
                <w:lang w:eastAsia="zh-CN"/>
              </w:rPr>
              <w:t>）；</w:t>
            </w:r>
          </w:p>
          <w:p w14:paraId="47E9AD1D">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投标人委托固定的第三方配送</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不低于顺丰、京东、EMS同等条件</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。（须提供合同复印件（合同原件备查）及该合同项下对应的任一结算周期（须在上述时间范围内）发票复印件及发票对应国家税务总局全国增值税发票查验平台查验截图。）</w:t>
            </w:r>
          </w:p>
          <w:p w14:paraId="2D148594">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注；</w:t>
            </w:r>
            <w:r>
              <w:rPr>
                <w:rFonts w:hint="eastAsia" w:ascii="宋体" w:hAnsi="宋体" w:eastAsia="宋体" w:cs="宋体"/>
                <w:color w:val="auto"/>
                <w:sz w:val="21"/>
                <w:szCs w:val="21"/>
                <w:highlight w:val="none"/>
              </w:rPr>
              <w:t>两者均无的不得分，不重复叠加给分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提供相关证明材料不得分；</w:t>
            </w:r>
          </w:p>
        </w:tc>
      </w:tr>
      <w:tr w14:paraId="065F8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jc w:val="center"/>
        </w:trPr>
        <w:tc>
          <w:tcPr>
            <w:tcW w:w="1056" w:type="dxa"/>
            <w:vMerge w:val="continue"/>
            <w:noWrap w:val="0"/>
            <w:vAlign w:val="center"/>
          </w:tcPr>
          <w:p w14:paraId="27930E6F">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10F0BC94">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增值服务</w:t>
            </w:r>
          </w:p>
          <w:p w14:paraId="0029CBD2">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6</w:t>
            </w:r>
            <w:r>
              <w:rPr>
                <w:rFonts w:hint="eastAsia" w:ascii="宋体" w:hAnsi="宋体" w:eastAsia="宋体" w:cs="宋体"/>
                <w:b/>
                <w:bCs/>
                <w:color w:val="auto"/>
                <w:spacing w:val="-3"/>
                <w:sz w:val="21"/>
                <w:szCs w:val="21"/>
                <w:highlight w:val="none"/>
                <w:lang w:val="en-US" w:eastAsia="zh-CN"/>
              </w:rPr>
              <w:t>分)</w:t>
            </w:r>
          </w:p>
        </w:tc>
        <w:tc>
          <w:tcPr>
            <w:tcW w:w="8393" w:type="dxa"/>
            <w:noWrap w:val="0"/>
            <w:vAlign w:val="center"/>
          </w:tcPr>
          <w:p w14:paraId="055E78B8">
            <w:pPr>
              <w:keepNext w:val="0"/>
              <w:keepLines w:val="0"/>
              <w:pageBreakBefore w:val="0"/>
              <w:numPr>
                <w:ilvl w:val="0"/>
                <w:numId w:val="0"/>
              </w:numPr>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根据所有投标人提供的增值服务进行</w:t>
            </w:r>
            <w:r>
              <w:rPr>
                <w:rFonts w:hint="eastAsia" w:ascii="宋体" w:hAnsi="宋体" w:cs="宋体"/>
                <w:color w:val="auto"/>
                <w:sz w:val="21"/>
                <w:szCs w:val="21"/>
                <w:highlight w:val="none"/>
                <w:lang w:eastAsia="zh-CN"/>
              </w:rPr>
              <w:t>评审</w:t>
            </w:r>
            <w:r>
              <w:rPr>
                <w:rFonts w:hint="eastAsia" w:ascii="宋体" w:hAnsi="宋体" w:eastAsia="宋体" w:cs="宋体"/>
                <w:color w:val="auto"/>
                <w:sz w:val="21"/>
                <w:szCs w:val="21"/>
                <w:highlight w:val="none"/>
              </w:rPr>
              <w:t>，根据增值服务的可行性、实用性及合作展望进行评价（可提供以往合作案例或服务承诺等材料），针对性强、内容完整合理，得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分；针对性</w:t>
            </w:r>
            <w:r>
              <w:rPr>
                <w:rFonts w:hint="eastAsia" w:ascii="宋体" w:hAnsi="宋体" w:cs="宋体"/>
                <w:color w:val="auto"/>
                <w:sz w:val="21"/>
                <w:szCs w:val="21"/>
                <w:highlight w:val="none"/>
                <w:lang w:val="en-US" w:eastAsia="zh-CN"/>
              </w:rPr>
              <w:t>基本合理，内容完整得4分；</w:t>
            </w:r>
            <w:r>
              <w:rPr>
                <w:rFonts w:hint="eastAsia" w:ascii="宋体" w:hAnsi="宋体" w:eastAsia="宋体" w:cs="宋体"/>
                <w:color w:val="auto"/>
                <w:sz w:val="21"/>
                <w:szCs w:val="21"/>
                <w:highlight w:val="none"/>
              </w:rPr>
              <w:t>针对性一般、内容完整合理性一般，得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分；不提供不得分。</w:t>
            </w:r>
          </w:p>
        </w:tc>
      </w:tr>
      <w:tr w14:paraId="2DCCE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jc w:val="center"/>
        </w:trPr>
        <w:tc>
          <w:tcPr>
            <w:tcW w:w="1056" w:type="dxa"/>
            <w:vMerge w:val="continue"/>
            <w:noWrap w:val="0"/>
            <w:vAlign w:val="center"/>
          </w:tcPr>
          <w:p w14:paraId="702C7CA2">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eastAsia="zh-CN"/>
              </w:rPr>
            </w:pPr>
          </w:p>
        </w:tc>
        <w:tc>
          <w:tcPr>
            <w:tcW w:w="1058" w:type="dxa"/>
            <w:noWrap w:val="0"/>
            <w:vAlign w:val="center"/>
          </w:tcPr>
          <w:p w14:paraId="02B443E6">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现场述标</w:t>
            </w:r>
          </w:p>
          <w:p w14:paraId="43348554">
            <w:pPr>
              <w:keepNext w:val="0"/>
              <w:keepLines w:val="0"/>
              <w:pageBreakBefore w:val="0"/>
              <w:widowControl/>
              <w:kinsoku/>
              <w:wordWrap/>
              <w:overflowPunct/>
              <w:topLinePunct w:val="0"/>
              <w:autoSpaceDE/>
              <w:autoSpaceDN/>
              <w:bidi w:val="0"/>
              <w:adjustRightInd/>
              <w:snapToGrid/>
              <w:spacing w:line="360" w:lineRule="auto"/>
              <w:ind w:right="0"/>
              <w:jc w:val="center"/>
              <w:textAlignment w:val="auto"/>
              <w:rPr>
                <w:rFonts w:hint="default"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w:t>
            </w:r>
            <w:r>
              <w:rPr>
                <w:rFonts w:hint="eastAsia" w:ascii="宋体" w:hAnsi="宋体" w:cs="宋体"/>
                <w:b/>
                <w:bCs/>
                <w:color w:val="auto"/>
                <w:spacing w:val="-3"/>
                <w:sz w:val="21"/>
                <w:szCs w:val="21"/>
                <w:highlight w:val="none"/>
                <w:lang w:val="en-US" w:eastAsia="zh-CN"/>
              </w:rPr>
              <w:t>3</w:t>
            </w:r>
            <w:r>
              <w:rPr>
                <w:rFonts w:hint="eastAsia" w:ascii="宋体" w:hAnsi="宋体" w:eastAsia="宋体" w:cs="宋体"/>
                <w:b/>
                <w:bCs/>
                <w:color w:val="auto"/>
                <w:spacing w:val="-3"/>
                <w:sz w:val="21"/>
                <w:szCs w:val="21"/>
                <w:highlight w:val="none"/>
                <w:lang w:val="en-US" w:eastAsia="zh-CN"/>
              </w:rPr>
              <w:t>分）</w:t>
            </w:r>
          </w:p>
        </w:tc>
        <w:tc>
          <w:tcPr>
            <w:tcW w:w="8393" w:type="dxa"/>
            <w:shd w:val="clear" w:color="auto" w:fill="auto"/>
            <w:noWrap w:val="0"/>
            <w:vAlign w:val="center"/>
          </w:tcPr>
          <w:p w14:paraId="4A145D6C">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根据投标人</w:t>
            </w:r>
            <w:r>
              <w:rPr>
                <w:rFonts w:hint="eastAsia" w:ascii="宋体" w:hAnsi="宋体" w:cs="宋体"/>
                <w:color w:val="auto"/>
                <w:sz w:val="21"/>
                <w:szCs w:val="21"/>
                <w:highlight w:val="none"/>
                <w:lang w:val="en-US" w:eastAsia="zh-CN"/>
              </w:rPr>
              <w:t>对所</w:t>
            </w:r>
            <w:r>
              <w:rPr>
                <w:rFonts w:hint="eastAsia" w:ascii="宋体" w:hAnsi="宋体" w:eastAsia="宋体" w:cs="宋体"/>
                <w:color w:val="auto"/>
                <w:sz w:val="21"/>
                <w:szCs w:val="21"/>
                <w:highlight w:val="none"/>
              </w:rPr>
              <w:t>提供</w:t>
            </w:r>
            <w:r>
              <w:rPr>
                <w:rFonts w:hint="eastAsia" w:ascii="宋体" w:hAnsi="宋体" w:cs="宋体"/>
                <w:color w:val="auto"/>
                <w:sz w:val="21"/>
                <w:szCs w:val="21"/>
                <w:highlight w:val="none"/>
                <w:lang w:val="en-US" w:eastAsia="zh-CN"/>
              </w:rPr>
              <w:t>产品的现场述标及评委问答情况</w:t>
            </w:r>
            <w:r>
              <w:rPr>
                <w:rFonts w:hint="eastAsia" w:ascii="宋体" w:hAnsi="宋体" w:eastAsia="宋体" w:cs="宋体"/>
                <w:color w:val="auto"/>
                <w:sz w:val="21"/>
                <w:szCs w:val="21"/>
                <w:highlight w:val="none"/>
              </w:rPr>
              <w:t>进行</w:t>
            </w:r>
            <w:r>
              <w:rPr>
                <w:rFonts w:hint="eastAsia" w:ascii="宋体" w:hAnsi="宋体" w:cs="宋体"/>
                <w:color w:val="auto"/>
                <w:sz w:val="21"/>
                <w:szCs w:val="21"/>
                <w:highlight w:val="none"/>
                <w:lang w:eastAsia="zh-CN"/>
              </w:rPr>
              <w:t>评审（</w:t>
            </w:r>
            <w:r>
              <w:rPr>
                <w:rFonts w:hint="eastAsia" w:ascii="宋体" w:hAnsi="宋体" w:cs="宋体"/>
                <w:color w:val="auto"/>
                <w:sz w:val="21"/>
                <w:szCs w:val="21"/>
                <w:highlight w:val="none"/>
                <w:lang w:val="en-US" w:eastAsia="zh-CN"/>
              </w:rPr>
              <w:t>述标内容包括但不限于产品优势、包装优缺点、物流配送保障等</w:t>
            </w:r>
            <w:r>
              <w:rPr>
                <w:rFonts w:hint="eastAsia" w:ascii="宋体" w:hAnsi="宋体" w:eastAsia="宋体" w:cs="宋体"/>
                <w:color w:val="auto"/>
                <w:sz w:val="21"/>
                <w:szCs w:val="21"/>
                <w:highlight w:val="none"/>
              </w:rPr>
              <w:t>），针对性强、内容完整合理，得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分；针对性</w:t>
            </w:r>
            <w:r>
              <w:rPr>
                <w:rFonts w:hint="eastAsia" w:ascii="宋体" w:hAnsi="宋体" w:cs="宋体"/>
                <w:color w:val="auto"/>
                <w:sz w:val="21"/>
                <w:szCs w:val="21"/>
                <w:highlight w:val="none"/>
                <w:lang w:val="en-US" w:eastAsia="zh-CN"/>
              </w:rPr>
              <w:t>基本合理，内容完整得2分；</w:t>
            </w:r>
            <w:r>
              <w:rPr>
                <w:rFonts w:hint="eastAsia" w:ascii="宋体" w:hAnsi="宋体" w:eastAsia="宋体" w:cs="宋体"/>
                <w:color w:val="auto"/>
                <w:sz w:val="21"/>
                <w:szCs w:val="21"/>
                <w:highlight w:val="none"/>
              </w:rPr>
              <w:t>针对性一般、内容完整合理性一般，得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分；不提供不得分。</w:t>
            </w:r>
          </w:p>
        </w:tc>
      </w:tr>
    </w:tbl>
    <w:p w14:paraId="23BA824D">
      <w:pPr>
        <w:rPr>
          <w:rFonts w:hint="eastAsia" w:ascii="宋体" w:hAnsi="宋体" w:eastAsia="宋体" w:cs="宋体"/>
          <w:color w:val="auto"/>
          <w:highlight w:val="none"/>
        </w:rPr>
      </w:pPr>
    </w:p>
    <w:p w14:paraId="17466DFA">
      <w:pPr>
        <w:spacing w:line="360" w:lineRule="auto"/>
        <w:rPr>
          <w:rFonts w:hint="eastAsia" w:ascii="宋体" w:hAnsi="宋体" w:eastAsia="宋体" w:cs="宋体"/>
          <w:b w:val="0"/>
          <w:bCs/>
          <w:color w:val="auto"/>
          <w:kern w:val="0"/>
          <w:sz w:val="32"/>
          <w:szCs w:val="44"/>
          <w:highlight w:val="none"/>
        </w:rPr>
      </w:pPr>
      <w:r>
        <w:rPr>
          <w:rFonts w:hint="eastAsia" w:ascii="宋体" w:hAnsi="宋体" w:eastAsia="宋体" w:cs="宋体"/>
          <w:b w:val="0"/>
          <w:bCs/>
          <w:color w:val="auto"/>
          <w:kern w:val="0"/>
          <w:highlight w:val="none"/>
        </w:rPr>
        <w:br w:type="page"/>
      </w:r>
    </w:p>
    <w:p w14:paraId="269AD32C">
      <w:pPr>
        <w:pStyle w:val="4"/>
        <w:pageBreakBefore w:val="0"/>
        <w:widowControl w:val="0"/>
        <w:numPr>
          <w:ilvl w:val="0"/>
          <w:numId w:val="0"/>
        </w:numPr>
        <w:kinsoku/>
        <w:wordWrap/>
        <w:overflowPunct/>
        <w:topLinePunct w:val="0"/>
        <w:autoSpaceDE/>
        <w:autoSpaceDN/>
        <w:bidi w:val="0"/>
        <w:adjustRightInd/>
        <w:snapToGrid/>
        <w:spacing w:before="0" w:after="0" w:line="360" w:lineRule="auto"/>
        <w:ind w:right="0"/>
        <w:textAlignment w:val="auto"/>
        <w:rPr>
          <w:rFonts w:hint="eastAsia" w:ascii="宋体" w:hAnsi="宋体" w:eastAsia="宋体" w:cs="宋体"/>
          <w:color w:val="auto"/>
          <w:kern w:val="0"/>
          <w:highlight w:val="none"/>
        </w:rPr>
      </w:pPr>
      <w:bookmarkStart w:id="24" w:name="_Toc30587"/>
      <w:bookmarkStart w:id="25" w:name="_Toc23380"/>
      <w:r>
        <w:rPr>
          <w:rFonts w:hint="eastAsia" w:ascii="宋体" w:hAnsi="宋体" w:eastAsia="宋体" w:cs="宋体"/>
          <w:color w:val="auto"/>
          <w:kern w:val="0"/>
          <w:highlight w:val="none"/>
        </w:rPr>
        <w:t>第四章 采购需求</w:t>
      </w:r>
      <w:bookmarkEnd w:id="24"/>
      <w:bookmarkEnd w:id="25"/>
      <w:bookmarkStart w:id="26" w:name="_Toc481057147"/>
    </w:p>
    <w:bookmarkEnd w:id="26"/>
    <w:p w14:paraId="25736D40">
      <w:pPr>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lang w:val="en-US" w:eastAsia="zh-CN"/>
        </w:rPr>
      </w:pPr>
      <w:bookmarkStart w:id="27" w:name="_Toc6328"/>
      <w:r>
        <w:rPr>
          <w:rFonts w:hint="eastAsia" w:ascii="宋体" w:hAnsi="宋体" w:eastAsia="宋体" w:cs="宋体"/>
          <w:b/>
          <w:bCs/>
          <w:color w:val="auto"/>
          <w:sz w:val="21"/>
          <w:szCs w:val="21"/>
          <w:highlight w:val="none"/>
        </w:rPr>
        <w:t>一、项目</w:t>
      </w:r>
      <w:r>
        <w:rPr>
          <w:rFonts w:hint="eastAsia" w:ascii="宋体" w:hAnsi="宋体" w:cs="宋体"/>
          <w:b/>
          <w:bCs/>
          <w:color w:val="auto"/>
          <w:sz w:val="21"/>
          <w:szCs w:val="21"/>
          <w:highlight w:val="none"/>
          <w:lang w:val="en-US" w:eastAsia="zh-CN"/>
        </w:rPr>
        <w:t>概况</w:t>
      </w:r>
    </w:p>
    <w:p w14:paraId="7BEB7BA9">
      <w:pPr>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根据医院制剂生产需求，需采购</w:t>
      </w:r>
      <w:r>
        <w:rPr>
          <w:rFonts w:hint="eastAsia" w:ascii="宋体" w:hAnsi="宋体" w:cs="宋体"/>
          <w:color w:val="auto"/>
          <w:sz w:val="22"/>
          <w:highlight w:val="none"/>
          <w:lang w:eastAsia="zh-CN"/>
        </w:rPr>
        <w:t>间苯二酚</w:t>
      </w:r>
      <w:r>
        <w:rPr>
          <w:rFonts w:hint="eastAsia" w:ascii="宋体" w:hAnsi="宋体" w:eastAsia="宋体" w:cs="宋体"/>
          <w:color w:val="auto"/>
          <w:sz w:val="21"/>
          <w:szCs w:val="21"/>
          <w:highlight w:val="none"/>
        </w:rPr>
        <w:t>,具体如下</w:t>
      </w:r>
      <w:r>
        <w:rPr>
          <w:rFonts w:hint="eastAsia" w:ascii="宋体" w:hAnsi="宋体" w:cs="宋体"/>
          <w:color w:val="auto"/>
          <w:sz w:val="21"/>
          <w:szCs w:val="21"/>
          <w:highlight w:val="none"/>
          <w:lang w:eastAsia="zh-CN"/>
        </w:rPr>
        <w:t>。</w:t>
      </w:r>
    </w:p>
    <w:p w14:paraId="31C34740">
      <w:pPr>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二、项目要求</w:t>
      </w:r>
    </w:p>
    <w:p w14:paraId="2A438636">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项目名称：</w:t>
      </w:r>
      <w:r>
        <w:rPr>
          <w:rFonts w:hint="eastAsia" w:ascii="宋体" w:hAnsi="宋体" w:cs="宋体"/>
          <w:color w:val="auto"/>
          <w:spacing w:val="-4"/>
          <w:sz w:val="21"/>
          <w:szCs w:val="21"/>
          <w:highlight w:val="none"/>
          <w:lang w:val="en-US" w:eastAsia="zh-CN"/>
        </w:rPr>
        <w:t>中国医学科学院皮肤病医院间苯二酚采购项目</w:t>
      </w:r>
    </w:p>
    <w:p w14:paraId="6615C3E2">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lang w:val="en-US" w:eastAsia="zh-CN"/>
        </w:rPr>
        <w:t>★</w:t>
      </w:r>
      <w:r>
        <w:rPr>
          <w:rFonts w:hint="eastAsia" w:ascii="宋体" w:hAnsi="宋体" w:eastAsia="宋体" w:cs="宋体"/>
          <w:color w:val="auto"/>
          <w:spacing w:val="-4"/>
          <w:sz w:val="21"/>
          <w:szCs w:val="21"/>
          <w:highlight w:val="none"/>
        </w:rPr>
        <w:t>预算金额：</w:t>
      </w:r>
      <w:r>
        <w:rPr>
          <w:rFonts w:hint="eastAsia" w:ascii="宋体" w:hAnsi="宋体" w:cs="宋体"/>
          <w:color w:val="auto"/>
          <w:spacing w:val="-4"/>
          <w:sz w:val="21"/>
          <w:szCs w:val="21"/>
          <w:highlight w:val="none"/>
          <w:lang w:val="en-US" w:eastAsia="zh-CN"/>
        </w:rPr>
        <w:t>48万元</w:t>
      </w:r>
    </w:p>
    <w:p w14:paraId="7E699DE7">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★单价限价：</w:t>
      </w:r>
      <w:r>
        <w:rPr>
          <w:rFonts w:hint="eastAsia" w:ascii="宋体" w:hAnsi="宋体" w:cs="宋体"/>
          <w:color w:val="auto"/>
          <w:spacing w:val="-4"/>
          <w:sz w:val="21"/>
          <w:szCs w:val="21"/>
          <w:highlight w:val="none"/>
          <w:lang w:val="en-US" w:eastAsia="zh-CN"/>
        </w:rPr>
        <w:t xml:space="preserve">6000元/kg  </w:t>
      </w:r>
    </w:p>
    <w:p w14:paraId="43B18F39">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cs="宋体"/>
          <w:color w:val="auto"/>
          <w:spacing w:val="-4"/>
          <w:sz w:val="21"/>
          <w:szCs w:val="21"/>
          <w:highlight w:val="none"/>
          <w:lang w:val="en-US" w:eastAsia="zh-CN"/>
        </w:rPr>
      </w:pPr>
      <w:r>
        <w:rPr>
          <w:rFonts w:hint="eastAsia" w:ascii="宋体" w:hAnsi="宋体" w:cs="宋体"/>
          <w:color w:val="auto"/>
          <w:spacing w:val="-4"/>
          <w:sz w:val="21"/>
          <w:szCs w:val="21"/>
          <w:highlight w:val="none"/>
          <w:lang w:val="en-US" w:eastAsia="zh-CN"/>
        </w:rPr>
        <w:t>规格：不限</w:t>
      </w:r>
    </w:p>
    <w:p w14:paraId="0FF4EAC9">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合同履行期限：合同签订后按需完成供货。</w:t>
      </w:r>
    </w:p>
    <w:p w14:paraId="6AB80CEB">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cs="宋体"/>
          <w:color w:val="auto"/>
          <w:spacing w:val="-4"/>
          <w:szCs w:val="21"/>
          <w:highlight w:val="none"/>
          <w:lang w:val="en-US" w:eastAsia="zh-CN"/>
        </w:rPr>
      </w:pPr>
      <w:r>
        <w:rPr>
          <w:rFonts w:hint="eastAsia" w:ascii="宋体" w:hAnsi="宋体" w:eastAsia="宋体" w:cs="宋体"/>
          <w:color w:val="auto"/>
          <w:spacing w:val="-4"/>
          <w:sz w:val="21"/>
          <w:szCs w:val="21"/>
          <w:highlight w:val="none"/>
          <w:lang w:val="en-US" w:eastAsia="zh-CN"/>
        </w:rPr>
        <w:t>★供货期：供货商接业主通知后一周内完成供货。</w:t>
      </w:r>
    </w:p>
    <w:p w14:paraId="3E2E6419">
      <w:pPr>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、采购内容</w:t>
      </w:r>
    </w:p>
    <w:tbl>
      <w:tblPr>
        <w:tblStyle w:val="45"/>
        <w:tblpPr w:leftFromText="180" w:rightFromText="180" w:vertAnchor="text" w:horzAnchor="page" w:tblpXSpec="center" w:tblpY="45"/>
        <w:tblOverlap w:val="never"/>
        <w:tblW w:w="8639" w:type="dxa"/>
        <w:jc w:val="center"/>
        <w:tblLayout w:type="fixed"/>
        <w:tblCellMar>
          <w:top w:w="0" w:type="dxa"/>
          <w:left w:w="108" w:type="dxa"/>
          <w:bottom w:w="0" w:type="dxa"/>
          <w:right w:w="108" w:type="dxa"/>
        </w:tblCellMar>
      </w:tblPr>
      <w:tblGrid>
        <w:gridCol w:w="479"/>
        <w:gridCol w:w="4080"/>
        <w:gridCol w:w="4080"/>
      </w:tblGrid>
      <w:tr w14:paraId="32E2C0CD">
        <w:tblPrEx>
          <w:tblCellMar>
            <w:top w:w="0" w:type="dxa"/>
            <w:left w:w="108" w:type="dxa"/>
            <w:bottom w:w="0" w:type="dxa"/>
            <w:right w:w="108" w:type="dxa"/>
          </w:tblCellMar>
        </w:tblPrEx>
        <w:trPr>
          <w:trHeight w:val="913" w:hRule="atLeast"/>
          <w:jc w:val="center"/>
        </w:trPr>
        <w:tc>
          <w:tcPr>
            <w:tcW w:w="479" w:type="dxa"/>
            <w:tcBorders>
              <w:top w:val="single" w:color="000000" w:sz="4" w:space="0"/>
              <w:left w:val="single" w:color="000000" w:sz="4" w:space="0"/>
              <w:bottom w:val="single" w:color="000000" w:sz="4" w:space="0"/>
              <w:right w:val="single" w:color="auto" w:sz="4" w:space="0"/>
            </w:tcBorders>
            <w:noWrap/>
            <w:vAlign w:val="center"/>
          </w:tcPr>
          <w:p w14:paraId="599BF216">
            <w:pPr>
              <w:spacing w:line="360" w:lineRule="auto"/>
              <w:jc w:val="center"/>
              <w:textAlignment w:val="center"/>
              <w:rPr>
                <w:rFonts w:hint="eastAsia" w:ascii="宋体" w:hAnsi="宋体" w:eastAsia="宋体" w:cs="宋体"/>
                <w:color w:val="auto"/>
                <w:sz w:val="22"/>
                <w:highlight w:val="none"/>
                <w:lang w:eastAsia="zh-CN"/>
              </w:rPr>
            </w:pPr>
            <w:r>
              <w:rPr>
                <w:rFonts w:hint="eastAsia" w:ascii="宋体" w:hAnsi="宋体" w:eastAsia="宋体" w:cs="宋体"/>
                <w:color w:val="auto"/>
                <w:kern w:val="0"/>
                <w:sz w:val="22"/>
                <w:highlight w:val="none"/>
                <w:lang w:val="en-US" w:eastAsia="zh-CN" w:bidi="ar"/>
              </w:rPr>
              <w:t>序号</w:t>
            </w:r>
          </w:p>
        </w:tc>
        <w:tc>
          <w:tcPr>
            <w:tcW w:w="4080" w:type="dxa"/>
            <w:tcBorders>
              <w:top w:val="single" w:color="auto" w:sz="4" w:space="0"/>
              <w:left w:val="single" w:color="auto" w:sz="4" w:space="0"/>
              <w:bottom w:val="single" w:color="auto" w:sz="4" w:space="0"/>
              <w:right w:val="single" w:color="auto" w:sz="4" w:space="0"/>
            </w:tcBorders>
            <w:noWrap/>
            <w:vAlign w:val="center"/>
          </w:tcPr>
          <w:p w14:paraId="4F0CAC56">
            <w:pPr>
              <w:spacing w:line="360" w:lineRule="auto"/>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名称</w:t>
            </w:r>
          </w:p>
        </w:tc>
        <w:tc>
          <w:tcPr>
            <w:tcW w:w="4080" w:type="dxa"/>
            <w:tcBorders>
              <w:top w:val="single" w:color="auto" w:sz="4" w:space="0"/>
              <w:left w:val="single" w:color="auto" w:sz="4" w:space="0"/>
              <w:bottom w:val="single" w:color="auto" w:sz="4" w:space="0"/>
              <w:right w:val="single" w:color="auto" w:sz="4" w:space="0"/>
            </w:tcBorders>
            <w:noWrap/>
            <w:vAlign w:val="center"/>
          </w:tcPr>
          <w:p w14:paraId="1AAA517B">
            <w:pPr>
              <w:spacing w:line="360" w:lineRule="auto"/>
              <w:jc w:val="center"/>
              <w:textAlignment w:val="center"/>
              <w:rPr>
                <w:rFonts w:hint="eastAsia" w:ascii="宋体" w:hAnsi="宋体" w:eastAsia="宋体" w:cs="宋体"/>
                <w:color w:val="auto"/>
                <w:kern w:val="0"/>
                <w:sz w:val="22"/>
                <w:highlight w:val="none"/>
                <w:lang w:val="en-US" w:eastAsia="zh-CN" w:bidi="ar"/>
              </w:rPr>
            </w:pPr>
            <w:r>
              <w:rPr>
                <w:rFonts w:hint="eastAsia" w:ascii="宋体" w:hAnsi="宋体" w:cs="宋体"/>
                <w:color w:val="auto"/>
                <w:kern w:val="0"/>
                <w:sz w:val="22"/>
                <w:highlight w:val="none"/>
                <w:lang w:val="en-US" w:eastAsia="zh-CN" w:bidi="ar"/>
              </w:rPr>
              <w:t>年用量</w:t>
            </w:r>
          </w:p>
        </w:tc>
      </w:tr>
      <w:tr w14:paraId="5CF59ECE">
        <w:tblPrEx>
          <w:tblCellMar>
            <w:top w:w="0" w:type="dxa"/>
            <w:left w:w="108" w:type="dxa"/>
            <w:bottom w:w="0" w:type="dxa"/>
            <w:right w:w="108" w:type="dxa"/>
          </w:tblCellMar>
        </w:tblPrEx>
        <w:trPr>
          <w:trHeight w:val="818" w:hRule="atLeast"/>
          <w:jc w:val="center"/>
        </w:trPr>
        <w:tc>
          <w:tcPr>
            <w:tcW w:w="479" w:type="dxa"/>
            <w:tcBorders>
              <w:top w:val="single" w:color="000000" w:sz="4" w:space="0"/>
              <w:left w:val="single" w:color="000000" w:sz="4" w:space="0"/>
              <w:bottom w:val="single" w:color="000000" w:sz="4" w:space="0"/>
              <w:right w:val="single" w:color="auto" w:sz="4" w:space="0"/>
            </w:tcBorders>
            <w:noWrap/>
            <w:vAlign w:val="center"/>
          </w:tcPr>
          <w:p w14:paraId="62DCF3BC">
            <w:pPr>
              <w:spacing w:line="360" w:lineRule="auto"/>
              <w:jc w:val="center"/>
              <w:textAlignment w:val="center"/>
              <w:rPr>
                <w:rFonts w:hint="eastAsia" w:ascii="宋体" w:hAnsi="宋体" w:eastAsia="宋体" w:cs="宋体"/>
                <w:color w:val="auto"/>
                <w:sz w:val="22"/>
                <w:highlight w:val="none"/>
                <w:lang w:eastAsia="zh-CN"/>
              </w:rPr>
            </w:pPr>
            <w:r>
              <w:rPr>
                <w:rFonts w:hint="eastAsia" w:ascii="宋体" w:hAnsi="宋体" w:eastAsia="宋体" w:cs="宋体"/>
                <w:color w:val="auto"/>
                <w:kern w:val="0"/>
                <w:sz w:val="22"/>
                <w:highlight w:val="none"/>
                <w:lang w:val="en-US" w:eastAsia="zh-CN" w:bidi="ar"/>
              </w:rPr>
              <w:t>1</w:t>
            </w:r>
          </w:p>
        </w:tc>
        <w:tc>
          <w:tcPr>
            <w:tcW w:w="4080" w:type="dxa"/>
            <w:tcBorders>
              <w:top w:val="single" w:color="auto" w:sz="4" w:space="0"/>
              <w:left w:val="single" w:color="auto" w:sz="4" w:space="0"/>
              <w:bottom w:val="single" w:color="auto" w:sz="4" w:space="0"/>
              <w:right w:val="single" w:color="auto" w:sz="4" w:space="0"/>
            </w:tcBorders>
            <w:noWrap w:val="0"/>
            <w:vAlign w:val="center"/>
          </w:tcPr>
          <w:p w14:paraId="28CBD8EE">
            <w:pPr>
              <w:spacing w:line="360" w:lineRule="auto"/>
              <w:jc w:val="center"/>
              <w:textAlignment w:val="center"/>
              <w:rPr>
                <w:rFonts w:hint="eastAsia" w:ascii="宋体" w:hAnsi="宋体" w:eastAsia="宋体" w:cs="宋体"/>
                <w:color w:val="auto"/>
                <w:sz w:val="22"/>
                <w:highlight w:val="none"/>
                <w:lang w:eastAsia="zh-CN"/>
              </w:rPr>
            </w:pPr>
            <w:r>
              <w:rPr>
                <w:rFonts w:hint="eastAsia" w:ascii="宋体" w:hAnsi="宋体" w:cs="宋体"/>
                <w:color w:val="auto"/>
                <w:sz w:val="22"/>
                <w:highlight w:val="none"/>
                <w:lang w:eastAsia="zh-CN"/>
              </w:rPr>
              <w:t>间苯二酚</w:t>
            </w:r>
          </w:p>
        </w:tc>
        <w:tc>
          <w:tcPr>
            <w:tcW w:w="4080" w:type="dxa"/>
            <w:tcBorders>
              <w:top w:val="single" w:color="auto" w:sz="4" w:space="0"/>
              <w:left w:val="single" w:color="auto" w:sz="4" w:space="0"/>
              <w:bottom w:val="single" w:color="auto" w:sz="4" w:space="0"/>
              <w:right w:val="single" w:color="auto" w:sz="4" w:space="0"/>
            </w:tcBorders>
            <w:noWrap w:val="0"/>
            <w:vAlign w:val="center"/>
          </w:tcPr>
          <w:p w14:paraId="0E8847E4">
            <w:pPr>
              <w:spacing w:line="360" w:lineRule="auto"/>
              <w:jc w:val="center"/>
              <w:textAlignment w:val="center"/>
              <w:rPr>
                <w:rFonts w:hint="default" w:ascii="宋体" w:hAnsi="宋体" w:eastAsia="宋体" w:cs="宋体"/>
                <w:color w:val="auto"/>
                <w:kern w:val="0"/>
                <w:sz w:val="22"/>
                <w:highlight w:val="none"/>
                <w:lang w:val="en-US" w:eastAsia="zh-CN" w:bidi="ar"/>
              </w:rPr>
            </w:pPr>
            <w:r>
              <w:rPr>
                <w:rFonts w:hint="eastAsia" w:ascii="宋体" w:hAnsi="宋体" w:cs="宋体"/>
                <w:color w:val="auto"/>
                <w:kern w:val="0"/>
                <w:sz w:val="22"/>
                <w:highlight w:val="none"/>
                <w:lang w:val="en-US" w:eastAsia="zh-CN" w:bidi="ar"/>
              </w:rPr>
              <w:t xml:space="preserve">80kg/年      </w:t>
            </w:r>
          </w:p>
        </w:tc>
      </w:tr>
    </w:tbl>
    <w:p w14:paraId="60B2C7DE">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注：以上数量为预估量，仅供参考，结算以实际采购数量为准。</w:t>
      </w:r>
    </w:p>
    <w:p w14:paraId="0A894043">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四、</w:t>
      </w:r>
      <w:r>
        <w:rPr>
          <w:rFonts w:hint="eastAsia" w:ascii="宋体" w:hAnsi="宋体" w:cs="宋体"/>
          <w:b/>
          <w:bCs/>
          <w:color w:val="auto"/>
          <w:sz w:val="21"/>
          <w:szCs w:val="21"/>
          <w:highlight w:val="none"/>
          <w:lang w:val="en-US" w:eastAsia="zh-CN"/>
        </w:rPr>
        <w:t>质保</w:t>
      </w:r>
      <w:r>
        <w:rPr>
          <w:rFonts w:hint="eastAsia" w:ascii="宋体" w:hAnsi="宋体" w:eastAsia="宋体" w:cs="宋体"/>
          <w:b/>
          <w:bCs/>
          <w:color w:val="auto"/>
          <w:sz w:val="21"/>
          <w:szCs w:val="21"/>
          <w:highlight w:val="none"/>
          <w:lang w:val="en-US" w:eastAsia="zh-CN"/>
        </w:rPr>
        <w:t>要求</w:t>
      </w:r>
    </w:p>
    <w:p w14:paraId="39FFCAC2">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eastAsia" w:ascii="宋体" w:hAnsi="宋体" w:eastAsia="宋体" w:cs="宋体"/>
          <w:color w:val="auto"/>
          <w:spacing w:val="-4"/>
          <w:sz w:val="21"/>
          <w:szCs w:val="21"/>
          <w:highlight w:val="none"/>
          <w:lang w:val="en-US" w:eastAsia="zh-CN"/>
        </w:rPr>
      </w:pPr>
      <w:r>
        <w:rPr>
          <w:rFonts w:hint="eastAsia" w:ascii="宋体" w:hAnsi="宋体" w:cs="宋体"/>
          <w:color w:val="auto"/>
          <w:spacing w:val="-4"/>
          <w:sz w:val="21"/>
          <w:szCs w:val="21"/>
          <w:highlight w:val="none"/>
          <w:lang w:val="en-US" w:eastAsia="zh-CN"/>
        </w:rPr>
        <w:t>1.质保期</w:t>
      </w:r>
      <w:r>
        <w:rPr>
          <w:rFonts w:hint="eastAsia" w:ascii="宋体" w:hAnsi="宋体" w:eastAsia="宋体" w:cs="宋体"/>
          <w:color w:val="auto"/>
          <w:spacing w:val="-4"/>
          <w:sz w:val="21"/>
          <w:szCs w:val="21"/>
          <w:highlight w:val="none"/>
          <w:lang w:val="en-US" w:eastAsia="zh-CN"/>
        </w:rPr>
        <w:t>：2年</w:t>
      </w:r>
    </w:p>
    <w:p w14:paraId="73E7D1E6">
      <w:pPr>
        <w:keepNext w:val="0"/>
        <w:keepLines w:val="0"/>
        <w:pageBreakBefore w:val="0"/>
        <w:widowControl w:val="0"/>
        <w:kinsoku/>
        <w:wordWrap/>
        <w:overflowPunct/>
        <w:topLinePunct w:val="0"/>
        <w:autoSpaceDE/>
        <w:autoSpaceDN/>
        <w:bidi w:val="0"/>
        <w:adjustRightInd/>
        <w:snapToGrid/>
        <w:spacing w:line="360" w:lineRule="auto"/>
        <w:ind w:right="0" w:firstLine="404" w:firstLineChars="200"/>
        <w:jc w:val="both"/>
        <w:textAlignment w:val="auto"/>
        <w:rPr>
          <w:rFonts w:hint="default" w:ascii="宋体" w:hAnsi="宋体" w:eastAsia="宋体" w:cs="宋体"/>
          <w:color w:val="auto"/>
          <w:spacing w:val="-4"/>
          <w:sz w:val="21"/>
          <w:szCs w:val="21"/>
          <w:highlight w:val="none"/>
          <w:lang w:val="en-US" w:eastAsia="zh-CN"/>
        </w:rPr>
      </w:pPr>
      <w:r>
        <w:rPr>
          <w:rFonts w:hint="eastAsia" w:ascii="宋体" w:hAnsi="宋体" w:cs="宋体"/>
          <w:color w:val="auto"/>
          <w:spacing w:val="-4"/>
          <w:sz w:val="21"/>
          <w:szCs w:val="21"/>
          <w:highlight w:val="none"/>
          <w:lang w:val="en-US" w:eastAsia="zh-CN"/>
        </w:rPr>
        <w:t>2.供货商接业主通知后</w:t>
      </w:r>
      <w:r>
        <w:rPr>
          <w:rFonts w:hint="eastAsia" w:ascii="宋体" w:hAnsi="宋体" w:eastAsia="宋体" w:cs="宋体"/>
          <w:color w:val="auto"/>
          <w:spacing w:val="-4"/>
          <w:sz w:val="21"/>
          <w:szCs w:val="21"/>
          <w:highlight w:val="none"/>
          <w:lang w:val="en-US" w:eastAsia="zh-CN"/>
        </w:rPr>
        <w:t>一周内</w:t>
      </w:r>
      <w:r>
        <w:rPr>
          <w:rFonts w:hint="eastAsia" w:ascii="宋体" w:hAnsi="宋体" w:cs="宋体"/>
          <w:color w:val="auto"/>
          <w:spacing w:val="-4"/>
          <w:sz w:val="21"/>
          <w:szCs w:val="21"/>
          <w:highlight w:val="none"/>
          <w:lang w:val="en-US" w:eastAsia="zh-CN"/>
        </w:rPr>
        <w:t>完成</w:t>
      </w:r>
      <w:r>
        <w:rPr>
          <w:rFonts w:hint="eastAsia" w:ascii="宋体" w:hAnsi="宋体" w:eastAsia="宋体" w:cs="宋体"/>
          <w:color w:val="auto"/>
          <w:spacing w:val="-4"/>
          <w:sz w:val="21"/>
          <w:szCs w:val="21"/>
          <w:highlight w:val="none"/>
          <w:lang w:val="en-US" w:eastAsia="zh-CN"/>
        </w:rPr>
        <w:t>对质保期内出现</w:t>
      </w:r>
      <w:r>
        <w:rPr>
          <w:rFonts w:hint="default" w:ascii="宋体" w:hAnsi="宋体" w:eastAsia="宋体" w:cs="宋体"/>
          <w:color w:val="auto"/>
          <w:spacing w:val="-4"/>
          <w:sz w:val="21"/>
          <w:szCs w:val="21"/>
          <w:highlight w:val="none"/>
          <w:lang w:val="en-US" w:eastAsia="zh-CN"/>
        </w:rPr>
        <w:t>问题</w:t>
      </w:r>
      <w:r>
        <w:rPr>
          <w:rFonts w:hint="eastAsia" w:ascii="宋体" w:hAnsi="宋体" w:eastAsia="宋体" w:cs="宋体"/>
          <w:color w:val="auto"/>
          <w:spacing w:val="-4"/>
          <w:sz w:val="21"/>
          <w:szCs w:val="21"/>
          <w:highlight w:val="none"/>
          <w:lang w:val="en-US" w:eastAsia="zh-CN"/>
        </w:rPr>
        <w:t>的原辅料</w:t>
      </w:r>
      <w:r>
        <w:rPr>
          <w:rFonts w:hint="eastAsia" w:ascii="宋体" w:hAnsi="宋体" w:cs="宋体"/>
          <w:color w:val="auto"/>
          <w:spacing w:val="-4"/>
          <w:sz w:val="21"/>
          <w:szCs w:val="21"/>
          <w:highlight w:val="none"/>
          <w:lang w:val="en-US" w:eastAsia="zh-CN"/>
        </w:rPr>
        <w:t>的</w:t>
      </w:r>
      <w:r>
        <w:rPr>
          <w:rFonts w:hint="eastAsia" w:ascii="宋体" w:hAnsi="宋体" w:eastAsia="宋体" w:cs="宋体"/>
          <w:color w:val="auto"/>
          <w:spacing w:val="-4"/>
          <w:sz w:val="21"/>
          <w:szCs w:val="21"/>
          <w:highlight w:val="none"/>
          <w:lang w:val="en-US" w:eastAsia="zh-CN"/>
        </w:rPr>
        <w:t>退换货。</w:t>
      </w:r>
    </w:p>
    <w:p w14:paraId="37D16DB6">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五、付款条件</w:t>
      </w:r>
    </w:p>
    <w:p w14:paraId="68C82F89">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z w:val="21"/>
          <w:szCs w:val="21"/>
          <w:highlight w:val="none"/>
        </w:rPr>
      </w:pPr>
      <w:r>
        <w:rPr>
          <w:rFonts w:hint="eastAsia" w:cs="Times New Roman"/>
          <w:color w:val="auto"/>
          <w:szCs w:val="21"/>
          <w:highlight w:val="none"/>
          <w:lang w:val="zh-CN"/>
        </w:rPr>
        <w:t>验收合格后开票，采购人在收到供应商开具的正规有效发票后1个月内支付，详见合同条款</w:t>
      </w:r>
    </w:p>
    <w:p w14:paraId="1053B76E">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特别说明：</w:t>
      </w:r>
    </w:p>
    <w:p w14:paraId="11EDCC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22" w:firstLineChars="200"/>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1.★号条款为实质性条款，未实质性响应的投标文件将被视为未实质性响应招标文件，做否决投标处理。</w:t>
      </w:r>
    </w:p>
    <w:p w14:paraId="5B93D2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22" w:firstLineChars="200"/>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2.上述要求供应商在响应文件中进行逐项应答。如有疑问请与采购单位联系。</w:t>
      </w:r>
    </w:p>
    <w:p w14:paraId="5BBFB26A">
      <w:pPr>
        <w:spacing w:line="440" w:lineRule="exact"/>
        <w:rPr>
          <w:rFonts w:hint="eastAsia" w:ascii="宋体" w:hAnsi="宋体" w:eastAsia="宋体" w:cs="宋体"/>
          <w:b/>
          <w:color w:val="auto"/>
          <w:sz w:val="24"/>
          <w:szCs w:val="24"/>
          <w:highlight w:val="none"/>
        </w:rPr>
      </w:pPr>
    </w:p>
    <w:p w14:paraId="273DABFE">
      <w:pPr>
        <w:spacing w:line="440" w:lineRule="exact"/>
        <w:rPr>
          <w:rFonts w:hint="eastAsia" w:ascii="宋体" w:hAnsi="宋体" w:eastAsia="宋体" w:cs="宋体"/>
          <w:b/>
          <w:color w:val="auto"/>
          <w:sz w:val="24"/>
          <w:szCs w:val="24"/>
          <w:highlight w:val="none"/>
        </w:rPr>
      </w:pPr>
    </w:p>
    <w:p w14:paraId="776C385C">
      <w:pPr>
        <w:spacing w:line="440" w:lineRule="exact"/>
        <w:rPr>
          <w:rFonts w:hint="eastAsia" w:ascii="宋体" w:hAnsi="宋体" w:eastAsia="宋体" w:cs="宋体"/>
          <w:b/>
          <w:color w:val="auto"/>
          <w:sz w:val="24"/>
          <w:szCs w:val="24"/>
          <w:highlight w:val="none"/>
        </w:rPr>
      </w:pPr>
    </w:p>
    <w:p w14:paraId="232EEF7B">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0F5DF260">
      <w:pPr>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第五章 合同主要条款及格式（仅供参考，已实际签约为准）</w:t>
      </w:r>
    </w:p>
    <w:p w14:paraId="2A7593EA">
      <w:pPr>
        <w:pStyle w:val="136"/>
        <w:adjustRightInd w:val="0"/>
        <w:snapToGrid w:val="0"/>
        <w:jc w:val="center"/>
        <w:rPr>
          <w:rStyle w:val="47"/>
          <w:rFonts w:ascii="黑体" w:hAnsi="华文中宋" w:eastAsia="黑体" w:cs="Times New Roman"/>
          <w:color w:val="auto"/>
          <w:sz w:val="28"/>
          <w:szCs w:val="28"/>
          <w:highlight w:val="none"/>
        </w:rPr>
      </w:pPr>
      <w:bookmarkStart w:id="28" w:name="_Toc29913945"/>
      <w:bookmarkStart w:id="29" w:name="_Toc256000040"/>
      <w:r>
        <w:rPr>
          <w:rStyle w:val="47"/>
          <w:rFonts w:hint="eastAsia" w:ascii="黑体" w:hAnsi="华文中宋" w:eastAsia="黑体" w:cs="Times New Roman"/>
          <w:color w:val="auto"/>
          <w:sz w:val="28"/>
          <w:szCs w:val="28"/>
          <w:highlight w:val="none"/>
        </w:rPr>
        <w:t>第一节 政府采购合同协议书</w:t>
      </w:r>
      <w:bookmarkEnd w:id="28"/>
      <w:bookmarkEnd w:id="29"/>
    </w:p>
    <w:p w14:paraId="2C98A8B7">
      <w:pPr>
        <w:pStyle w:val="196"/>
        <w:adjustRightInd w:val="0"/>
        <w:snapToGrid w:val="0"/>
        <w:spacing w:before="156" w:beforeLines="50" w:line="360" w:lineRule="auto"/>
        <w:ind w:firstLine="5460" w:firstLineChars="2600"/>
        <w:rPr>
          <w:rStyle w:val="47"/>
          <w:rFonts w:hint="eastAsia" w:ascii="宋体" w:hAnsi="宋体" w:eastAsia="宋体" w:cs="Times New Roman"/>
          <w:b/>
          <w:color w:val="auto"/>
          <w:szCs w:val="21"/>
          <w:highlight w:val="none"/>
        </w:rPr>
      </w:pPr>
      <w:r>
        <w:rPr>
          <w:rStyle w:val="47"/>
          <w:rFonts w:hint="eastAsia" w:ascii="宋体" w:hAnsi="宋体" w:eastAsia="宋体" w:cs="Times New Roman"/>
          <w:color w:val="auto"/>
          <w:szCs w:val="21"/>
          <w:highlight w:val="none"/>
        </w:rPr>
        <w:t>采购合同编号：</w:t>
      </w:r>
      <w:r>
        <w:rPr>
          <w:rStyle w:val="47"/>
          <w:rFonts w:hint="eastAsia" w:ascii="宋体" w:hAnsi="宋体" w:eastAsia="宋体" w:cs="Times New Roman"/>
          <w:color w:val="auto"/>
          <w:szCs w:val="21"/>
          <w:highlight w:val="none"/>
          <w:u w:val="single"/>
        </w:rPr>
        <w:t xml:space="preserve">                 </w:t>
      </w:r>
    </w:p>
    <w:p w14:paraId="367CE665">
      <w:pPr>
        <w:pStyle w:val="196"/>
        <w:adjustRightInd w:val="0"/>
        <w:snapToGrid w:val="0"/>
        <w:spacing w:before="156" w:beforeLines="50" w:line="360" w:lineRule="auto"/>
        <w:jc w:val="center"/>
        <w:rPr>
          <w:rStyle w:val="47"/>
          <w:rFonts w:hint="eastAsia" w:ascii="宋体" w:hAnsi="宋体" w:eastAsia="宋体" w:cs="Times New Roman"/>
          <w:b/>
          <w:color w:val="auto"/>
          <w:szCs w:val="21"/>
          <w:highlight w:val="none"/>
        </w:rPr>
      </w:pPr>
    </w:p>
    <w:p w14:paraId="1460E648">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采购人（全称）：</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（甲方）</w:t>
      </w:r>
    </w:p>
    <w:p w14:paraId="0758AB73">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供应商（全称）：</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（乙方）</w:t>
      </w:r>
    </w:p>
    <w:p w14:paraId="2D864D3F">
      <w:pPr>
        <w:pStyle w:val="200"/>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Style w:val="47"/>
          <w:rFonts w:hint="eastAsia" w:ascii="宋体" w:hAnsi="宋体" w:eastAsia="宋体" w:cs="Times New Roman"/>
          <w:color w:val="auto"/>
          <w:szCs w:val="21"/>
          <w:highlight w:val="none"/>
        </w:rPr>
      </w:pPr>
    </w:p>
    <w:p w14:paraId="7E6D0126">
      <w:pPr>
        <w:pStyle w:val="200"/>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为了保护甲、乙双方合法权益，根据《中华人民共和国民法典》、《中华人民共和国政府采购法》及其他有关法律、法规、规章，双方签订本合同协议书。</w:t>
      </w:r>
    </w:p>
    <w:p w14:paraId="444A136E">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b/>
          <w:color w:val="auto"/>
          <w:szCs w:val="21"/>
          <w:highlight w:val="none"/>
        </w:rPr>
      </w:pPr>
      <w:r>
        <w:rPr>
          <w:rStyle w:val="47"/>
          <w:rFonts w:hint="eastAsia" w:ascii="宋体" w:hAnsi="宋体" w:eastAsia="宋体" w:cs="Times New Roman"/>
          <w:b/>
          <w:color w:val="auto"/>
          <w:szCs w:val="21"/>
          <w:highlight w:val="none"/>
        </w:rPr>
        <w:t>1.项目信息</w:t>
      </w:r>
    </w:p>
    <w:p w14:paraId="783AEC5B">
      <w:pPr>
        <w:pStyle w:val="200"/>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（1）采购项目名称：</w:t>
      </w:r>
      <w:r>
        <w:rPr>
          <w:rStyle w:val="47"/>
          <w:rFonts w:hint="eastAsia" w:ascii="宋体" w:hAnsi="宋体" w:eastAsia="宋体" w:cs="Times New Roman"/>
          <w:color w:val="auto"/>
          <w:szCs w:val="21"/>
          <w:highlight w:val="none"/>
          <w:u w:val="single"/>
        </w:rPr>
        <w:t xml:space="preserve">                                          </w:t>
      </w:r>
    </w:p>
    <w:p w14:paraId="281DC87D">
      <w:pPr>
        <w:pStyle w:val="200"/>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（2）采购计划编号：</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p>
    <w:p w14:paraId="7D95A4F3">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（3）项目内容：</w:t>
      </w:r>
      <w:r>
        <w:rPr>
          <w:rStyle w:val="47"/>
          <w:rFonts w:hint="eastAsia" w:ascii="宋体" w:hAnsi="宋体" w:eastAsia="宋体" w:cs="Times New Roman"/>
          <w:color w:val="auto"/>
          <w:szCs w:val="21"/>
          <w:highlight w:val="none"/>
          <w:u w:val="single"/>
        </w:rPr>
        <w:t xml:space="preserve">                             </w:t>
      </w:r>
    </w:p>
    <w:p w14:paraId="580F4EE4">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（4）项目负责人：</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p>
    <w:p w14:paraId="742E1BAF">
      <w:pPr>
        <w:pStyle w:val="196"/>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textAlignment w:val="auto"/>
        <w:rPr>
          <w:rStyle w:val="47"/>
          <w:rFonts w:hint="eastAsia" w:ascii="宋体" w:hAnsi="宋体" w:eastAsia="宋体" w:cs="Times New Roman"/>
          <w:b/>
          <w:color w:val="auto"/>
          <w:szCs w:val="21"/>
          <w:highlight w:val="none"/>
        </w:rPr>
      </w:pPr>
      <w:r>
        <w:rPr>
          <w:rStyle w:val="47"/>
          <w:rFonts w:hint="eastAsia" w:ascii="宋体" w:hAnsi="宋体" w:eastAsia="宋体" w:cs="Times New Roman"/>
          <w:b/>
          <w:color w:val="auto"/>
          <w:szCs w:val="21"/>
          <w:highlight w:val="none"/>
        </w:rPr>
        <w:t>2.合同金额</w:t>
      </w:r>
    </w:p>
    <w:p w14:paraId="449B9D6D">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w:t>
      </w:r>
      <w:r>
        <w:rPr>
          <w:rStyle w:val="47"/>
          <w:rFonts w:hint="eastAsia" w:ascii="宋体" w:hAnsi="宋体" w:cs="Times New Roman"/>
          <w:color w:val="auto"/>
          <w:szCs w:val="21"/>
          <w:highlight w:val="none"/>
          <w:lang w:eastAsia="zh-CN"/>
        </w:rPr>
        <w:t>采购预算</w:t>
      </w:r>
      <w:r>
        <w:rPr>
          <w:rStyle w:val="47"/>
          <w:rFonts w:hint="eastAsia" w:ascii="宋体" w:hAnsi="宋体" w:eastAsia="宋体" w:cs="Times New Roman"/>
          <w:color w:val="auto"/>
          <w:szCs w:val="21"/>
          <w:highlight w:val="none"/>
        </w:rPr>
        <w:t>金额小写：</w:t>
      </w:r>
      <w:r>
        <w:rPr>
          <w:rStyle w:val="47"/>
          <w:rFonts w:hint="eastAsia" w:ascii="宋体" w:hAnsi="宋体" w:eastAsia="宋体" w:cs="Times New Roman"/>
          <w:color w:val="auto"/>
          <w:szCs w:val="21"/>
          <w:highlight w:val="none"/>
          <w:u w:val="single"/>
        </w:rPr>
        <w:t xml:space="preserve">                      </w:t>
      </w:r>
    </w:p>
    <w:p w14:paraId="5A9F7AA0">
      <w:pPr>
        <w:pStyle w:val="196"/>
        <w:keepNext w:val="0"/>
        <w:keepLines w:val="0"/>
        <w:pageBreakBefore w:val="0"/>
        <w:widowControl w:val="0"/>
        <w:kinsoku/>
        <w:wordWrap/>
        <w:overflowPunct/>
        <w:topLinePunct w:val="0"/>
        <w:autoSpaceDE/>
        <w:autoSpaceDN/>
        <w:bidi w:val="0"/>
        <w:adjustRightInd w:val="0"/>
        <w:snapToGrid w:val="0"/>
        <w:spacing w:line="360" w:lineRule="auto"/>
        <w:ind w:firstLine="1260" w:firstLineChars="600"/>
        <w:textAlignment w:val="auto"/>
        <w:rPr>
          <w:rStyle w:val="47"/>
          <w:rFonts w:hint="eastAsia" w:ascii="宋体" w:hAnsi="宋体" w:eastAsia="宋体" w:cs="Times New Roman"/>
          <w:b/>
          <w:color w:val="auto"/>
          <w:szCs w:val="21"/>
          <w:highlight w:val="none"/>
        </w:rPr>
      </w:pPr>
      <w:r>
        <w:rPr>
          <w:rStyle w:val="47"/>
          <w:rFonts w:hint="eastAsia" w:ascii="宋体" w:hAnsi="宋体" w:eastAsia="宋体" w:cs="Times New Roman"/>
          <w:color w:val="auto"/>
          <w:szCs w:val="21"/>
          <w:highlight w:val="none"/>
        </w:rPr>
        <w:t>大写：</w:t>
      </w:r>
      <w:r>
        <w:rPr>
          <w:rStyle w:val="47"/>
          <w:rFonts w:hint="eastAsia" w:ascii="宋体" w:hAnsi="宋体" w:eastAsia="宋体" w:cs="Times New Roman"/>
          <w:color w:val="auto"/>
          <w:szCs w:val="21"/>
          <w:highlight w:val="none"/>
          <w:u w:val="single"/>
        </w:rPr>
        <w:t xml:space="preserve">                      </w:t>
      </w:r>
    </w:p>
    <w:p w14:paraId="7DEC8C9C">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（2）具体标的</w:t>
      </w:r>
      <w:r>
        <w:rPr>
          <w:rStyle w:val="47"/>
          <w:rFonts w:hint="eastAsia" w:ascii="宋体" w:hAnsi="宋体" w:cs="Times New Roman"/>
          <w:color w:val="auto"/>
          <w:szCs w:val="21"/>
          <w:highlight w:val="none"/>
          <w:lang w:eastAsia="zh-CN"/>
        </w:rPr>
        <w:t>（规格和参数要求）</w:t>
      </w:r>
      <w:r>
        <w:rPr>
          <w:rStyle w:val="47"/>
          <w:rFonts w:hint="eastAsia" w:ascii="宋体" w:hAnsi="宋体" w:eastAsia="宋体" w:cs="Times New Roman"/>
          <w:color w:val="auto"/>
          <w:szCs w:val="21"/>
          <w:highlight w:val="none"/>
        </w:rPr>
        <w:t>见附件。</w:t>
      </w:r>
    </w:p>
    <w:p w14:paraId="482706F2">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（3）合同价格形式：</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p>
    <w:p w14:paraId="43F0273A">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color w:val="auto"/>
          <w:szCs w:val="21"/>
          <w:highlight w:val="none"/>
          <w:u w:val="single"/>
        </w:rPr>
      </w:pPr>
      <w:r>
        <w:rPr>
          <w:rStyle w:val="47"/>
          <w:rFonts w:hint="eastAsia" w:ascii="宋体" w:hAnsi="宋体" w:eastAsia="宋体" w:cs="Times New Roman"/>
          <w:b/>
          <w:color w:val="auto"/>
          <w:szCs w:val="21"/>
          <w:highlight w:val="none"/>
        </w:rPr>
        <w:t>3.履行合同的时间、地点及方式</w:t>
      </w:r>
      <w:r>
        <w:rPr>
          <w:rStyle w:val="47"/>
          <w:rFonts w:hint="eastAsia" w:ascii="宋体" w:hAnsi="宋体" w:eastAsia="宋体" w:cs="Times New Roman"/>
          <w:color w:val="auto"/>
          <w:szCs w:val="21"/>
          <w:highlight w:val="none"/>
          <w:u w:val="single"/>
        </w:rPr>
        <w:t xml:space="preserve"> </w:t>
      </w:r>
    </w:p>
    <w:p w14:paraId="0E1F7DE7">
      <w:pPr>
        <w:pStyle w:val="196"/>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起始日期：</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年</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月</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日，完成日期：</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年</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月</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日。总日历天数：</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天。</w:t>
      </w:r>
    </w:p>
    <w:p w14:paraId="5CDC9027">
      <w:pPr>
        <w:pStyle w:val="196"/>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Style w:val="47"/>
          <w:rFonts w:hint="eastAsia" w:ascii="宋体" w:hAnsi="宋体" w:eastAsia="宋体" w:cs="Times New Roman"/>
          <w:color w:val="auto"/>
          <w:szCs w:val="21"/>
          <w:highlight w:val="none"/>
          <w:u w:val="single"/>
        </w:rPr>
      </w:pPr>
      <w:r>
        <w:rPr>
          <w:rStyle w:val="47"/>
          <w:rFonts w:hint="eastAsia" w:ascii="宋体" w:hAnsi="宋体" w:eastAsia="宋体" w:cs="Times New Roman"/>
          <w:color w:val="auto"/>
          <w:szCs w:val="21"/>
          <w:highlight w:val="none"/>
        </w:rPr>
        <w:t>地点</w:t>
      </w:r>
      <w:r>
        <w:rPr>
          <w:rStyle w:val="47"/>
          <w:rFonts w:hint="eastAsia" w:ascii="宋体" w:hAnsi="宋体" w:eastAsia="宋体" w:cs="Times New Roman"/>
          <w:b/>
          <w:color w:val="auto"/>
          <w:szCs w:val="21"/>
          <w:highlight w:val="none"/>
        </w:rPr>
        <w:t>：</w:t>
      </w:r>
      <w:r>
        <w:rPr>
          <w:rStyle w:val="47"/>
          <w:rFonts w:hint="eastAsia" w:ascii="宋体" w:hAnsi="宋体" w:eastAsia="宋体" w:cs="Times New Roman"/>
          <w:color w:val="auto"/>
          <w:szCs w:val="21"/>
          <w:highlight w:val="none"/>
          <w:u w:val="single"/>
        </w:rPr>
        <w:t xml:space="preserve">                             </w:t>
      </w:r>
    </w:p>
    <w:p w14:paraId="5C08E0C6">
      <w:pPr>
        <w:pStyle w:val="196"/>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方式：</w:t>
      </w:r>
      <w:r>
        <w:rPr>
          <w:rStyle w:val="47"/>
          <w:rFonts w:hint="eastAsia" w:ascii="宋体" w:hAnsi="宋体" w:eastAsia="宋体" w:cs="Times New Roman"/>
          <w:color w:val="auto"/>
          <w:szCs w:val="21"/>
          <w:highlight w:val="none"/>
          <w:u w:val="single"/>
        </w:rPr>
        <w:t xml:space="preserve">                             </w:t>
      </w:r>
    </w:p>
    <w:p w14:paraId="46682CDD">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b/>
          <w:color w:val="auto"/>
          <w:szCs w:val="21"/>
          <w:highlight w:val="none"/>
        </w:rPr>
      </w:pPr>
      <w:r>
        <w:rPr>
          <w:rStyle w:val="47"/>
          <w:rFonts w:hint="eastAsia" w:ascii="宋体" w:hAnsi="宋体" w:eastAsia="宋体" w:cs="Times New Roman"/>
          <w:b/>
          <w:color w:val="auto"/>
          <w:szCs w:val="21"/>
          <w:highlight w:val="none"/>
        </w:rPr>
        <w:t>4.付款：</w:t>
      </w:r>
    </w:p>
    <w:p w14:paraId="6723E0B4">
      <w:pPr>
        <w:spacing w:line="360" w:lineRule="auto"/>
        <w:ind w:firstLine="420" w:firstLineChars="200"/>
        <w:rPr>
          <w:rFonts w:hint="eastAsia" w:ascii="宋体" w:hAnsi="宋体" w:cs="宋体"/>
          <w:color w:val="auto"/>
          <w:kern w:val="0"/>
          <w:sz w:val="21"/>
          <w:szCs w:val="21"/>
          <w:highlight w:val="none"/>
          <w:lang w:eastAsia="zh-CN"/>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1</w:t>
      </w:r>
      <w:r>
        <w:rPr>
          <w:rFonts w:hint="eastAsia" w:ascii="宋体" w:hAnsi="宋体" w:cs="宋体"/>
          <w:color w:val="auto"/>
          <w:kern w:val="0"/>
          <w:sz w:val="21"/>
          <w:szCs w:val="21"/>
          <w:highlight w:val="none"/>
          <w:lang w:eastAsia="zh-CN"/>
        </w:rPr>
        <w:t>）以甲方确认的实际供货数量为准进行结算。</w:t>
      </w:r>
    </w:p>
    <w:p w14:paraId="3AA6BEF9">
      <w:pPr>
        <w:spacing w:line="360" w:lineRule="auto"/>
        <w:ind w:firstLine="420" w:firstLineChars="200"/>
        <w:rPr>
          <w:rStyle w:val="47"/>
          <w:rFonts w:hint="eastAsia" w:ascii="宋体" w:hAnsi="宋体" w:eastAsia="宋体" w:cs="Times New Roman"/>
          <w:bCs/>
          <w:color w:val="auto"/>
          <w:szCs w:val="21"/>
          <w:highlight w:val="none"/>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2</w:t>
      </w:r>
      <w:r>
        <w:rPr>
          <w:rFonts w:hint="eastAsia" w:ascii="宋体" w:hAnsi="宋体" w:cs="宋体"/>
          <w:color w:val="auto"/>
          <w:kern w:val="0"/>
          <w:sz w:val="21"/>
          <w:szCs w:val="21"/>
          <w:highlight w:val="none"/>
          <w:lang w:eastAsia="zh-CN"/>
        </w:rPr>
        <w:t>）验收合格后开票，采购人在收到供应商开具的正规有效发票后1个月内支付。</w:t>
      </w:r>
      <w:r>
        <w:rPr>
          <w:rStyle w:val="47"/>
          <w:rFonts w:hint="eastAsia" w:ascii="宋体" w:hAnsi="宋体" w:eastAsia="宋体" w:cs="Times New Roman"/>
          <w:color w:val="auto"/>
          <w:szCs w:val="21"/>
          <w:highlight w:val="none"/>
        </w:rPr>
        <w:t xml:space="preserve">  </w:t>
      </w:r>
    </w:p>
    <w:p w14:paraId="13560057">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黑体" w:hAnsi="黑体" w:eastAsia="黑体" w:cs="黑体"/>
          <w:b w:val="0"/>
          <w:bCs/>
          <w:color w:val="auto"/>
          <w:szCs w:val="21"/>
          <w:highlight w:val="none"/>
          <w:lang w:val="en-US" w:eastAsia="zh-CN"/>
        </w:rPr>
      </w:pPr>
      <w:r>
        <w:rPr>
          <w:rStyle w:val="47"/>
          <w:rFonts w:hint="eastAsia" w:ascii="黑体" w:hAnsi="黑体" w:eastAsia="黑体" w:cs="黑体"/>
          <w:b w:val="0"/>
          <w:bCs/>
          <w:color w:val="auto"/>
          <w:szCs w:val="21"/>
          <w:highlight w:val="none"/>
          <w:lang w:val="en-US" w:eastAsia="zh-CN"/>
        </w:rPr>
        <w:t>5.质量保证：</w:t>
      </w:r>
    </w:p>
    <w:p w14:paraId="072B890D">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1</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质保期2年，乙方接甲方通知后一周内完成对质保期内出现问题的原辅料的退换货。</w:t>
      </w:r>
    </w:p>
    <w:p w14:paraId="0C95293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2</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乙方所提供的产品/服务的技术规格应与采购文件规定的技术规格及响应文件所附的“技术条款偏离表”相一致；若技术性能无特殊说明，则按国家有关部门最新颁布的标准及规范为准。</w:t>
      </w:r>
    </w:p>
    <w:p w14:paraId="33D40CC5">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lang w:val="en-US" w:eastAsia="zh-CN"/>
        </w:rPr>
      </w:pPr>
      <w:r>
        <w:rPr>
          <w:rStyle w:val="47"/>
          <w:rFonts w:hint="eastAsia" w:ascii="宋体" w:hAnsi="宋体" w:cs="Times New Roman"/>
          <w:b w:val="0"/>
          <w:bCs/>
          <w:color w:val="auto"/>
          <w:szCs w:val="21"/>
          <w:highlight w:val="none"/>
          <w:lang w:val="en-US" w:eastAsia="zh-CN"/>
        </w:rPr>
        <w:t>（3）</w:t>
      </w:r>
      <w:r>
        <w:rPr>
          <w:rStyle w:val="47"/>
          <w:rFonts w:hint="eastAsia" w:ascii="宋体" w:hAnsi="宋体" w:eastAsia="宋体" w:cs="Times New Roman"/>
          <w:b w:val="0"/>
          <w:bCs/>
          <w:color w:val="auto"/>
          <w:szCs w:val="21"/>
          <w:highlight w:val="none"/>
          <w:lang w:val="en-US" w:eastAsia="zh-CN"/>
        </w:rPr>
        <w:t>乙方承诺所提供的原辅料、供货服务、质保服务满足甲方要求。如乙方不满足上述情形，甲方可无条件解除合同。</w:t>
      </w:r>
    </w:p>
    <w:p w14:paraId="45FB591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黑体" w:hAnsi="黑体" w:eastAsia="黑体" w:cs="黑体"/>
          <w:b w:val="0"/>
          <w:bCs/>
          <w:color w:val="auto"/>
          <w:szCs w:val="21"/>
          <w:highlight w:val="none"/>
        </w:rPr>
      </w:pPr>
      <w:r>
        <w:rPr>
          <w:rStyle w:val="47"/>
          <w:rFonts w:hint="eastAsia" w:ascii="黑体" w:hAnsi="黑体" w:eastAsia="黑体" w:cs="黑体"/>
          <w:b w:val="0"/>
          <w:bCs/>
          <w:color w:val="auto"/>
          <w:szCs w:val="21"/>
          <w:highlight w:val="none"/>
          <w:lang w:val="en-US" w:eastAsia="zh-CN"/>
        </w:rPr>
        <w:t>6</w:t>
      </w:r>
      <w:r>
        <w:rPr>
          <w:rStyle w:val="47"/>
          <w:rFonts w:hint="eastAsia" w:ascii="黑体" w:hAnsi="黑体" w:eastAsia="黑体" w:cs="黑体"/>
          <w:b w:val="0"/>
          <w:bCs/>
          <w:color w:val="auto"/>
          <w:szCs w:val="21"/>
          <w:highlight w:val="none"/>
        </w:rPr>
        <w:t>、交货时间及地点</w:t>
      </w:r>
    </w:p>
    <w:p w14:paraId="2FB8E173">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1</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交货时间：乙方根据甲方采购订单要求7日内交货。若甲方紧急需用，乙方需配合积极协调在3个工作日内完成交货。</w:t>
      </w:r>
    </w:p>
    <w:p w14:paraId="4A138F01">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2</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交货地点：甲方指定地点，乙方根据甲方要求按照批号送到指定库房地架。所有运输费用由乙方承担。</w:t>
      </w:r>
    </w:p>
    <w:p w14:paraId="790CD887">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黑体" w:hAnsi="黑体" w:eastAsia="黑体" w:cs="黑体"/>
          <w:b w:val="0"/>
          <w:bCs/>
          <w:color w:val="auto"/>
          <w:szCs w:val="21"/>
          <w:highlight w:val="none"/>
        </w:rPr>
      </w:pPr>
      <w:r>
        <w:rPr>
          <w:rStyle w:val="47"/>
          <w:rFonts w:hint="eastAsia" w:ascii="黑体" w:hAnsi="黑体" w:eastAsia="黑体" w:cs="黑体"/>
          <w:b w:val="0"/>
          <w:bCs/>
          <w:color w:val="auto"/>
          <w:szCs w:val="21"/>
          <w:highlight w:val="none"/>
          <w:lang w:val="en-US" w:eastAsia="zh-CN"/>
        </w:rPr>
        <w:t>7</w:t>
      </w:r>
      <w:r>
        <w:rPr>
          <w:rStyle w:val="47"/>
          <w:rFonts w:hint="eastAsia" w:ascii="黑体" w:hAnsi="黑体" w:eastAsia="黑体" w:cs="黑体"/>
          <w:b w:val="0"/>
          <w:bCs/>
          <w:color w:val="auto"/>
          <w:szCs w:val="21"/>
          <w:highlight w:val="none"/>
        </w:rPr>
        <w:t>、验收</w:t>
      </w:r>
    </w:p>
    <w:p w14:paraId="6C41B0D3">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1</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送货前，乙方应当进行自检，出具检验合格报告并随货同行。</w:t>
      </w:r>
    </w:p>
    <w:p w14:paraId="36DC993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2</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甲方在收到乙方的货物后，甲乙双方根据出库单和检验报告共同组织验收，双方无异议并验收合格后方可入库。验收不合格，甲方有权拒收货物和解除采购合同，由此造成的损失，由乙方承担。因产品质量缺陷或运输过程当中造成的破损，乙方必须免费提供包换、包退服务。</w:t>
      </w:r>
    </w:p>
    <w:p w14:paraId="3FFFC1FC">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黑体" w:hAnsi="黑体" w:eastAsia="黑体" w:cs="黑体"/>
          <w:b w:val="0"/>
          <w:bCs/>
          <w:color w:val="auto"/>
          <w:szCs w:val="21"/>
          <w:highlight w:val="none"/>
        </w:rPr>
      </w:pPr>
      <w:r>
        <w:rPr>
          <w:rStyle w:val="47"/>
          <w:rFonts w:hint="eastAsia" w:ascii="黑体" w:hAnsi="黑体" w:eastAsia="黑体" w:cs="黑体"/>
          <w:b w:val="0"/>
          <w:bCs/>
          <w:color w:val="auto"/>
          <w:szCs w:val="21"/>
          <w:highlight w:val="none"/>
          <w:lang w:val="en-US" w:eastAsia="zh-CN"/>
        </w:rPr>
        <w:t>8</w:t>
      </w:r>
      <w:r>
        <w:rPr>
          <w:rStyle w:val="47"/>
          <w:rFonts w:hint="eastAsia" w:ascii="黑体" w:hAnsi="黑体" w:eastAsia="黑体" w:cs="黑体"/>
          <w:b w:val="0"/>
          <w:bCs/>
          <w:color w:val="auto"/>
          <w:szCs w:val="21"/>
          <w:highlight w:val="none"/>
        </w:rPr>
        <w:t>、权利保证</w:t>
      </w:r>
    </w:p>
    <w:p w14:paraId="4FF1B0A9">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eastAsia="宋体" w:cs="Times New Roman"/>
          <w:b w:val="0"/>
          <w:bCs/>
          <w:color w:val="auto"/>
          <w:szCs w:val="21"/>
          <w:highlight w:val="none"/>
        </w:rPr>
        <w:t>乙方应保证甲方在使用该产品/服务或其任何一部分时不受第三方提出侵犯其专利权、版权、商标权或其他权利的起诉。一旦出现侵权，乙方应承担全部责任并负责消除对甲方的不利影响，如甲方因此承担了任何责任，有权向乙方全额追偿，包括但不限于必要支出的诉讼费、律师费、保全费等。</w:t>
      </w:r>
    </w:p>
    <w:p w14:paraId="4C1EFCEA">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黑体" w:hAnsi="黑体" w:eastAsia="黑体" w:cs="黑体"/>
          <w:b/>
          <w:color w:val="auto"/>
          <w:szCs w:val="21"/>
          <w:highlight w:val="none"/>
        </w:rPr>
      </w:pPr>
      <w:r>
        <w:rPr>
          <w:rStyle w:val="47"/>
          <w:rFonts w:hint="eastAsia" w:ascii="黑体" w:hAnsi="黑体" w:eastAsia="黑体" w:cs="黑体"/>
          <w:b/>
          <w:color w:val="auto"/>
          <w:szCs w:val="21"/>
          <w:highlight w:val="none"/>
          <w:lang w:val="en-US" w:eastAsia="zh-CN"/>
        </w:rPr>
        <w:t>9</w:t>
      </w:r>
      <w:r>
        <w:rPr>
          <w:rStyle w:val="47"/>
          <w:rFonts w:hint="eastAsia" w:ascii="黑体" w:hAnsi="黑体" w:eastAsia="黑体" w:cs="黑体"/>
          <w:b/>
          <w:color w:val="auto"/>
          <w:szCs w:val="21"/>
          <w:highlight w:val="none"/>
        </w:rPr>
        <w:t>、违约责任</w:t>
      </w:r>
    </w:p>
    <w:p w14:paraId="153630F9">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1</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本合同生效后，双方应本着诚实信用原则，不得违反本合同约定的义务，不得随意变更、解除或者终止本合同。</w:t>
      </w:r>
    </w:p>
    <w:p w14:paraId="7269784B">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2</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因任一方以明示或默示方式表示不再履行合同的，属于违约行为。相对方有权选择要求继续履行或者依据法律规定解除合同，并要求违约方支付相当于合同总金额15% 的违约金。</w:t>
      </w:r>
    </w:p>
    <w:p w14:paraId="7E31453D">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3</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如乙方不能交付的，甲方有权解除合同，解除合同的通知自到达乙方时生效，乙方除应向甲方返还所有已收款项外，还应支付合同总价 15 %的违约金。</w:t>
      </w:r>
    </w:p>
    <w:p w14:paraId="41380ECD">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4</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因甲方原因未按合同规定的期限向乙方支付价款的，每逾期1天甲方向乙方偿付欠款总额的 5 ‰违约金，但累计违约金总额不超过欠款总额的 15 %。非因甲方原因未及时付款，甲方不承担违约责任。</w:t>
      </w:r>
    </w:p>
    <w:p w14:paraId="68B7A0B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cs="Times New Roman"/>
          <w:b w:val="0"/>
          <w:bCs/>
          <w:color w:val="auto"/>
          <w:szCs w:val="21"/>
          <w:highlight w:val="none"/>
          <w:lang w:eastAsia="zh-CN"/>
        </w:rPr>
        <w:t>（</w:t>
      </w:r>
      <w:r>
        <w:rPr>
          <w:rStyle w:val="47"/>
          <w:rFonts w:hint="eastAsia" w:ascii="宋体" w:hAnsi="宋体" w:cs="Times New Roman"/>
          <w:b w:val="0"/>
          <w:bCs/>
          <w:color w:val="auto"/>
          <w:szCs w:val="21"/>
          <w:highlight w:val="none"/>
          <w:lang w:val="en-US" w:eastAsia="zh-CN"/>
        </w:rPr>
        <w:t>5</w:t>
      </w:r>
      <w:r>
        <w:rPr>
          <w:rStyle w:val="47"/>
          <w:rFonts w:hint="eastAsia" w:ascii="宋体" w:hAnsi="宋体" w:cs="Times New Roman"/>
          <w:b w:val="0"/>
          <w:bCs/>
          <w:color w:val="auto"/>
          <w:szCs w:val="21"/>
          <w:highlight w:val="none"/>
          <w:lang w:eastAsia="zh-CN"/>
        </w:rPr>
        <w:t>）</w:t>
      </w:r>
      <w:r>
        <w:rPr>
          <w:rStyle w:val="47"/>
          <w:rFonts w:hint="eastAsia" w:ascii="宋体" w:hAnsi="宋体" w:eastAsia="宋体" w:cs="Times New Roman"/>
          <w:b w:val="0"/>
          <w:bCs/>
          <w:color w:val="auto"/>
          <w:szCs w:val="21"/>
          <w:highlight w:val="none"/>
        </w:rPr>
        <w:t>乙方逾期交付的，每逾期1天，乙方向甲方偿付合同总额的 5 ‰的违约金。如乙方逾期交付达 30 天，甲方有权解除合同，解除合同的通知自到达乙方时生效，赔偿因此给甲方造成的损失，包括但不限于紧急采购支出。</w:t>
      </w:r>
    </w:p>
    <w:p w14:paraId="71AB95DF">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b/>
          <w:color w:val="auto"/>
          <w:szCs w:val="21"/>
          <w:highlight w:val="none"/>
        </w:rPr>
      </w:pPr>
    </w:p>
    <w:p w14:paraId="7673F5AA">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b/>
          <w:color w:val="auto"/>
          <w:szCs w:val="21"/>
          <w:highlight w:val="none"/>
        </w:rPr>
      </w:pPr>
      <w:r>
        <w:rPr>
          <w:rStyle w:val="47"/>
          <w:rFonts w:hint="eastAsia" w:ascii="宋体" w:hAnsi="宋体" w:cs="Times New Roman"/>
          <w:b/>
          <w:color w:val="auto"/>
          <w:szCs w:val="21"/>
          <w:highlight w:val="none"/>
          <w:lang w:val="en-US" w:eastAsia="zh-CN"/>
        </w:rPr>
        <w:t>10</w:t>
      </w:r>
      <w:r>
        <w:rPr>
          <w:rStyle w:val="47"/>
          <w:rFonts w:hint="eastAsia" w:ascii="宋体" w:hAnsi="宋体" w:eastAsia="宋体" w:cs="Times New Roman"/>
          <w:b/>
          <w:color w:val="auto"/>
          <w:szCs w:val="21"/>
          <w:highlight w:val="none"/>
        </w:rPr>
        <w:t>.解决合同纠纷方式</w:t>
      </w:r>
    </w:p>
    <w:p w14:paraId="30D0D29C">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b w:val="0"/>
          <w:bCs/>
          <w:color w:val="auto"/>
          <w:szCs w:val="21"/>
          <w:highlight w:val="none"/>
        </w:rPr>
      </w:pPr>
      <w:r>
        <w:rPr>
          <w:rStyle w:val="47"/>
          <w:rFonts w:hint="eastAsia" w:ascii="宋体" w:hAnsi="宋体" w:eastAsia="宋体" w:cs="Times New Roman"/>
          <w:b w:val="0"/>
          <w:bCs/>
          <w:color w:val="auto"/>
          <w:szCs w:val="21"/>
          <w:highlight w:val="none"/>
        </w:rPr>
        <w:t>对于双方执行合同过程中出现的争议，本着双方友好协商的原则进行解决。经协商不能解决的，可按照法律规定向甲方所在地有管辖权的人民法院提起诉讼。届时守约方产生的所有追索债权的相关费用（包括但不仅限于律师费、诉讼费、保全担保费、差旅费、公证费、鉴定费、评估费）均由违约方全额承担。</w:t>
      </w:r>
    </w:p>
    <w:p w14:paraId="19CB9464">
      <w:pPr>
        <w:pStyle w:val="197"/>
        <w:rPr>
          <w:rStyle w:val="47"/>
          <w:rFonts w:hint="default" w:ascii="Calibri" w:hAnsi="Calibri" w:eastAsia="宋体" w:cs="Calibri"/>
          <w:b w:val="0"/>
          <w:color w:val="auto"/>
          <w:szCs w:val="21"/>
          <w:highlight w:val="none"/>
        </w:rPr>
      </w:pPr>
    </w:p>
    <w:p w14:paraId="36B8AFD0">
      <w:pPr>
        <w:pStyle w:val="196"/>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Style w:val="47"/>
          <w:rFonts w:hint="eastAsia" w:ascii="宋体" w:hAnsi="宋体" w:eastAsia="宋体" w:cs="Times New Roman"/>
          <w:b/>
          <w:color w:val="auto"/>
          <w:szCs w:val="21"/>
          <w:highlight w:val="none"/>
        </w:rPr>
      </w:pPr>
      <w:r>
        <w:rPr>
          <w:rStyle w:val="47"/>
          <w:rFonts w:hint="eastAsia" w:ascii="宋体" w:hAnsi="宋体" w:cs="Times New Roman"/>
          <w:b/>
          <w:color w:val="auto"/>
          <w:szCs w:val="21"/>
          <w:highlight w:val="none"/>
          <w:lang w:val="en-US" w:eastAsia="zh-CN"/>
        </w:rPr>
        <w:t>11</w:t>
      </w:r>
      <w:r>
        <w:rPr>
          <w:rStyle w:val="47"/>
          <w:rFonts w:hint="eastAsia" w:ascii="宋体" w:hAnsi="宋体" w:eastAsia="宋体" w:cs="Times New Roman"/>
          <w:b/>
          <w:color w:val="auto"/>
          <w:szCs w:val="21"/>
          <w:highlight w:val="none"/>
        </w:rPr>
        <w:t>.组成合同的文件</w:t>
      </w:r>
    </w:p>
    <w:p w14:paraId="1FDF8FC0">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本协议书与下列文件一起构成合同文件，如下述文件之间有任何抵触、矛盾或歧义，应按以下顺序解释：</w:t>
      </w:r>
    </w:p>
    <w:p w14:paraId="53B1C5C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（1）在采购或合同履行过程中乙方作出的承诺以及双方协商达成的变更或补充协议</w:t>
      </w:r>
    </w:p>
    <w:p w14:paraId="3A27196C">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（2）本合同协议书</w:t>
      </w:r>
    </w:p>
    <w:p w14:paraId="2F21A878">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（3）中标通知书</w:t>
      </w:r>
    </w:p>
    <w:p w14:paraId="6A184957">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（4）投标文件</w:t>
      </w:r>
    </w:p>
    <w:p w14:paraId="1A6A4295">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（5）政府采购合同专用条款</w:t>
      </w:r>
    </w:p>
    <w:p w14:paraId="2D0F2AA8">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（6）政府采购合同通用条款</w:t>
      </w:r>
    </w:p>
    <w:p w14:paraId="7ECF99D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（7）合同签订时，乙方应附上公司资质及产品资质，乙方所提供的产品具有药品资质（须在国家药品监督管理局药品审评中心备案，且与制剂共同审评审批结果为A）及其他材料并加盖公章。</w:t>
      </w:r>
    </w:p>
    <w:p w14:paraId="52EA02A2">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（8）其他合同文件。</w:t>
      </w:r>
    </w:p>
    <w:p w14:paraId="56A7CFF4">
      <w:pPr>
        <w:pStyle w:val="196"/>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Style w:val="47"/>
          <w:rFonts w:hint="eastAsia" w:ascii="宋体" w:hAnsi="宋体" w:eastAsia="宋体" w:cs="Times New Roman"/>
          <w:b/>
          <w:color w:val="auto"/>
          <w:szCs w:val="21"/>
          <w:highlight w:val="none"/>
        </w:rPr>
      </w:pPr>
      <w:r>
        <w:rPr>
          <w:rStyle w:val="47"/>
          <w:rFonts w:hint="eastAsia" w:ascii="宋体" w:hAnsi="宋体" w:cs="Times New Roman"/>
          <w:b/>
          <w:color w:val="auto"/>
          <w:szCs w:val="21"/>
          <w:highlight w:val="none"/>
          <w:lang w:val="en-US" w:eastAsia="zh-CN"/>
        </w:rPr>
        <w:t>12</w:t>
      </w:r>
      <w:r>
        <w:rPr>
          <w:rStyle w:val="47"/>
          <w:rFonts w:hint="eastAsia" w:ascii="宋体" w:hAnsi="宋体" w:eastAsia="宋体" w:cs="Times New Roman"/>
          <w:b/>
          <w:color w:val="auto"/>
          <w:szCs w:val="21"/>
          <w:highlight w:val="none"/>
        </w:rPr>
        <w:t>.合同生效</w:t>
      </w:r>
    </w:p>
    <w:p w14:paraId="6CE2D790">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本合同自</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生效。</w:t>
      </w:r>
    </w:p>
    <w:p w14:paraId="7522560F">
      <w:pPr>
        <w:pStyle w:val="196"/>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Style w:val="47"/>
          <w:rFonts w:hint="eastAsia" w:ascii="宋体" w:hAnsi="宋体" w:eastAsia="宋体" w:cs="Times New Roman"/>
          <w:b/>
          <w:color w:val="auto"/>
          <w:szCs w:val="21"/>
          <w:highlight w:val="none"/>
        </w:rPr>
      </w:pPr>
      <w:r>
        <w:rPr>
          <w:rStyle w:val="47"/>
          <w:rFonts w:hint="eastAsia" w:ascii="宋体" w:hAnsi="宋体" w:cs="Times New Roman"/>
          <w:b/>
          <w:color w:val="auto"/>
          <w:szCs w:val="21"/>
          <w:highlight w:val="none"/>
          <w:lang w:val="en-US" w:eastAsia="zh-CN"/>
        </w:rPr>
        <w:t>13</w:t>
      </w:r>
      <w:r>
        <w:rPr>
          <w:rStyle w:val="47"/>
          <w:rFonts w:hint="eastAsia" w:ascii="宋体" w:hAnsi="宋体" w:eastAsia="宋体" w:cs="Times New Roman"/>
          <w:b/>
          <w:color w:val="auto"/>
          <w:szCs w:val="21"/>
          <w:highlight w:val="none"/>
        </w:rPr>
        <w:t>.合同份数</w:t>
      </w:r>
    </w:p>
    <w:p w14:paraId="772EC23A">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本合同一式</w:t>
      </w:r>
      <w:r>
        <w:rPr>
          <w:rStyle w:val="47"/>
          <w:rFonts w:hint="eastAsia" w:ascii="宋体" w:hAnsi="宋体" w:cs="Times New Roman"/>
          <w:color w:val="auto"/>
          <w:szCs w:val="21"/>
          <w:highlight w:val="none"/>
          <w:u w:val="single"/>
          <w:lang w:eastAsia="zh-CN"/>
        </w:rPr>
        <w:t>五</w:t>
      </w:r>
      <w:r>
        <w:rPr>
          <w:rStyle w:val="47"/>
          <w:rFonts w:hint="eastAsia" w:ascii="宋体" w:hAnsi="宋体" w:eastAsia="宋体" w:cs="Times New Roman"/>
          <w:color w:val="auto"/>
          <w:szCs w:val="21"/>
          <w:highlight w:val="none"/>
        </w:rPr>
        <w:t>份，采购人执</w:t>
      </w:r>
      <w:r>
        <w:rPr>
          <w:rStyle w:val="47"/>
          <w:rFonts w:hint="eastAsia" w:ascii="宋体" w:hAnsi="宋体" w:cs="Times New Roman"/>
          <w:color w:val="auto"/>
          <w:szCs w:val="21"/>
          <w:highlight w:val="none"/>
          <w:u w:val="single"/>
          <w:lang w:eastAsia="zh-CN"/>
        </w:rPr>
        <w:t>四</w:t>
      </w:r>
      <w:r>
        <w:rPr>
          <w:rStyle w:val="47"/>
          <w:rFonts w:hint="eastAsia" w:ascii="宋体" w:hAnsi="宋体" w:eastAsia="宋体" w:cs="Times New Roman"/>
          <w:color w:val="auto"/>
          <w:szCs w:val="21"/>
          <w:highlight w:val="none"/>
        </w:rPr>
        <w:t>份，供应商执</w:t>
      </w:r>
      <w:r>
        <w:rPr>
          <w:rStyle w:val="47"/>
          <w:rFonts w:hint="eastAsia" w:ascii="宋体" w:hAnsi="宋体" w:cs="Times New Roman"/>
          <w:color w:val="auto"/>
          <w:szCs w:val="21"/>
          <w:highlight w:val="none"/>
          <w:u w:val="single"/>
          <w:lang w:eastAsia="zh-CN"/>
        </w:rPr>
        <w:t>一</w:t>
      </w:r>
      <w:r>
        <w:rPr>
          <w:rStyle w:val="47"/>
          <w:rFonts w:hint="eastAsia" w:ascii="宋体" w:hAnsi="宋体" w:eastAsia="宋体" w:cs="Times New Roman"/>
          <w:color w:val="auto"/>
          <w:szCs w:val="21"/>
          <w:highlight w:val="none"/>
        </w:rPr>
        <w:t>份，均具有同等法律效力。</w:t>
      </w:r>
    </w:p>
    <w:p w14:paraId="54932346">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p>
    <w:p w14:paraId="2C38600D">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合同订立时间：</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年</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月</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日</w:t>
      </w:r>
    </w:p>
    <w:p w14:paraId="4E8A3EDF">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合同订立地点：</w:t>
      </w:r>
      <w:r>
        <w:rPr>
          <w:rStyle w:val="47"/>
          <w:rFonts w:hint="eastAsia" w:ascii="宋体" w:hAnsi="宋体" w:eastAsia="宋体" w:cs="Times New Roman"/>
          <w:color w:val="auto"/>
          <w:szCs w:val="21"/>
          <w:highlight w:val="none"/>
          <w:u w:val="single"/>
        </w:rPr>
        <w:t xml:space="preserve">                           </w:t>
      </w:r>
    </w:p>
    <w:p w14:paraId="39C77755">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 xml:space="preserve">    </w:t>
      </w:r>
    </w:p>
    <w:p w14:paraId="636E9E52">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甲      方：（公章）                     乙      方：（公章）</w:t>
      </w:r>
    </w:p>
    <w:p w14:paraId="22613254">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cs="Times New Roman"/>
          <w:color w:val="auto"/>
          <w:szCs w:val="21"/>
          <w:highlight w:val="none"/>
          <w:lang w:val="en-US" w:eastAsia="zh-CN"/>
        </w:rPr>
        <w:t xml:space="preserve">经  办  </w:t>
      </w:r>
      <w:r>
        <w:rPr>
          <w:rStyle w:val="47"/>
          <w:rFonts w:hint="eastAsia" w:ascii="宋体" w:hAnsi="宋体" w:eastAsia="宋体" w:cs="Times New Roman"/>
          <w:color w:val="auto"/>
          <w:szCs w:val="21"/>
          <w:highlight w:val="none"/>
        </w:rPr>
        <w:t>人：</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经  办  </w:t>
      </w:r>
      <w:r>
        <w:rPr>
          <w:rStyle w:val="47"/>
          <w:rFonts w:hint="eastAsia" w:ascii="宋体" w:hAnsi="宋体" w:eastAsia="宋体" w:cs="Times New Roman"/>
          <w:color w:val="auto"/>
          <w:szCs w:val="21"/>
          <w:highlight w:val="none"/>
        </w:rPr>
        <w:t>人：</w:t>
      </w:r>
      <w:r>
        <w:rPr>
          <w:rStyle w:val="47"/>
          <w:rFonts w:hint="eastAsia" w:ascii="宋体" w:hAnsi="宋体" w:eastAsia="宋体" w:cs="Times New Roman"/>
          <w:color w:val="auto"/>
          <w:szCs w:val="21"/>
          <w:highlight w:val="none"/>
          <w:u w:val="single"/>
        </w:rPr>
        <w:t xml:space="preserve">                   </w:t>
      </w:r>
    </w:p>
    <w:p w14:paraId="678F21C9">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电      话：</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 xml:space="preserve"> 电      话：</w:t>
      </w:r>
      <w:r>
        <w:rPr>
          <w:rStyle w:val="47"/>
          <w:rFonts w:hint="eastAsia" w:ascii="宋体" w:hAnsi="宋体" w:eastAsia="宋体" w:cs="Times New Roman"/>
          <w:color w:val="auto"/>
          <w:szCs w:val="21"/>
          <w:highlight w:val="none"/>
          <w:u w:val="single"/>
        </w:rPr>
        <w:t xml:space="preserve">                   </w:t>
      </w:r>
    </w:p>
    <w:p w14:paraId="52BA779D">
      <w:pPr>
        <w:pStyle w:val="196"/>
        <w:keepNext w:val="0"/>
        <w:keepLines w:val="0"/>
        <w:pageBreakBefore w:val="0"/>
        <w:widowControl w:val="0"/>
        <w:kinsoku/>
        <w:wordWrap/>
        <w:overflowPunct/>
        <w:topLinePunct w:val="0"/>
        <w:autoSpaceDE/>
        <w:autoSpaceDN/>
        <w:bidi w:val="0"/>
        <w:adjustRightInd w:val="0"/>
        <w:snapToGrid w:val="0"/>
        <w:spacing w:line="360" w:lineRule="auto"/>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传      真：</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 xml:space="preserve"> 传      真：</w:t>
      </w:r>
      <w:r>
        <w:rPr>
          <w:rStyle w:val="47"/>
          <w:rFonts w:hint="eastAsia" w:ascii="宋体" w:hAnsi="宋体" w:eastAsia="宋体" w:cs="Times New Roman"/>
          <w:color w:val="auto"/>
          <w:szCs w:val="21"/>
          <w:highlight w:val="none"/>
          <w:u w:val="single"/>
        </w:rPr>
        <w:t xml:space="preserve">                   </w:t>
      </w:r>
    </w:p>
    <w:p w14:paraId="0BC42D96">
      <w:pPr>
        <w:pStyle w:val="19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 xml:space="preserve"> 开 户 银 行：</w:t>
      </w:r>
      <w:r>
        <w:rPr>
          <w:rStyle w:val="47"/>
          <w:rFonts w:hint="eastAsia" w:ascii="宋体" w:hAnsi="宋体" w:eastAsia="宋体" w:cs="Times New Roman"/>
          <w:color w:val="auto"/>
          <w:szCs w:val="21"/>
          <w:highlight w:val="none"/>
          <w:u w:val="single"/>
        </w:rPr>
        <w:t xml:space="preserve">                   </w:t>
      </w:r>
    </w:p>
    <w:p w14:paraId="0883E8EF">
      <w:pPr>
        <w:pStyle w:val="196"/>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Style w:val="47"/>
          <w:rFonts w:hint="eastAsia" w:ascii="宋体" w:hAnsi="宋体" w:eastAsia="宋体" w:cs="Times New Roman"/>
          <w:b/>
          <w:color w:val="auto"/>
          <w:szCs w:val="21"/>
          <w:highlight w:val="none"/>
        </w:rPr>
      </w:pP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帐       号：</w:t>
      </w:r>
      <w:r>
        <w:rPr>
          <w:rStyle w:val="47"/>
          <w:rFonts w:hint="eastAsia" w:ascii="宋体" w:hAnsi="宋体" w:eastAsia="宋体" w:cs="Times New Roman"/>
          <w:color w:val="auto"/>
          <w:szCs w:val="21"/>
          <w:highlight w:val="none"/>
          <w:u w:val="single"/>
        </w:rPr>
        <w:t xml:space="preserve">                 </w:t>
      </w:r>
    </w:p>
    <w:p w14:paraId="4CF8E672">
      <w:pPr>
        <w:pStyle w:val="136"/>
        <w:adjustRightInd w:val="0"/>
        <w:snapToGrid w:val="0"/>
        <w:spacing w:before="156" w:beforeLines="50"/>
        <w:jc w:val="center"/>
        <w:rPr>
          <w:rStyle w:val="47"/>
          <w:rFonts w:hint="eastAsia" w:ascii="黑体" w:hAnsi="黑体" w:eastAsia="黑体" w:cs="Times New Roman"/>
          <w:color w:val="auto"/>
          <w:sz w:val="28"/>
          <w:szCs w:val="28"/>
          <w:highlight w:val="none"/>
        </w:rPr>
      </w:pPr>
      <w:r>
        <w:rPr>
          <w:rStyle w:val="47"/>
          <w:rFonts w:hint="eastAsia" w:ascii="宋体" w:hAnsi="宋体" w:eastAsia="宋体" w:cs="Times New Roman"/>
          <w:b w:val="0"/>
          <w:bCs w:val="0"/>
          <w:color w:val="auto"/>
          <w:szCs w:val="21"/>
          <w:highlight w:val="none"/>
          <w:u w:val="single"/>
        </w:rPr>
        <w:br w:type="page"/>
      </w:r>
      <w:bookmarkStart w:id="30" w:name="_Toc256000041"/>
      <w:bookmarkStart w:id="31" w:name="_Toc29913946"/>
      <w:r>
        <w:rPr>
          <w:rStyle w:val="47"/>
          <w:rFonts w:hint="eastAsia" w:ascii="黑体" w:hAnsi="黑体" w:eastAsia="黑体" w:cs="Times New Roman"/>
          <w:color w:val="auto"/>
          <w:sz w:val="28"/>
          <w:szCs w:val="28"/>
          <w:highlight w:val="none"/>
        </w:rPr>
        <w:t>第二节 政府采购合同通用条款</w:t>
      </w:r>
      <w:bookmarkEnd w:id="30"/>
      <w:bookmarkEnd w:id="31"/>
    </w:p>
    <w:p w14:paraId="6FB4F29D">
      <w:pPr>
        <w:pStyle w:val="196"/>
        <w:tabs>
          <w:tab w:val="left" w:pos="8820"/>
          <w:tab w:val="left" w:pos="9345"/>
          <w:tab w:val="left" w:pos="9765"/>
        </w:tabs>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color w:val="auto"/>
          <w:sz w:val="24"/>
          <w:highlight w:val="none"/>
        </w:rPr>
        <w:t>1.</w:t>
      </w:r>
      <w:r>
        <w:rPr>
          <w:rStyle w:val="47"/>
          <w:rFonts w:hint="eastAsia" w:ascii="宋体" w:hAnsi="宋体" w:eastAsia="宋体" w:cs="Times New Roman"/>
          <w:b/>
          <w:bCs/>
          <w:color w:val="auto"/>
          <w:sz w:val="24"/>
          <w:highlight w:val="none"/>
        </w:rPr>
        <w:t>定义</w:t>
      </w:r>
    </w:p>
    <w:p w14:paraId="4A5A08E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1.1合同当事人</w:t>
      </w:r>
    </w:p>
    <w:p w14:paraId="5E987881">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（1）采购人（以下称甲方）是指使用财政性资金，通过政府采购程序向供应商购买货物、服务的国家机关、事业单位、团体组织。本次采购的甲方名称、地址见</w:t>
      </w:r>
      <w:r>
        <w:rPr>
          <w:rStyle w:val="47"/>
          <w:rFonts w:hint="eastAsia" w:ascii="宋体" w:hAnsi="宋体" w:eastAsia="宋体" w:cs="Times New Roman"/>
          <w:b/>
          <w:color w:val="auto"/>
          <w:szCs w:val="21"/>
          <w:highlight w:val="none"/>
        </w:rPr>
        <w:t>【政府采购合同专用条款】。</w:t>
      </w:r>
    </w:p>
    <w:p w14:paraId="52FEB6D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b/>
          <w:color w:val="auto"/>
          <w:szCs w:val="21"/>
          <w:highlight w:val="none"/>
        </w:rPr>
      </w:pPr>
      <w:r>
        <w:rPr>
          <w:rStyle w:val="47"/>
          <w:rFonts w:hint="eastAsia" w:ascii="宋体" w:hAnsi="宋体" w:eastAsia="宋体" w:cs="Times New Roman"/>
          <w:color w:val="auto"/>
          <w:szCs w:val="21"/>
          <w:highlight w:val="none"/>
        </w:rPr>
        <w:t>（2）供应商（以下称乙方）是指参加政府采购活动而取得中标结果，并向采购人提供货物、服务的法人、其他组织或者自然人。</w:t>
      </w:r>
    </w:p>
    <w:p w14:paraId="63C8519D">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1.2本合同下列术语应解释为：</w:t>
      </w:r>
    </w:p>
    <w:p w14:paraId="64B28219">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（1）“合同”系指甲乙双方签署的、政府采购合同协议书中载明的甲乙双方所达成的协议，包括所有的附件、附录和上述文件所提到的构成合同的所有文件。</w:t>
      </w:r>
    </w:p>
    <w:p w14:paraId="77E24323">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（2）“合同价”系指根据本合同规定乙方在正确地完全履行合同义务后甲方应支付给乙方的价款。</w:t>
      </w:r>
    </w:p>
    <w:p w14:paraId="2CCB2A57">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（3）“货物”系指乙方根据本合同规定须向甲方提供的各种形态和种类的物品，包括原材料、设备、产品（包括软件）及相关的其备品备件、工具、手册及其它技术资料和材料。</w:t>
      </w:r>
    </w:p>
    <w:p w14:paraId="4011979B">
      <w:pPr>
        <w:pStyle w:val="196"/>
        <w:tabs>
          <w:tab w:val="left" w:pos="570"/>
          <w:tab w:val="left" w:pos="888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（4）“服务”系指根据合同规定，乙方应提供的技术和其它服务。</w:t>
      </w:r>
    </w:p>
    <w:p w14:paraId="3C6EA54A">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（5）“合同条款”系指本合同条款。</w:t>
      </w:r>
    </w:p>
    <w:p w14:paraId="01DD1298">
      <w:pPr>
        <w:pStyle w:val="196"/>
        <w:tabs>
          <w:tab w:val="left" w:pos="570"/>
          <w:tab w:val="left" w:pos="9240"/>
          <w:tab w:val="left" w:pos="9555"/>
        </w:tabs>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（6）“项目现场”系指本合同项下货物安装、运行的现场，其名称见</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w:t>
      </w:r>
    </w:p>
    <w:p w14:paraId="3C78E092">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2.合同的适用范围</w:t>
      </w:r>
    </w:p>
    <w:p w14:paraId="2B20874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2.1 本合同条款适用于没有被本合同其他部分的条款所取代的范围。</w:t>
      </w:r>
    </w:p>
    <w:p w14:paraId="0A1FAE27">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2.2 合同内容根据招标文件、投标文件而确定。</w:t>
      </w:r>
    </w:p>
    <w:p w14:paraId="0E8BC813">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3.</w:t>
      </w:r>
      <w:r>
        <w:rPr>
          <w:rStyle w:val="47"/>
          <w:rFonts w:hint="eastAsia" w:ascii="宋体" w:hAnsi="宋体" w:eastAsia="宋体" w:cs="Times New Roman"/>
          <w:b/>
          <w:color w:val="auto"/>
          <w:sz w:val="24"/>
          <w:highlight w:val="none"/>
        </w:rPr>
        <w:t>合同标的及金额</w:t>
      </w:r>
    </w:p>
    <w:p w14:paraId="6FD7774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3.1 合同标的及金额应与中标结果一致。</w:t>
      </w:r>
    </w:p>
    <w:p w14:paraId="2AF0FDB3">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4.</w:t>
      </w:r>
      <w:r>
        <w:rPr>
          <w:rStyle w:val="47"/>
          <w:rFonts w:hint="eastAsia" w:ascii="宋体" w:hAnsi="宋体" w:eastAsia="宋体" w:cs="Times New Roman"/>
          <w:b/>
          <w:color w:val="auto"/>
          <w:sz w:val="24"/>
          <w:highlight w:val="none"/>
        </w:rPr>
        <w:t>合同价款</w:t>
      </w:r>
    </w:p>
    <w:p w14:paraId="22B9235F">
      <w:pPr>
        <w:pStyle w:val="196"/>
        <w:adjustRightInd w:val="0"/>
        <w:snapToGrid w:val="0"/>
        <w:spacing w:before="50" w:line="360" w:lineRule="auto"/>
        <w:ind w:firstLine="420" w:firstLineChars="200"/>
        <w:jc w:val="left"/>
        <w:rPr>
          <w:rStyle w:val="47"/>
          <w:rFonts w:hint="eastAsia" w:ascii="宋体" w:hAnsi="宋体" w:eastAsia="宋体" w:cs="Times New Roman"/>
          <w:b/>
          <w:bCs/>
          <w:i/>
          <w:iCs/>
          <w:color w:val="auto"/>
          <w:szCs w:val="21"/>
          <w:highlight w:val="none"/>
        </w:rPr>
      </w:pPr>
      <w:r>
        <w:rPr>
          <w:rStyle w:val="47"/>
          <w:rFonts w:hint="eastAsia" w:ascii="宋体" w:hAnsi="宋体" w:eastAsia="宋体" w:cs="Times New Roman"/>
          <w:color w:val="auto"/>
          <w:szCs w:val="21"/>
          <w:highlight w:val="none"/>
        </w:rPr>
        <w:t>4.1具体合同价款见本合同第3.1条。乙方为履行本合同而发生的所有费用均应包含在合同价款中，甲方不再另行支付其它任何费用。</w:t>
      </w:r>
    </w:p>
    <w:p w14:paraId="05FEE805">
      <w:pPr>
        <w:pStyle w:val="196"/>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5.履行合同的时间、地点和方式</w:t>
      </w:r>
    </w:p>
    <w:p w14:paraId="6D40CD1C">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5.1 乙方应当在甲方确定的时间、指定的地点履行合同，具体的交货时间、地点和方式见</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w:t>
      </w:r>
    </w:p>
    <w:p w14:paraId="156D225B">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5.2 乙方提供服务的应当在甲方指定的地点完成服务项目。</w:t>
      </w:r>
    </w:p>
    <w:p w14:paraId="1F40CDE9">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6.</w:t>
      </w:r>
      <w:r>
        <w:rPr>
          <w:rStyle w:val="47"/>
          <w:rFonts w:hint="eastAsia" w:ascii="宋体" w:hAnsi="宋体" w:eastAsia="宋体" w:cs="Times New Roman"/>
          <w:b/>
          <w:color w:val="auto"/>
          <w:sz w:val="24"/>
          <w:highlight w:val="none"/>
        </w:rPr>
        <w:t>货物的验收</w:t>
      </w:r>
    </w:p>
    <w:p w14:paraId="6743EEE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6.1 甲方在收到乙方交付的货物后应当及时组织验收。</w:t>
      </w:r>
    </w:p>
    <w:p w14:paraId="70DFD84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6.2 货物的表面瑕疵，甲方应在验收时当面提出</w:t>
      </w:r>
    </w:p>
    <w:p w14:paraId="6C5F615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6.3 在验收过程中发现数量不足或有质量、技术等问题，乙方应负责按照甲方的要求采取补足、更换或退货等处理措施，并承担由此发生的一切费用和损失。</w:t>
      </w:r>
    </w:p>
    <w:p w14:paraId="225F6DB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6.4 甲方在乙方按合同规定交货或安装、调试后，无正当理由而拖延接收、验收或拒绝接收、验收的，应承担因此给乙方造成的直接损失。</w:t>
      </w:r>
    </w:p>
    <w:p w14:paraId="2F5A9990">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7.货物包装要求</w:t>
      </w:r>
    </w:p>
    <w:p w14:paraId="7630DBF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26148B4C">
      <w:pPr>
        <w:pStyle w:val="196"/>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8.运输和保险</w:t>
      </w:r>
    </w:p>
    <w:p w14:paraId="6CC98EC6">
      <w:pPr>
        <w:pStyle w:val="196"/>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8.1乙方负责办理将货物运抵本合同第5.1条规定的交货地点的一切运输事项，相关费用应包括在合同总价中。</w:t>
      </w:r>
    </w:p>
    <w:p w14:paraId="39A3CA7F">
      <w:pPr>
        <w:pStyle w:val="196"/>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9.质量标准和保证</w:t>
      </w:r>
    </w:p>
    <w:p w14:paraId="13C7BA2E">
      <w:pPr>
        <w:pStyle w:val="201"/>
        <w:adjustRightInd w:val="0"/>
        <w:snapToGrid w:val="0"/>
        <w:spacing w:before="50" w:line="360" w:lineRule="auto"/>
        <w:ind w:firstLine="420" w:firstLineChars="200"/>
        <w:jc w:val="left"/>
        <w:rPr>
          <w:rStyle w:val="47"/>
          <w:rFonts w:hint="eastAsia" w:hAnsi="宋体" w:eastAsia="宋体"/>
          <w:b/>
          <w:color w:val="auto"/>
          <w:highlight w:val="none"/>
        </w:rPr>
      </w:pPr>
      <w:r>
        <w:rPr>
          <w:rStyle w:val="47"/>
          <w:rFonts w:hint="eastAsia" w:hAnsi="宋体" w:eastAsia="宋体"/>
          <w:color w:val="auto"/>
          <w:highlight w:val="none"/>
        </w:rPr>
        <w:t>9.1 质量标准</w:t>
      </w:r>
    </w:p>
    <w:p w14:paraId="25E5EAB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（1）本合同下交付的货物应符合招标文件所述的标准。如果没有提及适用标准，则应符合中华人民共和国有关机构发布的最新版本的标准。</w:t>
      </w:r>
    </w:p>
    <w:p w14:paraId="4A6FF00F">
      <w:pPr>
        <w:pStyle w:val="201"/>
        <w:adjustRightInd w:val="0"/>
        <w:snapToGrid w:val="0"/>
        <w:spacing w:before="50" w:line="360" w:lineRule="auto"/>
        <w:ind w:firstLine="420" w:firstLineChars="200"/>
        <w:jc w:val="left"/>
        <w:rPr>
          <w:rStyle w:val="47"/>
          <w:rFonts w:hint="eastAsia" w:hAnsi="宋体" w:eastAsia="宋体"/>
          <w:color w:val="auto"/>
          <w:highlight w:val="none"/>
        </w:rPr>
      </w:pPr>
      <w:r>
        <w:rPr>
          <w:rStyle w:val="47"/>
          <w:rFonts w:hint="eastAsia" w:hAnsi="宋体" w:eastAsia="宋体"/>
          <w:color w:val="auto"/>
          <w:highlight w:val="none"/>
        </w:rPr>
        <w:t>（2）采用中华人民共和国法定计量单位。</w:t>
      </w:r>
    </w:p>
    <w:p w14:paraId="772536C3">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（3）乙方所出售的货物还应符合国家有关安全、环保、卫生之规定。</w:t>
      </w:r>
    </w:p>
    <w:p w14:paraId="2A3407D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9.2 保证</w:t>
      </w:r>
    </w:p>
    <w:p w14:paraId="3B31841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（1）乙方应保证所供货物是全新的、未使用过的，并完全符合合同规定的质量、规格和性能的要求。在货物最终交付验收后不少于</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规定或乙方承诺（两者以较长的为准）的质量保证期内，本保证保持有效。</w:t>
      </w:r>
    </w:p>
    <w:p w14:paraId="21650415">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（2）在质量保证期内所发现的缺陷，甲方应尽快以书面形式通知乙方。</w:t>
      </w:r>
    </w:p>
    <w:p w14:paraId="2A29415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（3）乙方收到通知后应在</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规定的响应时间内以合理的速度</w:t>
      </w:r>
      <w:r>
        <w:rPr>
          <w:rStyle w:val="47"/>
          <w:rFonts w:hint="eastAsia" w:ascii="宋体" w:hAnsi="宋体" w:cs="Times New Roman"/>
          <w:color w:val="auto"/>
          <w:szCs w:val="21"/>
          <w:highlight w:val="none"/>
          <w:lang w:val="en-US" w:eastAsia="zh-CN"/>
        </w:rPr>
        <w:t>退换</w:t>
      </w:r>
      <w:r>
        <w:rPr>
          <w:rStyle w:val="47"/>
          <w:rFonts w:hint="eastAsia" w:ascii="宋体" w:hAnsi="宋体" w:eastAsia="宋体" w:cs="Times New Roman"/>
          <w:color w:val="auto"/>
          <w:szCs w:val="21"/>
          <w:highlight w:val="none"/>
        </w:rPr>
        <w:t>。</w:t>
      </w:r>
    </w:p>
    <w:p w14:paraId="1C7FDA9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0FEB5456">
      <w:pPr>
        <w:pStyle w:val="196"/>
        <w:adjustRightInd w:val="0"/>
        <w:snapToGrid w:val="0"/>
        <w:spacing w:before="50" w:line="360" w:lineRule="auto"/>
        <w:ind w:firstLine="420" w:firstLineChars="200"/>
        <w:jc w:val="left"/>
        <w:rPr>
          <w:rStyle w:val="47"/>
          <w:rFonts w:hint="eastAsia" w:ascii="宋体" w:hAnsi="宋体" w:eastAsia="宋体" w:cs="Times New Roman"/>
          <w:b/>
          <w:color w:val="auto"/>
          <w:szCs w:val="21"/>
          <w:highlight w:val="none"/>
        </w:rPr>
      </w:pPr>
      <w:r>
        <w:rPr>
          <w:rStyle w:val="47"/>
          <w:rFonts w:hint="eastAsia" w:ascii="宋体" w:hAnsi="宋体" w:eastAsia="宋体" w:cs="Times New Roman"/>
          <w:color w:val="auto"/>
          <w:szCs w:val="21"/>
          <w:highlight w:val="none"/>
        </w:rPr>
        <w:t>（5）乙方在约定的时间内未能弥补缺陷，甲方可采取必要的补救措施，但其风险和费用将由乙方承担，甲方根据合同规定对乙方行使的其他权利不受影响。</w:t>
      </w:r>
    </w:p>
    <w:p w14:paraId="77A0231B">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10.权利瑕疵担保</w:t>
      </w:r>
    </w:p>
    <w:p w14:paraId="19DC0DE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10.1 乙方保证对其出售的货物享有合法的权利。</w:t>
      </w:r>
    </w:p>
    <w:p w14:paraId="2A461EAF">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10.2 乙方保证在其出售的货物上不存在任何未曾向甲方透露的担保物权，如抵押权、质押权、留置权等。</w:t>
      </w:r>
    </w:p>
    <w:p w14:paraId="5745F95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10.3 如甲方使用该货物构成上述侵权的，则由乙方承担全部责任。</w:t>
      </w:r>
    </w:p>
    <w:p w14:paraId="0C43EDAE">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11.知识产权保护</w:t>
      </w:r>
    </w:p>
    <w:p w14:paraId="1CB8A09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11.1 乙方对其所销售的货物应当享有知识产权或经权利人合法授权，保证没有侵犯任何第三人的知识产权和商业秘密等权利。</w:t>
      </w:r>
    </w:p>
    <w:p w14:paraId="3D7588C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11.2 甲方使用乙方提供的货物对第三人构成侵权的，应当由乙方承担全部法律责任，给甲方造成损害的，乙方应当承担赔偿责任。</w:t>
      </w:r>
    </w:p>
    <w:p w14:paraId="3054AE84">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12.保密义务</w:t>
      </w:r>
    </w:p>
    <w:p w14:paraId="282899D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12.1 甲、乙双方在采购和履行合同过程中所获悉的对方属于保密的内容，双方均有保密义务。</w:t>
      </w:r>
    </w:p>
    <w:p w14:paraId="5DF70466">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13.合同价款支付</w:t>
      </w:r>
    </w:p>
    <w:p w14:paraId="08C7DBD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13.1供应商于每个月25号前提供订单发票（增值税普通发票），验收合格后开票，采购人在收到供应商开具的增值税普通发票后1个月内支付，详见</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w:t>
      </w:r>
    </w:p>
    <w:p w14:paraId="5682BABA">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bCs/>
          <w:color w:val="auto"/>
          <w:sz w:val="24"/>
          <w:highlight w:val="none"/>
        </w:rPr>
        <w:t>14.</w:t>
      </w:r>
      <w:r>
        <w:rPr>
          <w:rStyle w:val="47"/>
          <w:rFonts w:hint="eastAsia" w:ascii="Calibri" w:hAnsi="Calibri" w:eastAsia="宋体" w:cs="Times New Roman"/>
          <w:b/>
          <w:color w:val="auto"/>
          <w:sz w:val="24"/>
          <w:highlight w:val="none"/>
        </w:rPr>
        <w:t>乙方应提供的</w:t>
      </w:r>
      <w:r>
        <w:rPr>
          <w:rStyle w:val="47"/>
          <w:rFonts w:hint="eastAsia" w:ascii="宋体" w:hAnsi="宋体" w:eastAsia="宋体" w:cs="Times New Roman"/>
          <w:b/>
          <w:color w:val="auto"/>
          <w:sz w:val="24"/>
          <w:highlight w:val="none"/>
        </w:rPr>
        <w:t>服务</w:t>
      </w:r>
    </w:p>
    <w:p w14:paraId="11ACF188">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 xml:space="preserve">14.1 </w:t>
      </w:r>
      <w:r>
        <w:rPr>
          <w:rStyle w:val="47"/>
          <w:rFonts w:hint="eastAsia" w:ascii="宋体" w:hAnsi="宋体" w:cs="Times New Roman"/>
          <w:color w:val="auto"/>
          <w:szCs w:val="21"/>
          <w:highlight w:val="none"/>
          <w:lang w:val="en-US" w:eastAsia="zh-CN"/>
        </w:rPr>
        <w:t>详见</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规定由乙方提供的其他服务。</w:t>
      </w:r>
    </w:p>
    <w:p w14:paraId="0CCEE37B">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14.</w:t>
      </w:r>
      <w:r>
        <w:rPr>
          <w:rStyle w:val="47"/>
          <w:rFonts w:hint="eastAsia" w:ascii="宋体" w:hAnsi="宋体" w:cs="Times New Roman"/>
          <w:color w:val="auto"/>
          <w:szCs w:val="21"/>
          <w:highlight w:val="none"/>
          <w:lang w:val="en-US" w:eastAsia="zh-CN"/>
        </w:rPr>
        <w:t>2</w:t>
      </w:r>
      <w:r>
        <w:rPr>
          <w:rStyle w:val="47"/>
          <w:rFonts w:hint="eastAsia" w:ascii="宋体" w:hAnsi="宋体" w:eastAsia="宋体" w:cs="Times New Roman"/>
          <w:color w:val="auto"/>
          <w:szCs w:val="21"/>
          <w:highlight w:val="none"/>
        </w:rPr>
        <w:t xml:space="preserve"> 乙方提供的服务的费用应包含在合同价款中，甲方不再另行支付。</w:t>
      </w:r>
    </w:p>
    <w:p w14:paraId="0EC3E44D">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15.违约责任</w:t>
      </w:r>
    </w:p>
    <w:p w14:paraId="27C68423">
      <w:pPr>
        <w:pStyle w:val="196"/>
        <w:adjustRightInd w:val="0"/>
        <w:snapToGrid w:val="0"/>
        <w:spacing w:before="50" w:line="360" w:lineRule="auto"/>
        <w:ind w:firstLine="420" w:firstLineChars="200"/>
        <w:jc w:val="left"/>
        <w:rPr>
          <w:rStyle w:val="47"/>
          <w:rFonts w:hint="eastAsia" w:ascii="宋体" w:hAnsi="宋体" w:eastAsia="宋体" w:cs="Times New Roman"/>
          <w:bCs/>
          <w:color w:val="auto"/>
          <w:szCs w:val="21"/>
          <w:highlight w:val="none"/>
        </w:rPr>
      </w:pPr>
      <w:r>
        <w:rPr>
          <w:rStyle w:val="47"/>
          <w:rFonts w:hint="eastAsia" w:ascii="宋体" w:hAnsi="宋体" w:eastAsia="宋体" w:cs="Times New Roman"/>
          <w:bCs/>
          <w:color w:val="auto"/>
          <w:szCs w:val="21"/>
          <w:highlight w:val="none"/>
        </w:rPr>
        <w:t>15.1质量瑕疵的补救措施和索赔</w:t>
      </w:r>
    </w:p>
    <w:p w14:paraId="07741F3C">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（1）如果乙方提供的产品不符合质量标准或存在产品质量缺陷，乙方应按照甲方同意的下列一种或几种方式结合起来解决索赔事宜：</w:t>
      </w:r>
    </w:p>
    <w:p w14:paraId="3FEDD431">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①乙方同意退货并将货款退还给甲方，由此发生的一切费用和损失由乙方承担。</w:t>
      </w:r>
    </w:p>
    <w:p w14:paraId="083461DF">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②根据货物的质量状况以及甲方所遭受的损失，经过甲乙双方商定降低货物的价格。</w:t>
      </w:r>
    </w:p>
    <w:p w14:paraId="339BC0E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7A93CFF">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bCs/>
          <w:color w:val="auto"/>
          <w:szCs w:val="21"/>
          <w:highlight w:val="none"/>
        </w:rPr>
      </w:pPr>
      <w:r>
        <w:rPr>
          <w:rStyle w:val="47"/>
          <w:rFonts w:hint="eastAsia" w:ascii="宋体" w:hAnsi="宋体" w:eastAsia="宋体" w:cs="Times New Roman"/>
          <w:bCs/>
          <w:color w:val="auto"/>
          <w:szCs w:val="21"/>
          <w:highlight w:val="none"/>
        </w:rPr>
        <w:t>15.2 迟延交货的违约责任</w:t>
      </w:r>
    </w:p>
    <w:p w14:paraId="1020DB8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E18387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（2）除本合同</w:t>
      </w:r>
      <w:r>
        <w:rPr>
          <w:rStyle w:val="47"/>
          <w:rFonts w:hint="eastAsia" w:ascii="宋体" w:hAnsi="宋体" w:eastAsia="宋体" w:cs="Times New Roman"/>
          <w:bCs/>
          <w:color w:val="auto"/>
          <w:szCs w:val="21"/>
          <w:highlight w:val="none"/>
        </w:rPr>
        <w:t>第20条</w:t>
      </w:r>
      <w:r>
        <w:rPr>
          <w:rStyle w:val="47"/>
          <w:rFonts w:hint="eastAsia" w:ascii="宋体" w:hAnsi="宋体" w:eastAsia="宋体" w:cs="Times New Roman"/>
          <w:color w:val="auto"/>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7239159">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30570A9">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16.合同的变更</w:t>
      </w:r>
    </w:p>
    <w:p w14:paraId="4C1F1725">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16.1 在合同履行过程中，甲、乙双方可就合同履行的时间、地点和方式等协商进行变更。协商一致后，双方应签订书面的补充协议。</w:t>
      </w:r>
    </w:p>
    <w:p w14:paraId="129F5053">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16.</w:t>
      </w:r>
      <w:r>
        <w:rPr>
          <w:rStyle w:val="47"/>
          <w:rFonts w:hint="eastAsia" w:ascii="宋体" w:hAnsi="宋体" w:cs="Times New Roman"/>
          <w:color w:val="auto"/>
          <w:szCs w:val="21"/>
          <w:highlight w:val="none"/>
          <w:lang w:val="en-US" w:eastAsia="zh-CN"/>
        </w:rPr>
        <w:t>2</w:t>
      </w:r>
      <w:r>
        <w:rPr>
          <w:rStyle w:val="47"/>
          <w:rFonts w:hint="eastAsia" w:ascii="宋体" w:hAnsi="宋体" w:eastAsia="宋体" w:cs="Times New Roman"/>
          <w:color w:val="auto"/>
          <w:szCs w:val="21"/>
          <w:highlight w:val="none"/>
        </w:rPr>
        <w:t xml:space="preserve"> 除双方签署书面协议，并成为合同不可分割的一部分外，本合同条件不得有任何变更。</w:t>
      </w:r>
    </w:p>
    <w:p w14:paraId="6B109291">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17.合同中止与终止</w:t>
      </w:r>
    </w:p>
    <w:p w14:paraId="4D14C5CF">
      <w:pPr>
        <w:pStyle w:val="196"/>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17.1合同的中止</w:t>
      </w:r>
    </w:p>
    <w:p w14:paraId="1F19C5A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（1）合同在履行过程中，因采购计划调整，甲方可以要求中止履行，待计划确定后继续履行；</w:t>
      </w:r>
    </w:p>
    <w:p w14:paraId="7E9C7617">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（2）合同履行过程中因供应商就采购过程或结果提起投诉的，甲方认为有必要或财政部门责令中止的，应当中止合同的履行。</w:t>
      </w:r>
    </w:p>
    <w:p w14:paraId="101E6044">
      <w:pPr>
        <w:pStyle w:val="196"/>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17.2合同的终止</w:t>
      </w:r>
    </w:p>
    <w:p w14:paraId="34181F13">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（1）合同因有效期限届满而终止；</w:t>
      </w:r>
    </w:p>
    <w:p w14:paraId="7EE04C69">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（2）乙方未能依照本合同约定条件履行合同，已构成根本性违约的，甲方有权终止本合同，并追究乙方的违约责任。</w:t>
      </w:r>
    </w:p>
    <w:p w14:paraId="3BECF14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（3）如果乙方丧失履约能力或被宣告破产，甲方可在任何时候以书面形式通知乙方终止合同而不给乙方补偿。</w:t>
      </w:r>
    </w:p>
    <w:p w14:paraId="0C1D6A1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（4）如果乙方在履行合同过程中有不正当竞争行为，甲方有权解除合同，并按《中华人民共和国反不正当竞争法》规定由有关部门追究其法律责任。</w:t>
      </w:r>
    </w:p>
    <w:p w14:paraId="29701D88">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（5）如果合同的履行将损害国家利益或社会公共利益，甲方有权终止合同的履行，给乙方造成损失的予以相应补偿。</w:t>
      </w:r>
    </w:p>
    <w:p w14:paraId="49EBBC95">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18.合同转让和分包</w:t>
      </w:r>
    </w:p>
    <w:p w14:paraId="24E8D44F">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18.1 乙方不得以任何形式将合同转包。</w:t>
      </w:r>
    </w:p>
    <w:p w14:paraId="578506E1">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18.2 乙方未在投标文件中说明，不得将</w:t>
      </w:r>
      <w:r>
        <w:rPr>
          <w:rStyle w:val="47"/>
          <w:rFonts w:hint="eastAsia" w:ascii="宋体" w:hAnsi="宋体" w:eastAsia="宋体" w:cs="Times New Roman"/>
          <w:bCs/>
          <w:color w:val="auto"/>
          <w:szCs w:val="21"/>
          <w:highlight w:val="none"/>
        </w:rPr>
        <w:t>合同</w:t>
      </w:r>
      <w:r>
        <w:rPr>
          <w:rStyle w:val="47"/>
          <w:rFonts w:hint="eastAsia" w:ascii="宋体" w:hAnsi="宋体" w:eastAsia="宋体" w:cs="Times New Roman"/>
          <w:color w:val="auto"/>
          <w:szCs w:val="21"/>
          <w:highlight w:val="none"/>
        </w:rPr>
        <w:t>的非主体、非关键性工作分包给他人。</w:t>
      </w:r>
    </w:p>
    <w:p w14:paraId="6B7DBA90">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19.不可抗力</w:t>
      </w:r>
    </w:p>
    <w:p w14:paraId="66A6BBE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19.1 不可抗力是指合同双方不可预见、不可避免、不可克服的自然灾害和社会事件。</w:t>
      </w:r>
    </w:p>
    <w:p w14:paraId="3FEA238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19.2 任何一方对由于不可抗力造成的部分或全部不能履行合同不承担违约责任。但迟延履行后发生不可抗力的，不能免除责任。</w:t>
      </w:r>
    </w:p>
    <w:p w14:paraId="21F5E06A">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19.3 遇有不可抗力的一方，应在三日内将事件的情况以书面形式通知另一方，并在事件发生后十日内，向另一方提交合同不能履行或部分不能履行或需要延期履行理由的报告。</w:t>
      </w:r>
    </w:p>
    <w:p w14:paraId="3E4F6E1C">
      <w:pPr>
        <w:pStyle w:val="196"/>
        <w:autoSpaceDE w:val="0"/>
        <w:autoSpaceDN w:val="0"/>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20.解决争议的方法</w:t>
      </w:r>
    </w:p>
    <w:p w14:paraId="4CE60E5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20.1 合同各方应通过友好协商，解决在执行合同过程中所发生的或与合同有关的一切争端。如从协商开始后十日内仍不能解决，可以向财政部门提请调解。</w:t>
      </w:r>
    </w:p>
    <w:p w14:paraId="5E49C0D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20.2 调解不成可以按</w:t>
      </w:r>
      <w:r>
        <w:rPr>
          <w:rStyle w:val="47"/>
          <w:rFonts w:hint="eastAsia" w:ascii="宋体" w:hAnsi="宋体" w:eastAsia="宋体" w:cs="Times New Roman"/>
          <w:b/>
          <w:color w:val="auto"/>
          <w:szCs w:val="21"/>
          <w:highlight w:val="none"/>
        </w:rPr>
        <w:t>【政府采购合同专用条款】</w:t>
      </w:r>
      <w:r>
        <w:rPr>
          <w:rStyle w:val="47"/>
          <w:rFonts w:hint="eastAsia" w:ascii="宋体" w:hAnsi="宋体" w:eastAsia="宋体" w:cs="Times New Roman"/>
          <w:color w:val="auto"/>
          <w:szCs w:val="21"/>
          <w:highlight w:val="none"/>
        </w:rPr>
        <w:t>中约定中规定下列方式之一提起仲裁或诉讼：</w:t>
      </w:r>
    </w:p>
    <w:p w14:paraId="3DE0FB3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（1）向甲方所在地仲裁机构提起仲裁；</w:t>
      </w:r>
    </w:p>
    <w:p w14:paraId="7A2E4211">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（2）向甲方所在地人民法院提起诉讼。</w:t>
      </w:r>
    </w:p>
    <w:p w14:paraId="162CAC75">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20.3 如仲裁或诉讼事项不影响合同其它部分的履行，则在仲裁或诉讼期间，除正在进行仲裁或诉讼的部分外，合同的其它部分应继续执行。</w:t>
      </w:r>
    </w:p>
    <w:p w14:paraId="72C69D02">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color w:val="auto"/>
          <w:sz w:val="24"/>
          <w:highlight w:val="none"/>
        </w:rPr>
        <w:t>21.法律适用</w:t>
      </w:r>
    </w:p>
    <w:p w14:paraId="70A1597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21.1 本合同适用中华人民共和国现行法律、行政法规和规章，如合同条款与法律、行政法规和规章不一致的，按照法律、行政法规和规章修改本合同。</w:t>
      </w:r>
    </w:p>
    <w:p w14:paraId="7E43A807">
      <w:pPr>
        <w:pStyle w:val="196"/>
        <w:autoSpaceDE w:val="0"/>
        <w:autoSpaceDN w:val="0"/>
        <w:adjustRightInd w:val="0"/>
        <w:snapToGrid w:val="0"/>
        <w:spacing w:before="50" w:line="360" w:lineRule="auto"/>
        <w:jc w:val="left"/>
        <w:rPr>
          <w:rStyle w:val="47"/>
          <w:rFonts w:hint="eastAsia" w:ascii="宋体" w:hAnsi="宋体" w:eastAsia="宋体" w:cs="Times New Roman"/>
          <w:b/>
          <w:color w:val="auto"/>
          <w:sz w:val="24"/>
          <w:highlight w:val="none"/>
        </w:rPr>
      </w:pPr>
      <w:r>
        <w:rPr>
          <w:rStyle w:val="47"/>
          <w:rFonts w:hint="eastAsia" w:ascii="宋体" w:hAnsi="宋体" w:eastAsia="宋体" w:cs="Times New Roman"/>
          <w:b/>
          <w:bCs/>
          <w:color w:val="auto"/>
          <w:sz w:val="24"/>
          <w:highlight w:val="none"/>
        </w:rPr>
        <w:t>22.</w:t>
      </w:r>
      <w:r>
        <w:rPr>
          <w:rStyle w:val="47"/>
          <w:rFonts w:hint="eastAsia" w:ascii="宋体" w:hAnsi="宋体" w:eastAsia="宋体" w:cs="Times New Roman"/>
          <w:b/>
          <w:color w:val="auto"/>
          <w:sz w:val="24"/>
          <w:highlight w:val="none"/>
        </w:rPr>
        <w:t>通知</w:t>
      </w:r>
    </w:p>
    <w:p w14:paraId="386B185E">
      <w:pPr>
        <w:pStyle w:val="196"/>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22.1本合同一方给另一方的通知均应采用书面形式，传真或快递送到本合同中规定的对方的地址和办理签收手续，</w:t>
      </w:r>
    </w:p>
    <w:p w14:paraId="091F473D">
      <w:pPr>
        <w:pStyle w:val="196"/>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22.2通知以送到之日或通知书中规定的生效之日起生效，两者中以较迟之日为准。</w:t>
      </w:r>
    </w:p>
    <w:p w14:paraId="7AAF9839">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23. 合同未尽事项</w:t>
      </w:r>
    </w:p>
    <w:p w14:paraId="65AAB947">
      <w:pPr>
        <w:pStyle w:val="196"/>
        <w:adjustRightInd w:val="0"/>
        <w:snapToGrid w:val="0"/>
        <w:spacing w:before="50" w:line="360" w:lineRule="auto"/>
        <w:ind w:firstLine="420" w:firstLineChars="200"/>
        <w:jc w:val="left"/>
        <w:rPr>
          <w:rStyle w:val="47"/>
          <w:rFonts w:hint="eastAsia" w:ascii="宋体" w:hAnsi="宋体" w:eastAsia="宋体" w:cs="Times New Roman"/>
          <w:bCs/>
          <w:color w:val="auto"/>
          <w:szCs w:val="21"/>
          <w:highlight w:val="none"/>
        </w:rPr>
      </w:pPr>
      <w:r>
        <w:rPr>
          <w:rStyle w:val="47"/>
          <w:rFonts w:hint="eastAsia" w:ascii="宋体" w:hAnsi="宋体" w:eastAsia="宋体" w:cs="Times New Roman"/>
          <w:bCs/>
          <w:color w:val="auto"/>
          <w:szCs w:val="21"/>
          <w:highlight w:val="none"/>
        </w:rPr>
        <w:t>23.1合同未尽事项见</w:t>
      </w:r>
      <w:r>
        <w:rPr>
          <w:rStyle w:val="47"/>
          <w:rFonts w:hint="eastAsia" w:ascii="宋体" w:hAnsi="宋体" w:eastAsia="宋体" w:cs="Times New Roman"/>
          <w:b/>
          <w:color w:val="auto"/>
          <w:szCs w:val="21"/>
          <w:highlight w:val="none"/>
        </w:rPr>
        <w:t>【政府采购合同专用条款】。</w:t>
      </w:r>
    </w:p>
    <w:p w14:paraId="23C88ED1">
      <w:pPr>
        <w:pStyle w:val="196"/>
        <w:adjustRightInd w:val="0"/>
        <w:snapToGrid w:val="0"/>
        <w:spacing w:before="50" w:line="360" w:lineRule="auto"/>
        <w:jc w:val="left"/>
        <w:rPr>
          <w:rStyle w:val="47"/>
          <w:rFonts w:hint="eastAsia" w:ascii="宋体" w:hAnsi="宋体" w:eastAsia="宋体" w:cs="Times New Roman"/>
          <w:b/>
          <w:bCs/>
          <w:color w:val="auto"/>
          <w:sz w:val="24"/>
          <w:highlight w:val="none"/>
        </w:rPr>
      </w:pPr>
      <w:r>
        <w:rPr>
          <w:rStyle w:val="47"/>
          <w:rFonts w:hint="eastAsia" w:ascii="宋体" w:hAnsi="宋体" w:eastAsia="宋体" w:cs="Times New Roman"/>
          <w:b/>
          <w:bCs/>
          <w:color w:val="auto"/>
          <w:sz w:val="24"/>
          <w:highlight w:val="none"/>
        </w:rPr>
        <w:t>24.合同生效</w:t>
      </w:r>
    </w:p>
    <w:p w14:paraId="59208F30">
      <w:pPr>
        <w:pStyle w:val="196"/>
        <w:autoSpaceDE w:val="0"/>
        <w:autoSpaceDN w:val="0"/>
        <w:adjustRightInd w:val="0"/>
        <w:snapToGrid w:val="0"/>
        <w:spacing w:before="50" w:line="360" w:lineRule="auto"/>
        <w:ind w:firstLine="420" w:firstLineChars="200"/>
        <w:jc w:val="left"/>
        <w:rPr>
          <w:rStyle w:val="47"/>
          <w:rFonts w:hint="eastAsia" w:ascii="黑体" w:hAnsi="黑体" w:eastAsia="黑体" w:cs="Times New Roman"/>
          <w:b/>
          <w:bCs/>
          <w:color w:val="auto"/>
          <w:sz w:val="32"/>
          <w:highlight w:val="none"/>
        </w:rPr>
      </w:pPr>
      <w:r>
        <w:rPr>
          <w:rStyle w:val="47"/>
          <w:rFonts w:hint="eastAsia" w:ascii="宋体" w:hAnsi="宋体" w:eastAsia="宋体" w:cs="Times New Roman"/>
          <w:color w:val="auto"/>
          <w:szCs w:val="21"/>
          <w:highlight w:val="none"/>
        </w:rPr>
        <w:t>24.1 本合同在合同双方签字盖章后生效。</w:t>
      </w:r>
      <w:r>
        <w:rPr>
          <w:rStyle w:val="47"/>
          <w:rFonts w:hint="eastAsia" w:ascii="黑体" w:hAnsi="黑体" w:eastAsia="黑体" w:cs="Times New Roman"/>
          <w:b/>
          <w:bCs/>
          <w:color w:val="auto"/>
          <w:sz w:val="32"/>
          <w:highlight w:val="none"/>
        </w:rPr>
        <w:br w:type="page"/>
      </w:r>
    </w:p>
    <w:p w14:paraId="354BBA66">
      <w:pPr>
        <w:pStyle w:val="136"/>
        <w:adjustRightInd w:val="0"/>
        <w:snapToGrid w:val="0"/>
        <w:jc w:val="center"/>
        <w:rPr>
          <w:rStyle w:val="47"/>
          <w:rFonts w:hint="eastAsia" w:ascii="黑体" w:hAnsi="华文中宋" w:eastAsia="黑体" w:cs="Times New Roman"/>
          <w:color w:val="auto"/>
          <w:sz w:val="28"/>
          <w:szCs w:val="28"/>
          <w:highlight w:val="none"/>
        </w:rPr>
      </w:pPr>
      <w:bookmarkStart w:id="32" w:name="_Toc256000042"/>
      <w:bookmarkStart w:id="33" w:name="_Toc29913947"/>
      <w:r>
        <w:rPr>
          <w:rStyle w:val="47"/>
          <w:rFonts w:hint="eastAsia" w:ascii="黑体" w:hAnsi="华文中宋" w:eastAsia="黑体" w:cs="Times New Roman"/>
          <w:color w:val="auto"/>
          <w:sz w:val="28"/>
          <w:szCs w:val="28"/>
          <w:highlight w:val="none"/>
        </w:rPr>
        <w:t>第三节 政府采购合同专用条款</w:t>
      </w:r>
      <w:bookmarkEnd w:id="32"/>
      <w:bookmarkEnd w:id="33"/>
    </w:p>
    <w:tbl>
      <w:tblPr>
        <w:tblStyle w:val="4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3"/>
        <w:gridCol w:w="1844"/>
        <w:gridCol w:w="5468"/>
      </w:tblGrid>
      <w:tr w14:paraId="095284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double" w:color="auto" w:sz="4" w:space="0"/>
              <w:left w:val="double" w:color="auto" w:sz="4" w:space="0"/>
              <w:bottom w:val="single" w:color="auto" w:sz="6" w:space="0"/>
              <w:right w:val="single" w:color="auto" w:sz="6" w:space="0"/>
            </w:tcBorders>
            <w:noWrap w:val="0"/>
            <w:vAlign w:val="center"/>
          </w:tcPr>
          <w:p w14:paraId="2A1B881D">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30CC55EC">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第1.1款</w:t>
            </w:r>
          </w:p>
        </w:tc>
        <w:tc>
          <w:tcPr>
            <w:tcW w:w="1844" w:type="dxa"/>
            <w:tcBorders>
              <w:top w:val="double" w:color="auto" w:sz="4" w:space="0"/>
              <w:left w:val="single" w:color="auto" w:sz="6" w:space="0"/>
              <w:bottom w:val="single" w:color="auto" w:sz="6" w:space="0"/>
              <w:right w:val="single" w:color="auto" w:sz="6" w:space="0"/>
            </w:tcBorders>
            <w:noWrap w:val="0"/>
            <w:vAlign w:val="center"/>
          </w:tcPr>
          <w:p w14:paraId="1E249537">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 xml:space="preserve">甲方名称、地址 </w:t>
            </w:r>
          </w:p>
        </w:tc>
        <w:tc>
          <w:tcPr>
            <w:tcW w:w="5468" w:type="dxa"/>
            <w:tcBorders>
              <w:top w:val="double" w:color="auto" w:sz="4" w:space="0"/>
              <w:left w:val="single" w:color="auto" w:sz="6" w:space="0"/>
              <w:bottom w:val="single" w:color="auto" w:sz="6" w:space="0"/>
              <w:right w:val="double" w:color="auto" w:sz="4" w:space="0"/>
            </w:tcBorders>
            <w:noWrap w:val="0"/>
            <w:vAlign w:val="center"/>
          </w:tcPr>
          <w:p w14:paraId="7B78A518">
            <w:pPr>
              <w:pStyle w:val="203"/>
              <w:adjustRightInd w:val="0"/>
              <w:snapToGrid w:val="0"/>
              <w:spacing w:line="360" w:lineRule="auto"/>
              <w:jc w:val="left"/>
              <w:rPr>
                <w:rStyle w:val="47"/>
                <w:rFonts w:ascii="宋体" w:hAnsi="宋体" w:eastAsia="宋体" w:cs="Times New Roman"/>
                <w:color w:val="auto"/>
                <w:szCs w:val="21"/>
                <w:highlight w:val="none"/>
                <w:u w:val="single"/>
              </w:rPr>
            </w:pPr>
            <w:r>
              <w:rPr>
                <w:rStyle w:val="47"/>
                <w:rFonts w:hint="eastAsia" w:ascii="宋体" w:hAnsi="宋体" w:eastAsia="宋体" w:cs="Times New Roman"/>
                <w:color w:val="auto"/>
                <w:szCs w:val="21"/>
                <w:highlight w:val="none"/>
              </w:rPr>
              <w:t>名称：</w:t>
            </w:r>
            <w:r>
              <w:rPr>
                <w:rStyle w:val="47"/>
                <w:rFonts w:hint="eastAsia" w:ascii="宋体" w:hAnsi="宋体" w:eastAsia="宋体" w:cs="Times New Roman"/>
                <w:color w:val="auto"/>
                <w:szCs w:val="21"/>
                <w:highlight w:val="none"/>
                <w:u w:val="single"/>
              </w:rPr>
              <w:t xml:space="preserve">        </w:t>
            </w:r>
            <w:r>
              <w:rPr>
                <w:rStyle w:val="47"/>
                <w:rFonts w:hint="eastAsia" w:ascii="宋体" w:hAnsi="宋体" w:cs="Times New Roman"/>
                <w:color w:val="auto"/>
                <w:szCs w:val="21"/>
                <w:highlight w:val="none"/>
                <w:u w:val="single"/>
                <w:lang w:val="en-US" w:eastAsia="zh-CN"/>
              </w:rPr>
              <w:t xml:space="preserve"> </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u w:val="single"/>
                <w:lang w:val="en-US" w:eastAsia="zh-CN"/>
              </w:rPr>
              <w:t xml:space="preserve">  </w:t>
            </w:r>
            <w:r>
              <w:rPr>
                <w:rStyle w:val="47"/>
                <w:rFonts w:hint="eastAsia" w:ascii="宋体" w:hAnsi="宋体" w:eastAsia="宋体" w:cs="Times New Roman"/>
                <w:color w:val="auto"/>
                <w:szCs w:val="21"/>
                <w:highlight w:val="none"/>
                <w:u w:val="single"/>
              </w:rPr>
              <w:t xml:space="preserve">     </w:t>
            </w:r>
          </w:p>
          <w:p w14:paraId="2AE59FE5">
            <w:pPr>
              <w:pStyle w:val="203"/>
              <w:adjustRightInd w:val="0"/>
              <w:snapToGrid w:val="0"/>
              <w:spacing w:line="360" w:lineRule="auto"/>
              <w:jc w:val="left"/>
              <w:rPr>
                <w:rStyle w:val="47"/>
                <w:rFonts w:ascii="宋体" w:hAnsi="宋体"/>
                <w:color w:val="auto"/>
                <w:szCs w:val="21"/>
                <w:highlight w:val="none"/>
              </w:rPr>
            </w:pPr>
            <w:r>
              <w:rPr>
                <w:rStyle w:val="47"/>
                <w:rFonts w:hint="eastAsia" w:ascii="宋体" w:hAnsi="宋体" w:eastAsia="宋体" w:cs="Times New Roman"/>
                <w:color w:val="auto"/>
                <w:szCs w:val="21"/>
                <w:highlight w:val="none"/>
              </w:rPr>
              <w:t>地址：</w:t>
            </w:r>
            <w:r>
              <w:rPr>
                <w:rStyle w:val="47"/>
                <w:rFonts w:hint="eastAsia" w:ascii="宋体" w:hAnsi="宋体" w:eastAsia="宋体" w:cs="Times New Roman"/>
                <w:color w:val="auto"/>
                <w:szCs w:val="21"/>
                <w:highlight w:val="none"/>
                <w:u w:val="single"/>
              </w:rPr>
              <w:t xml:space="preserve">    </w:t>
            </w:r>
            <w:r>
              <w:rPr>
                <w:rStyle w:val="47"/>
                <w:rFonts w:hint="eastAsia" w:ascii="宋体" w:hAnsi="宋体" w:cs="Times New Roman"/>
                <w:color w:val="auto"/>
                <w:szCs w:val="21"/>
                <w:highlight w:val="none"/>
                <w:u w:val="single"/>
                <w:lang w:val="en-US" w:eastAsia="zh-CN"/>
              </w:rPr>
              <w:t xml:space="preserve"> </w:t>
            </w:r>
            <w:r>
              <w:rPr>
                <w:rStyle w:val="47"/>
                <w:rFonts w:hint="eastAsia" w:ascii="宋体" w:hAnsi="宋体" w:eastAsia="宋体" w:cs="Times New Roman"/>
                <w:color w:val="auto"/>
                <w:szCs w:val="21"/>
                <w:highlight w:val="none"/>
                <w:u w:val="single"/>
              </w:rPr>
              <w:t xml:space="preserve"> </w:t>
            </w:r>
            <w:r>
              <w:rPr>
                <w:rStyle w:val="47"/>
                <w:rFonts w:hint="eastAsia" w:ascii="宋体" w:hAnsi="宋体" w:eastAsia="宋体" w:cs="Times New Roman"/>
                <w:color w:val="auto"/>
                <w:szCs w:val="21"/>
                <w:highlight w:val="none"/>
                <w:u w:val="single"/>
                <w:lang w:val="en-US" w:eastAsia="zh-CN"/>
              </w:rPr>
              <w:t xml:space="preserve">  </w:t>
            </w:r>
            <w:r>
              <w:rPr>
                <w:rStyle w:val="47"/>
                <w:rFonts w:hint="eastAsia" w:ascii="宋体" w:hAnsi="宋体" w:eastAsia="宋体" w:cs="Times New Roman"/>
                <w:color w:val="auto"/>
                <w:szCs w:val="21"/>
                <w:highlight w:val="none"/>
                <w:u w:val="single"/>
              </w:rPr>
              <w:t xml:space="preserve"> </w:t>
            </w:r>
          </w:p>
        </w:tc>
      </w:tr>
      <w:tr w14:paraId="015EAC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204D306C">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30239F67">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第1.2（6）项</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7000F230">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项目现场</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08DC03C8">
            <w:pPr>
              <w:pStyle w:val="204"/>
              <w:adjustRightInd w:val="0"/>
              <w:snapToGrid w:val="0"/>
              <w:spacing w:line="360" w:lineRule="auto"/>
              <w:jc w:val="left"/>
              <w:rPr>
                <w:rStyle w:val="47"/>
                <w:rFonts w:ascii="宋体" w:hAnsi="宋体"/>
                <w:color w:val="auto"/>
                <w:szCs w:val="21"/>
                <w:highlight w:val="none"/>
                <w:u w:val="single"/>
              </w:rPr>
            </w:pPr>
            <w:r>
              <w:rPr>
                <w:rStyle w:val="47"/>
                <w:rFonts w:hint="eastAsia"/>
                <w:color w:val="auto"/>
                <w:highlight w:val="none"/>
                <w:lang w:val="en-US" w:eastAsia="zh-CN"/>
              </w:rPr>
              <w:t xml:space="preserve"> </w:t>
            </w:r>
          </w:p>
        </w:tc>
      </w:tr>
      <w:tr w14:paraId="4786F4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2EBC77B3">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2A1F0562">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第5.1款</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72A27740">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履行合同的时间、地点及方式</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28B4DC33">
            <w:pPr>
              <w:pStyle w:val="204"/>
              <w:adjustRightInd w:val="0"/>
              <w:snapToGrid w:val="0"/>
              <w:spacing w:line="360" w:lineRule="auto"/>
              <w:jc w:val="left"/>
              <w:rPr>
                <w:rStyle w:val="47"/>
                <w:rFonts w:ascii="宋体" w:hAnsi="宋体"/>
                <w:color w:val="auto"/>
                <w:szCs w:val="21"/>
                <w:highlight w:val="none"/>
              </w:rPr>
            </w:pPr>
            <w:r>
              <w:rPr>
                <w:rStyle w:val="47"/>
                <w:rFonts w:hint="eastAsia"/>
                <w:color w:val="auto"/>
                <w:highlight w:val="none"/>
                <w:lang w:val="en-US" w:eastAsia="zh-CN"/>
              </w:rPr>
              <w:t xml:space="preserve"> </w:t>
            </w:r>
          </w:p>
        </w:tc>
      </w:tr>
      <w:tr w14:paraId="423878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774DEBA0">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322873BA">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第9.2（1）项</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1CCF8D43">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质量保证期</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7F437583">
            <w:pPr>
              <w:pStyle w:val="204"/>
              <w:adjustRightInd w:val="0"/>
              <w:snapToGrid w:val="0"/>
              <w:spacing w:line="360" w:lineRule="auto"/>
              <w:jc w:val="left"/>
              <w:rPr>
                <w:rStyle w:val="47"/>
                <w:rFonts w:ascii="宋体" w:hAnsi="宋体"/>
                <w:color w:val="auto"/>
                <w:szCs w:val="21"/>
                <w:highlight w:val="none"/>
                <w:u w:val="single"/>
              </w:rPr>
            </w:pPr>
            <w:r>
              <w:rPr>
                <w:rStyle w:val="47"/>
                <w:rFonts w:hint="eastAsia"/>
                <w:color w:val="auto"/>
                <w:highlight w:val="none"/>
                <w:lang w:val="en-US" w:eastAsia="zh-CN"/>
              </w:rPr>
              <w:t xml:space="preserve"> </w:t>
            </w:r>
          </w:p>
        </w:tc>
      </w:tr>
      <w:tr w14:paraId="4D748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17B2FC44">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5FA5EEBC">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第9.2（3）项</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17196E22">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响应时间</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0CA371CC">
            <w:pPr>
              <w:pStyle w:val="204"/>
              <w:adjustRightInd w:val="0"/>
              <w:snapToGrid w:val="0"/>
              <w:spacing w:line="360" w:lineRule="auto"/>
              <w:jc w:val="left"/>
              <w:rPr>
                <w:rStyle w:val="47"/>
                <w:rFonts w:ascii="宋体" w:hAnsi="宋体"/>
                <w:color w:val="auto"/>
                <w:szCs w:val="21"/>
                <w:highlight w:val="none"/>
                <w:u w:val="single"/>
              </w:rPr>
            </w:pPr>
            <w:r>
              <w:rPr>
                <w:rStyle w:val="47"/>
                <w:rFonts w:hint="eastAsia"/>
                <w:color w:val="auto"/>
                <w:highlight w:val="none"/>
                <w:lang w:val="en-US" w:eastAsia="zh-CN"/>
              </w:rPr>
              <w:t xml:space="preserve"> </w:t>
            </w:r>
          </w:p>
        </w:tc>
      </w:tr>
      <w:tr w14:paraId="72B433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514657D3">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12D67BA7">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第13.5款</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7D6F956A">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合同价款支付方式</w:t>
            </w:r>
            <w:r>
              <w:rPr>
                <w:rStyle w:val="47"/>
                <w:rFonts w:hint="eastAsia" w:ascii="宋体" w:hAnsi="宋体" w:eastAsia="宋体" w:cs="Times New Roman"/>
                <w:bCs/>
                <w:color w:val="auto"/>
                <w:szCs w:val="21"/>
                <w:highlight w:val="none"/>
              </w:rPr>
              <w:t>和条件</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4AE56CBC">
            <w:pPr>
              <w:pStyle w:val="204"/>
              <w:adjustRightInd w:val="0"/>
              <w:snapToGrid w:val="0"/>
              <w:spacing w:line="360" w:lineRule="auto"/>
              <w:jc w:val="left"/>
              <w:rPr>
                <w:rStyle w:val="47"/>
                <w:rFonts w:hint="eastAsia" w:ascii="宋体" w:hAnsi="宋体" w:eastAsia="宋体"/>
                <w:color w:val="auto"/>
                <w:szCs w:val="21"/>
                <w:highlight w:val="none"/>
                <w:lang w:eastAsia="zh-CN"/>
              </w:rPr>
            </w:pPr>
            <w:r>
              <w:rPr>
                <w:rStyle w:val="47"/>
                <w:rFonts w:hint="eastAsia"/>
                <w:color w:val="auto"/>
                <w:highlight w:val="none"/>
                <w:lang w:val="en-US" w:eastAsia="zh-CN"/>
              </w:rPr>
              <w:t xml:space="preserve"> </w:t>
            </w:r>
          </w:p>
        </w:tc>
      </w:tr>
      <w:tr w14:paraId="4DFA49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37D51003">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032CD6E7">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第14.2（6）项</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52C9CAA5">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乙方提供的其他服务</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38D0BD30">
            <w:pPr>
              <w:pStyle w:val="204"/>
              <w:adjustRightInd w:val="0"/>
              <w:snapToGrid w:val="0"/>
              <w:spacing w:line="360" w:lineRule="auto"/>
              <w:jc w:val="left"/>
              <w:rPr>
                <w:rStyle w:val="47"/>
                <w:rFonts w:hint="eastAsia" w:ascii="宋体" w:hAnsi="宋体" w:eastAsia="宋体"/>
                <w:color w:val="auto"/>
                <w:szCs w:val="21"/>
                <w:highlight w:val="none"/>
                <w:lang w:eastAsia="zh-CN"/>
              </w:rPr>
            </w:pPr>
            <w:r>
              <w:rPr>
                <w:rStyle w:val="47"/>
                <w:rFonts w:hint="eastAsia"/>
                <w:color w:val="auto"/>
                <w:highlight w:val="none"/>
                <w:lang w:val="en-US" w:eastAsia="zh-CN"/>
              </w:rPr>
              <w:t xml:space="preserve"> </w:t>
            </w:r>
          </w:p>
        </w:tc>
      </w:tr>
      <w:tr w14:paraId="36A9C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single" w:color="auto" w:sz="6" w:space="0"/>
              <w:right w:val="single" w:color="auto" w:sz="6" w:space="0"/>
            </w:tcBorders>
            <w:noWrap w:val="0"/>
            <w:vAlign w:val="center"/>
          </w:tcPr>
          <w:p w14:paraId="0FB43F68">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6971E3E8">
            <w:pPr>
              <w:pStyle w:val="202"/>
              <w:adjustRightInd w:val="0"/>
              <w:snapToGrid w:val="0"/>
              <w:spacing w:line="360" w:lineRule="auto"/>
              <w:jc w:val="center"/>
              <w:rPr>
                <w:rStyle w:val="47"/>
                <w:rFonts w:ascii="宋体" w:hAnsi="宋体" w:eastAsia="宋体" w:cs="Times New Roman"/>
                <w:bCs/>
                <w:color w:val="auto"/>
                <w:szCs w:val="21"/>
                <w:highlight w:val="none"/>
              </w:rPr>
            </w:pPr>
            <w:r>
              <w:rPr>
                <w:rStyle w:val="47"/>
                <w:rFonts w:hint="eastAsia" w:ascii="宋体" w:hAnsi="宋体" w:eastAsia="宋体" w:cs="Times New Roman"/>
                <w:color w:val="auto"/>
                <w:szCs w:val="21"/>
                <w:highlight w:val="none"/>
              </w:rPr>
              <w:t>第20.2款</w:t>
            </w:r>
          </w:p>
        </w:tc>
        <w:tc>
          <w:tcPr>
            <w:tcW w:w="1844" w:type="dxa"/>
            <w:tcBorders>
              <w:top w:val="single" w:color="auto" w:sz="6" w:space="0"/>
              <w:left w:val="single" w:color="auto" w:sz="6" w:space="0"/>
              <w:bottom w:val="single" w:color="auto" w:sz="6" w:space="0"/>
              <w:right w:val="single" w:color="auto" w:sz="6" w:space="0"/>
            </w:tcBorders>
            <w:noWrap w:val="0"/>
            <w:vAlign w:val="center"/>
          </w:tcPr>
          <w:p w14:paraId="2C0782AC">
            <w:pPr>
              <w:pStyle w:val="202"/>
              <w:adjustRightInd w:val="0"/>
              <w:snapToGrid w:val="0"/>
              <w:spacing w:line="360" w:lineRule="auto"/>
              <w:jc w:val="left"/>
              <w:rPr>
                <w:rStyle w:val="47"/>
                <w:rFonts w:ascii="宋体" w:hAnsi="宋体" w:eastAsia="宋体" w:cs="Times New Roman"/>
                <w:bCs/>
                <w:color w:val="auto"/>
                <w:szCs w:val="21"/>
                <w:highlight w:val="none"/>
              </w:rPr>
            </w:pPr>
            <w:r>
              <w:rPr>
                <w:rStyle w:val="47"/>
                <w:rFonts w:hint="eastAsia" w:ascii="宋体" w:hAnsi="宋体" w:eastAsia="宋体" w:cs="Times New Roman"/>
                <w:color w:val="auto"/>
                <w:szCs w:val="21"/>
                <w:highlight w:val="none"/>
              </w:rPr>
              <w:t>解决争议的方式</w:t>
            </w:r>
          </w:p>
        </w:tc>
        <w:tc>
          <w:tcPr>
            <w:tcW w:w="5468" w:type="dxa"/>
            <w:tcBorders>
              <w:top w:val="single" w:color="auto" w:sz="6" w:space="0"/>
              <w:left w:val="single" w:color="auto" w:sz="6" w:space="0"/>
              <w:bottom w:val="single" w:color="auto" w:sz="6" w:space="0"/>
              <w:right w:val="double" w:color="auto" w:sz="4" w:space="0"/>
            </w:tcBorders>
            <w:noWrap w:val="0"/>
            <w:vAlign w:val="center"/>
          </w:tcPr>
          <w:p w14:paraId="5498A09F">
            <w:pPr>
              <w:pStyle w:val="203"/>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cs="Times New Roman"/>
                <w:color w:val="auto"/>
                <w:szCs w:val="21"/>
                <w:highlight w:val="none"/>
                <w:lang w:eastAsia="zh-CN"/>
              </w:rPr>
              <w:t>□</w:t>
            </w:r>
            <w:r>
              <w:rPr>
                <w:rStyle w:val="47"/>
                <w:rFonts w:hint="eastAsia" w:ascii="宋体" w:hAnsi="宋体" w:eastAsia="宋体" w:cs="Times New Roman"/>
                <w:color w:val="auto"/>
                <w:szCs w:val="21"/>
                <w:highlight w:val="none"/>
              </w:rPr>
              <w:t xml:space="preserve"> 诉讼</w:t>
            </w:r>
          </w:p>
          <w:p w14:paraId="16135E01">
            <w:pPr>
              <w:pStyle w:val="203"/>
              <w:adjustRightInd w:val="0"/>
              <w:snapToGrid w:val="0"/>
              <w:spacing w:line="360" w:lineRule="auto"/>
              <w:jc w:val="left"/>
              <w:rPr>
                <w:rStyle w:val="47"/>
                <w:rFonts w:ascii="宋体" w:hAnsi="宋体"/>
                <w:color w:val="auto"/>
                <w:szCs w:val="21"/>
                <w:highlight w:val="none"/>
              </w:rPr>
            </w:pPr>
            <w:r>
              <w:rPr>
                <w:rStyle w:val="47"/>
                <w:rFonts w:hint="eastAsia" w:ascii="宋体" w:hAnsi="宋体" w:eastAsia="宋体" w:cs="Times New Roman"/>
                <w:color w:val="auto"/>
                <w:szCs w:val="21"/>
                <w:highlight w:val="none"/>
              </w:rPr>
              <w:t>□ 仲裁</w:t>
            </w:r>
          </w:p>
        </w:tc>
      </w:tr>
      <w:tr w14:paraId="551335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3" w:type="dxa"/>
            <w:tcBorders>
              <w:top w:val="single" w:color="auto" w:sz="6" w:space="0"/>
              <w:left w:val="double" w:color="auto" w:sz="4" w:space="0"/>
              <w:bottom w:val="double" w:color="auto" w:sz="4" w:space="0"/>
              <w:right w:val="single" w:color="auto" w:sz="6" w:space="0"/>
            </w:tcBorders>
            <w:noWrap w:val="0"/>
            <w:vAlign w:val="center"/>
          </w:tcPr>
          <w:p w14:paraId="6ECA2ED0">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本章第二节</w:t>
            </w:r>
          </w:p>
          <w:p w14:paraId="2449AEFE">
            <w:pPr>
              <w:pStyle w:val="202"/>
              <w:adjustRightInd w:val="0"/>
              <w:snapToGrid w:val="0"/>
              <w:spacing w:line="360" w:lineRule="auto"/>
              <w:jc w:val="center"/>
              <w:rPr>
                <w:rStyle w:val="47"/>
                <w:rFonts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第23.1款</w:t>
            </w:r>
          </w:p>
        </w:tc>
        <w:tc>
          <w:tcPr>
            <w:tcW w:w="1844" w:type="dxa"/>
            <w:tcBorders>
              <w:top w:val="single" w:color="auto" w:sz="6" w:space="0"/>
              <w:left w:val="single" w:color="auto" w:sz="6" w:space="0"/>
              <w:bottom w:val="double" w:color="auto" w:sz="4" w:space="0"/>
              <w:right w:val="single" w:color="auto" w:sz="6" w:space="0"/>
            </w:tcBorders>
            <w:noWrap w:val="0"/>
            <w:vAlign w:val="center"/>
          </w:tcPr>
          <w:p w14:paraId="6A92E46D">
            <w:pPr>
              <w:pStyle w:val="202"/>
              <w:adjustRightInd w:val="0"/>
              <w:snapToGrid w:val="0"/>
              <w:spacing w:line="360" w:lineRule="auto"/>
              <w:jc w:val="left"/>
              <w:rPr>
                <w:rStyle w:val="47"/>
                <w:rFonts w:ascii="宋体" w:hAnsi="宋体" w:eastAsia="宋体" w:cs="Times New Roman"/>
                <w:color w:val="auto"/>
                <w:szCs w:val="21"/>
                <w:highlight w:val="none"/>
              </w:rPr>
            </w:pPr>
            <w:r>
              <w:rPr>
                <w:rStyle w:val="47"/>
                <w:rFonts w:hint="eastAsia" w:ascii="宋体" w:hAnsi="宋体" w:eastAsia="宋体" w:cs="Times New Roman"/>
                <w:bCs/>
                <w:color w:val="auto"/>
                <w:szCs w:val="21"/>
                <w:highlight w:val="none"/>
              </w:rPr>
              <w:t>合同未尽事项</w:t>
            </w:r>
          </w:p>
        </w:tc>
        <w:tc>
          <w:tcPr>
            <w:tcW w:w="5468" w:type="dxa"/>
            <w:tcBorders>
              <w:top w:val="single" w:color="auto" w:sz="6" w:space="0"/>
              <w:left w:val="single" w:color="auto" w:sz="6" w:space="0"/>
              <w:bottom w:val="double" w:color="auto" w:sz="4" w:space="0"/>
              <w:right w:val="double" w:color="auto" w:sz="4" w:space="0"/>
            </w:tcBorders>
            <w:noWrap w:val="0"/>
            <w:vAlign w:val="center"/>
          </w:tcPr>
          <w:p w14:paraId="75D4834A">
            <w:pPr>
              <w:pStyle w:val="203"/>
              <w:adjustRightInd w:val="0"/>
              <w:snapToGrid w:val="0"/>
              <w:spacing w:line="360" w:lineRule="auto"/>
              <w:jc w:val="left"/>
              <w:rPr>
                <w:rStyle w:val="47"/>
                <w:rFonts w:ascii="宋体" w:hAnsi="宋体"/>
                <w:color w:val="auto"/>
                <w:szCs w:val="21"/>
                <w:highlight w:val="none"/>
                <w:u w:val="single"/>
              </w:rPr>
            </w:pPr>
          </w:p>
        </w:tc>
      </w:tr>
    </w:tbl>
    <w:p w14:paraId="3FDE5F2C">
      <w:pPr>
        <w:rPr>
          <w:color w:val="auto"/>
          <w:highlight w:val="none"/>
        </w:rPr>
      </w:pPr>
    </w:p>
    <w:p w14:paraId="519E20BE">
      <w:pPr>
        <w:rPr>
          <w:rFonts w:hint="eastAsia" w:ascii="宋体" w:hAnsi="宋体" w:eastAsia="宋体" w:cs="宋体"/>
          <w:color w:val="auto"/>
          <w:sz w:val="32"/>
          <w:szCs w:val="32"/>
          <w:highlight w:val="none"/>
        </w:rPr>
      </w:pPr>
    </w:p>
    <w:p w14:paraId="3B9F7F2F">
      <w:pPr>
        <w:rPr>
          <w:rFonts w:hint="eastAsia" w:ascii="宋体" w:hAnsi="宋体" w:eastAsia="宋体" w:cs="宋体"/>
          <w:color w:val="auto"/>
          <w:sz w:val="32"/>
          <w:szCs w:val="32"/>
          <w:highlight w:val="none"/>
        </w:rPr>
      </w:pPr>
    </w:p>
    <w:p w14:paraId="06C16593">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r>
        <w:rPr>
          <w:rStyle w:val="47"/>
          <w:rFonts w:hint="eastAsia" w:ascii="黑体" w:hAnsi="华文中宋" w:eastAsia="黑体" w:cs="Times New Roman"/>
          <w:b/>
          <w:bCs/>
          <w:color w:val="auto"/>
          <w:kern w:val="0"/>
          <w:sz w:val="28"/>
          <w:szCs w:val="28"/>
          <w:highlight w:val="none"/>
          <w:lang w:val="en-US" w:eastAsia="zh-CN" w:bidi="ar-SA"/>
        </w:rPr>
        <w:t>廉政协议书</w:t>
      </w:r>
    </w:p>
    <w:p w14:paraId="16CA017A">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甲方：中国医学科学院皮肤病医院（中国医学科学院皮肤病研究所）</w:t>
      </w:r>
    </w:p>
    <w:p w14:paraId="2FE4AA0D">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乙方：</w:t>
      </w:r>
    </w:p>
    <w:p w14:paraId="2A177CF2">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为贯彻落实中央和地方关于治理商业贿赂文件精神，促进院所党风廉政建设深入开展，进一步规范医院的购销行为，严格执行国家和地方卫生行政主管部门关于集中采购和政府采购的相关规定，防止违反《八项规定》精神和《九项准则》等事件，以及购销领域中不正之风的发生，营造公平交易、诚实守信的环境，维护正常的医疗和经营秩序。甲、乙双方特签订廉洁购销协议书。内容如下：</w:t>
      </w:r>
    </w:p>
    <w:p w14:paraId="3D3AC5EB">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一、甲方不得以任何方式向乙方索取回扣，不得要求乙方代支任何费用。</w:t>
      </w:r>
    </w:p>
    <w:p w14:paraId="00A2DF4B">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二、甲方和工作人员以暗示或其他形式索要回扣、提成、有价证券、现金、信用卡、购物卡等，乙方应予拒绝，并如实向甲方纪检监察部门反映情况。</w:t>
      </w:r>
    </w:p>
    <w:p w14:paraId="4C38E015">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三、乙方不得暗中给予甲方和工作人员回扣，不得以提成和赠送有价证券、现金、信用卡、购物卡、宴请、娱乐等手段影响甲方和工作人员对信息系统、网络信息设备、信息服务等的选择权。乙方提供甲方国内或境外学术活动必须按照相关规定办理手续。</w:t>
      </w:r>
    </w:p>
    <w:p w14:paraId="7456EFAE">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四、乙方为拓展业务进行的商务洽谈，必须在工作时间到甲方指定科室或办公室联系商谈，并严格按照医院《医药代表备案管理制度》执行。乙方为履行合同义务进行的项目对接，可正常现场实施。</w:t>
      </w:r>
    </w:p>
    <w:p w14:paraId="3571CD81">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五、乙方如违反以上条款，经核实后，情节轻微，甲方给予乙方警告或暂停采购，并在单位内通报；拒不整改或情节严重的，甲方有权将乙方列入“非诚信交易黑名单”，终止供销合同；涉嫌违法的，由执法部门提起诉讼。</w:t>
      </w:r>
    </w:p>
    <w:p w14:paraId="02EFDAC0">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六、甲方和工作人员如违反以上条款的，将按国家法律、法规和相关制度给予处理，涉嫌违法的，交由执法部门处理。</w:t>
      </w:r>
    </w:p>
    <w:p w14:paraId="65EC2C46">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七、本协议书作为购销合同的附件，与购销合同一并执行，具有同等的法律效力。</w:t>
      </w:r>
    </w:p>
    <w:p w14:paraId="5B465E19">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八、本协议书一式两份，甲、乙双方各执一份，并从签订之日起生效。</w:t>
      </w:r>
    </w:p>
    <w:p w14:paraId="664473F3">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甲方：（盖章）</w:t>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 xml:space="preserve">  乙方：（盖章）</w:t>
      </w:r>
    </w:p>
    <w:p w14:paraId="677E3184">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法人代表（或授权人）签名：</w:t>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法人代表（或授权人）签名：</w:t>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ab/>
      </w:r>
    </w:p>
    <w:p w14:paraId="546754C8">
      <w:pPr>
        <w:pStyle w:val="196"/>
        <w:autoSpaceDE w:val="0"/>
        <w:autoSpaceDN w:val="0"/>
        <w:adjustRightInd w:val="0"/>
        <w:snapToGrid w:val="0"/>
        <w:spacing w:before="50" w:line="360" w:lineRule="auto"/>
        <w:ind w:firstLine="420" w:firstLineChars="200"/>
        <w:jc w:val="left"/>
        <w:rPr>
          <w:rStyle w:val="47"/>
          <w:rFonts w:hint="eastAsia" w:ascii="宋体" w:hAnsi="宋体" w:eastAsia="宋体" w:cs="Times New Roman"/>
          <w:color w:val="auto"/>
          <w:szCs w:val="21"/>
          <w:highlight w:val="none"/>
        </w:rPr>
      </w:pPr>
      <w:r>
        <w:rPr>
          <w:rStyle w:val="47"/>
          <w:rFonts w:hint="eastAsia" w:ascii="宋体" w:hAnsi="宋体" w:eastAsia="宋体" w:cs="Times New Roman"/>
          <w:color w:val="auto"/>
          <w:szCs w:val="21"/>
          <w:highlight w:val="none"/>
        </w:rPr>
        <w:t>年    月    日</w:t>
      </w:r>
      <w:r>
        <w:rPr>
          <w:rStyle w:val="47"/>
          <w:rFonts w:hint="eastAsia" w:ascii="宋体" w:hAnsi="宋体" w:eastAsia="宋体" w:cs="Times New Roman"/>
          <w:color w:val="auto"/>
          <w:szCs w:val="21"/>
          <w:highlight w:val="none"/>
        </w:rPr>
        <w:tab/>
      </w:r>
      <w:r>
        <w:rPr>
          <w:rStyle w:val="47"/>
          <w:rFonts w:hint="eastAsia" w:ascii="宋体" w:hAnsi="宋体" w:eastAsia="宋体" w:cs="Times New Roman"/>
          <w:color w:val="auto"/>
          <w:szCs w:val="21"/>
          <w:highlight w:val="none"/>
        </w:rPr>
        <w:t xml:space="preserve">                      </w:t>
      </w:r>
      <w:r>
        <w:rPr>
          <w:rStyle w:val="47"/>
          <w:rFonts w:hint="eastAsia" w:ascii="宋体" w:hAnsi="宋体" w:cs="Times New Roman"/>
          <w:color w:val="auto"/>
          <w:szCs w:val="21"/>
          <w:highlight w:val="none"/>
          <w:lang w:val="en-US" w:eastAsia="zh-CN"/>
        </w:rPr>
        <w:t xml:space="preserve">    </w:t>
      </w:r>
      <w:r>
        <w:rPr>
          <w:rStyle w:val="47"/>
          <w:rFonts w:hint="eastAsia" w:ascii="宋体" w:hAnsi="宋体" w:eastAsia="宋体" w:cs="Times New Roman"/>
          <w:color w:val="auto"/>
          <w:szCs w:val="21"/>
          <w:highlight w:val="none"/>
        </w:rPr>
        <w:t>年    月    日</w:t>
      </w:r>
    </w:p>
    <w:p w14:paraId="573CEC71">
      <w:pPr>
        <w:rPr>
          <w:rFonts w:hint="eastAsia" w:ascii="宋体" w:hAnsi="宋体" w:eastAsia="宋体" w:cs="宋体"/>
          <w:color w:val="auto"/>
          <w:sz w:val="32"/>
          <w:szCs w:val="32"/>
          <w:highlight w:val="none"/>
        </w:rPr>
      </w:pPr>
    </w:p>
    <w:p w14:paraId="4D903A55">
      <w:pPr>
        <w:pStyle w:val="2"/>
        <w:rPr>
          <w:rFonts w:hint="eastAsia"/>
          <w:color w:val="auto"/>
          <w:highlight w:val="none"/>
        </w:rPr>
      </w:pPr>
    </w:p>
    <w:p w14:paraId="142F1C7B">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3C16CBC">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 xml:space="preserve">第六章 </w:t>
      </w:r>
      <w:r>
        <w:rPr>
          <w:rFonts w:hint="eastAsia" w:ascii="宋体" w:hAnsi="宋体" w:eastAsia="宋体" w:cs="宋体"/>
          <w:b/>
          <w:bCs/>
          <w:color w:val="auto"/>
          <w:sz w:val="32"/>
          <w:szCs w:val="32"/>
          <w:highlight w:val="none"/>
          <w:lang w:val="en-US" w:eastAsia="zh-CN"/>
        </w:rPr>
        <w:t>投标文件格式及</w:t>
      </w:r>
      <w:r>
        <w:rPr>
          <w:rFonts w:hint="eastAsia" w:ascii="宋体" w:hAnsi="宋体" w:eastAsia="宋体" w:cs="宋体"/>
          <w:b/>
          <w:bCs/>
          <w:color w:val="auto"/>
          <w:sz w:val="32"/>
          <w:szCs w:val="32"/>
          <w:highlight w:val="none"/>
        </w:rPr>
        <w:t>附件</w:t>
      </w:r>
      <w:bookmarkEnd w:id="27"/>
    </w:p>
    <w:p w14:paraId="52DE7B82">
      <w:pPr>
        <w:widowControl/>
        <w:adjustRightInd w:val="0"/>
        <w:spacing w:line="240" w:lineRule="atLeast"/>
        <w:jc w:val="left"/>
        <w:rPr>
          <w:rFonts w:hint="eastAsia" w:ascii="宋体" w:hAnsi="宋体" w:eastAsia="宋体" w:cs="宋体"/>
          <w:b/>
          <w:bCs/>
          <w:color w:val="auto"/>
          <w:szCs w:val="21"/>
          <w:highlight w:val="none"/>
        </w:rPr>
      </w:pPr>
    </w:p>
    <w:p w14:paraId="052D8BDC">
      <w:pPr>
        <w:spacing w:line="440" w:lineRule="exact"/>
        <w:rPr>
          <w:rFonts w:hint="eastAsia" w:ascii="宋体" w:hAnsi="宋体" w:eastAsia="宋体" w:cs="宋体"/>
          <w:color w:val="auto"/>
          <w:sz w:val="20"/>
          <w:szCs w:val="20"/>
          <w:highlight w:val="none"/>
        </w:rPr>
      </w:pPr>
    </w:p>
    <w:p w14:paraId="0B8631B2">
      <w:pPr>
        <w:spacing w:line="440" w:lineRule="exact"/>
        <w:rPr>
          <w:rFonts w:hint="eastAsia" w:ascii="宋体" w:hAnsi="宋体" w:eastAsia="宋体" w:cs="宋体"/>
          <w:color w:val="auto"/>
          <w:sz w:val="20"/>
          <w:szCs w:val="20"/>
          <w:highlight w:val="none"/>
        </w:rPr>
      </w:pPr>
    </w:p>
    <w:p w14:paraId="395D9C7B">
      <w:pPr>
        <w:spacing w:line="440" w:lineRule="exact"/>
        <w:rPr>
          <w:rFonts w:hint="eastAsia" w:ascii="宋体" w:hAnsi="宋体" w:eastAsia="宋体" w:cs="宋体"/>
          <w:color w:val="auto"/>
          <w:sz w:val="20"/>
          <w:szCs w:val="20"/>
          <w:highlight w:val="none"/>
        </w:rPr>
      </w:pPr>
    </w:p>
    <w:p w14:paraId="1DE3BB23">
      <w:pPr>
        <w:spacing w:line="440" w:lineRule="exact"/>
        <w:rPr>
          <w:rFonts w:hint="eastAsia" w:ascii="宋体" w:hAnsi="宋体" w:eastAsia="宋体" w:cs="宋体"/>
          <w:color w:val="auto"/>
          <w:sz w:val="20"/>
          <w:szCs w:val="20"/>
          <w:highlight w:val="none"/>
        </w:rPr>
      </w:pPr>
    </w:p>
    <w:p w14:paraId="099CF399">
      <w:pPr>
        <w:spacing w:line="440" w:lineRule="exact"/>
        <w:rPr>
          <w:rFonts w:hint="eastAsia" w:ascii="宋体" w:hAnsi="宋体" w:eastAsia="宋体" w:cs="宋体"/>
          <w:color w:val="auto"/>
          <w:sz w:val="20"/>
          <w:szCs w:val="20"/>
          <w:highlight w:val="none"/>
        </w:rPr>
      </w:pPr>
    </w:p>
    <w:p w14:paraId="4D5D7829">
      <w:pPr>
        <w:spacing w:line="440" w:lineRule="exact"/>
        <w:rPr>
          <w:rFonts w:hint="eastAsia" w:ascii="宋体" w:hAnsi="宋体" w:eastAsia="宋体" w:cs="宋体"/>
          <w:color w:val="auto"/>
          <w:sz w:val="20"/>
          <w:szCs w:val="20"/>
          <w:highlight w:val="none"/>
        </w:rPr>
      </w:pPr>
    </w:p>
    <w:p w14:paraId="791E0BED">
      <w:pPr>
        <w:jc w:val="center"/>
        <w:rPr>
          <w:rFonts w:hint="eastAsia" w:ascii="宋体" w:hAnsi="宋体" w:eastAsia="宋体" w:cs="宋体"/>
          <w:color w:val="auto"/>
          <w:sz w:val="20"/>
          <w:szCs w:val="20"/>
          <w:highlight w:val="none"/>
        </w:rPr>
      </w:pPr>
      <w:r>
        <w:rPr>
          <w:rFonts w:hint="eastAsia" w:ascii="宋体" w:hAnsi="宋体" w:eastAsia="宋体" w:cs="宋体"/>
          <w:color w:val="auto"/>
          <w:sz w:val="28"/>
          <w:szCs w:val="28"/>
          <w:highlight w:val="none"/>
        </w:rPr>
        <w:t>（项目名称）</w:t>
      </w:r>
    </w:p>
    <w:p w14:paraId="45F34E8C">
      <w:pPr>
        <w:jc w:val="center"/>
        <w:rPr>
          <w:rFonts w:hint="eastAsia" w:ascii="宋体" w:hAnsi="宋体" w:eastAsia="宋体" w:cs="宋体"/>
          <w:color w:val="auto"/>
          <w:sz w:val="20"/>
          <w:szCs w:val="20"/>
          <w:highlight w:val="none"/>
        </w:rPr>
      </w:pPr>
    </w:p>
    <w:p w14:paraId="50287CAC">
      <w:pPr>
        <w:rPr>
          <w:rFonts w:hint="eastAsia" w:ascii="宋体" w:hAnsi="宋体" w:eastAsia="宋体" w:cs="宋体"/>
          <w:color w:val="auto"/>
          <w:sz w:val="20"/>
          <w:szCs w:val="20"/>
          <w:highlight w:val="none"/>
        </w:rPr>
      </w:pPr>
    </w:p>
    <w:p w14:paraId="2E8062D5">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投标文件</w:t>
      </w:r>
    </w:p>
    <w:p w14:paraId="0B5F275A">
      <w:pPr>
        <w:rPr>
          <w:rFonts w:hint="eastAsia" w:ascii="宋体" w:hAnsi="宋体" w:eastAsia="宋体" w:cs="宋体"/>
          <w:color w:val="auto"/>
          <w:sz w:val="28"/>
          <w:szCs w:val="28"/>
          <w:highlight w:val="none"/>
        </w:rPr>
      </w:pPr>
    </w:p>
    <w:p w14:paraId="324D4F06">
      <w:pPr>
        <w:rPr>
          <w:rFonts w:hint="eastAsia" w:ascii="宋体" w:hAnsi="宋体" w:eastAsia="宋体" w:cs="宋体"/>
          <w:color w:val="auto"/>
          <w:sz w:val="28"/>
          <w:szCs w:val="28"/>
          <w:highlight w:val="none"/>
        </w:rPr>
      </w:pPr>
    </w:p>
    <w:p w14:paraId="55124449">
      <w:pPr>
        <w:rPr>
          <w:rFonts w:hint="eastAsia" w:ascii="宋体" w:hAnsi="宋体" w:eastAsia="宋体" w:cs="宋体"/>
          <w:color w:val="auto"/>
          <w:sz w:val="28"/>
          <w:szCs w:val="28"/>
          <w:highlight w:val="none"/>
        </w:rPr>
      </w:pPr>
    </w:p>
    <w:p w14:paraId="2F057274">
      <w:pPr>
        <w:rPr>
          <w:rFonts w:hint="eastAsia" w:ascii="宋体" w:hAnsi="宋体" w:eastAsia="宋体" w:cs="宋体"/>
          <w:color w:val="auto"/>
          <w:sz w:val="28"/>
          <w:szCs w:val="28"/>
          <w:highlight w:val="none"/>
        </w:rPr>
      </w:pPr>
    </w:p>
    <w:p w14:paraId="3858D77E">
      <w:pPr>
        <w:rPr>
          <w:rFonts w:hint="eastAsia" w:ascii="宋体" w:hAnsi="宋体" w:eastAsia="宋体" w:cs="宋体"/>
          <w:color w:val="auto"/>
          <w:sz w:val="28"/>
          <w:szCs w:val="28"/>
          <w:highlight w:val="none"/>
        </w:rPr>
      </w:pPr>
    </w:p>
    <w:p w14:paraId="64BF9048">
      <w:pPr>
        <w:rPr>
          <w:rFonts w:hint="eastAsia" w:ascii="宋体" w:hAnsi="宋体" w:eastAsia="宋体" w:cs="宋体"/>
          <w:color w:val="auto"/>
          <w:sz w:val="28"/>
          <w:szCs w:val="28"/>
          <w:highlight w:val="none"/>
        </w:rPr>
      </w:pPr>
    </w:p>
    <w:p w14:paraId="249FC577">
      <w:pPr>
        <w:rPr>
          <w:rFonts w:hint="eastAsia" w:ascii="宋体" w:hAnsi="宋体" w:eastAsia="宋体" w:cs="宋体"/>
          <w:color w:val="auto"/>
          <w:sz w:val="28"/>
          <w:szCs w:val="28"/>
          <w:highlight w:val="none"/>
        </w:rPr>
      </w:pPr>
    </w:p>
    <w:p w14:paraId="3645D918">
      <w:pPr>
        <w:rPr>
          <w:rFonts w:hint="eastAsia" w:ascii="宋体" w:hAnsi="宋体" w:eastAsia="宋体" w:cs="宋体"/>
          <w:color w:val="auto"/>
          <w:sz w:val="28"/>
          <w:szCs w:val="28"/>
          <w:highlight w:val="none"/>
        </w:rPr>
      </w:pPr>
    </w:p>
    <w:p w14:paraId="311140B9">
      <w:pPr>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投标人：（盖单位章）</w:t>
      </w:r>
    </w:p>
    <w:p w14:paraId="0BC5100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法定代表人或其委托代理人：（签字</w:t>
      </w:r>
      <w:r>
        <w:rPr>
          <w:rFonts w:hint="eastAsia" w:ascii="宋体" w:hAnsi="宋体" w:eastAsia="宋体" w:cs="宋体"/>
          <w:color w:val="auto"/>
          <w:sz w:val="28"/>
          <w:szCs w:val="28"/>
          <w:highlight w:val="none"/>
          <w:lang w:val="en-US" w:eastAsia="zh-CN"/>
        </w:rPr>
        <w:t>/签章</w:t>
      </w:r>
      <w:r>
        <w:rPr>
          <w:rFonts w:hint="eastAsia" w:ascii="宋体" w:hAnsi="宋体" w:eastAsia="宋体" w:cs="宋体"/>
          <w:color w:val="auto"/>
          <w:sz w:val="28"/>
          <w:szCs w:val="28"/>
          <w:highlight w:val="none"/>
        </w:rPr>
        <w:t>）</w:t>
      </w:r>
    </w:p>
    <w:p w14:paraId="5F9185F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月  日</w:t>
      </w:r>
    </w:p>
    <w:p w14:paraId="06647A1F">
      <w:pPr>
        <w:widowControl/>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6CDE4314">
      <w:pPr>
        <w:spacing w:beforeLines="100" w:afterLines="10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目录</w:t>
      </w:r>
    </w:p>
    <w:p w14:paraId="1DBC522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（注：供应商根据</w:t>
      </w:r>
      <w:r>
        <w:rPr>
          <w:rFonts w:hint="eastAsia" w:ascii="宋体" w:hAnsi="宋体" w:eastAsia="宋体" w:cs="宋体"/>
          <w:color w:val="auto"/>
          <w:szCs w:val="21"/>
          <w:highlight w:val="none"/>
          <w:lang w:val="en-US" w:eastAsia="zh-CN"/>
        </w:rPr>
        <w:t>本章</w:t>
      </w:r>
      <w:r>
        <w:rPr>
          <w:rFonts w:hint="eastAsia" w:ascii="宋体" w:hAnsi="宋体" w:eastAsia="宋体" w:cs="宋体"/>
          <w:color w:val="auto"/>
          <w:szCs w:val="21"/>
          <w:highlight w:val="none"/>
        </w:rPr>
        <w:t>附件顺序编制投标文件并制作目录（须生成页码））</w:t>
      </w:r>
    </w:p>
    <w:p w14:paraId="71B31F57">
      <w:pPr>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highlight w:val="none"/>
        </w:rPr>
        <w:br w:type="page"/>
      </w:r>
      <w:r>
        <w:rPr>
          <w:rFonts w:hint="eastAsia" w:ascii="宋体" w:hAnsi="宋体" w:eastAsia="宋体" w:cs="宋体"/>
          <w:b/>
          <w:bCs/>
          <w:color w:val="auto"/>
          <w:kern w:val="0"/>
          <w:szCs w:val="21"/>
          <w:highlight w:val="none"/>
        </w:rPr>
        <w:t>附件一、投标申请及声明格式</w:t>
      </w:r>
    </w:p>
    <w:p w14:paraId="253BF473">
      <w:pPr>
        <w:widowControl/>
        <w:shd w:val="clear" w:color="auto" w:fill="FFFFFF"/>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投标申请及声明</w:t>
      </w:r>
    </w:p>
    <w:p w14:paraId="364411E5">
      <w:pPr>
        <w:widowControl/>
        <w:shd w:val="clear" w:color="auto" w:fill="FFFFFF"/>
        <w:spacing w:line="4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致：江苏省设备成套股份有限公司</w:t>
      </w:r>
    </w:p>
    <w:p w14:paraId="33D37901">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根据贵方</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u w:val="single"/>
          <w:lang w:eastAsia="zh-CN"/>
        </w:rPr>
        <w:t>（</w:t>
      </w:r>
      <w:r>
        <w:rPr>
          <w:rFonts w:hint="eastAsia" w:ascii="宋体" w:hAnsi="宋体" w:eastAsia="宋体" w:cs="宋体"/>
          <w:color w:val="auto"/>
          <w:kern w:val="0"/>
          <w:szCs w:val="21"/>
          <w:highlight w:val="none"/>
        </w:rPr>
        <w:t>项目名称） </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（项目编号）投标邀请，正式授权下述签字人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(姓名和职务)代表投标人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（投标人名称），提交投标文件。</w:t>
      </w:r>
    </w:p>
    <w:p w14:paraId="753F0053">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据此函，签字人兹宣布声明和承诺如下：</w:t>
      </w:r>
    </w:p>
    <w:p w14:paraId="6FFA47B3">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b w:val="0"/>
          <w:bCs w:val="0"/>
          <w:color w:val="auto"/>
          <w:kern w:val="0"/>
          <w:szCs w:val="21"/>
          <w:highlight w:val="none"/>
        </w:rPr>
        <w:t>我们的资格条件完全符合本次招标要求</w:t>
      </w:r>
      <w:r>
        <w:rPr>
          <w:rFonts w:hint="eastAsia" w:ascii="宋体" w:hAnsi="宋体" w:eastAsia="宋体" w:cs="宋体"/>
          <w:color w:val="auto"/>
          <w:kern w:val="0"/>
          <w:szCs w:val="21"/>
          <w:highlight w:val="none"/>
        </w:rPr>
        <w:t>，我们同意并向贵方提供了与投标有关的所有证据和资料。</w:t>
      </w:r>
    </w:p>
    <w:p w14:paraId="42EB58E2">
      <w:pPr>
        <w:widowControl/>
        <w:shd w:val="clear" w:color="auto" w:fill="FFFFFF"/>
        <w:spacing w:line="400" w:lineRule="exact"/>
        <w:ind w:left="1470" w:hanging="10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2、按招标要求，我们的投标总报价</w:t>
      </w:r>
      <w:r>
        <w:rPr>
          <w:rFonts w:hint="eastAsia" w:ascii="宋体" w:hAnsi="宋体" w:eastAsia="宋体" w:cs="宋体"/>
          <w:color w:val="auto"/>
          <w:kern w:val="0"/>
          <w:szCs w:val="21"/>
          <w:highlight w:val="none"/>
          <w:lang w:val="en-US" w:eastAsia="zh-CN"/>
        </w:rPr>
        <w:t>详见开标一览表</w:t>
      </w:r>
      <w:r>
        <w:rPr>
          <w:rFonts w:hint="eastAsia" w:ascii="宋体" w:hAnsi="宋体" w:eastAsia="宋体" w:cs="宋体"/>
          <w:color w:val="auto"/>
          <w:kern w:val="0"/>
          <w:szCs w:val="21"/>
          <w:highlight w:val="none"/>
        </w:rPr>
        <w:t>。</w:t>
      </w:r>
    </w:p>
    <w:p w14:paraId="33B05594">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3、本项目交付时间为：</w:t>
      </w:r>
      <w:r>
        <w:rPr>
          <w:rFonts w:hint="eastAsia" w:ascii="宋体" w:hAnsi="宋体" w:eastAsia="宋体" w:cs="宋体"/>
          <w:color w:val="auto"/>
          <w:kern w:val="0"/>
          <w:szCs w:val="21"/>
          <w:highlight w:val="none"/>
          <w:u w:val="single"/>
        </w:rPr>
        <w:t xml:space="preserve">  满足招标文件要求  </w:t>
      </w:r>
      <w:r>
        <w:rPr>
          <w:rFonts w:hint="eastAsia" w:ascii="宋体" w:hAnsi="宋体" w:eastAsia="宋体" w:cs="宋体"/>
          <w:color w:val="auto"/>
          <w:kern w:val="0"/>
          <w:szCs w:val="21"/>
          <w:highlight w:val="none"/>
        </w:rPr>
        <w:t>。</w:t>
      </w:r>
    </w:p>
    <w:p w14:paraId="6AC743B7">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4、我们已详细阅读全部招标文件及其有效补充文件，我们放弃对招标文件任何误解的权利，提交投标文件后，</w:t>
      </w:r>
      <w:r>
        <w:rPr>
          <w:rFonts w:hint="eastAsia" w:ascii="宋体" w:hAnsi="宋体" w:eastAsia="宋体" w:cs="宋体"/>
          <w:b w:val="0"/>
          <w:bCs w:val="0"/>
          <w:color w:val="auto"/>
          <w:kern w:val="0"/>
          <w:szCs w:val="21"/>
          <w:highlight w:val="none"/>
        </w:rPr>
        <w:t>不对招标文件本身提出质疑</w:t>
      </w:r>
      <w:r>
        <w:rPr>
          <w:rFonts w:hint="eastAsia" w:ascii="宋体" w:hAnsi="宋体" w:eastAsia="宋体" w:cs="宋体"/>
          <w:color w:val="auto"/>
          <w:kern w:val="0"/>
          <w:szCs w:val="21"/>
          <w:highlight w:val="none"/>
        </w:rPr>
        <w:t>。</w:t>
      </w:r>
    </w:p>
    <w:p w14:paraId="0A1DDC3A">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5、我们同意从规定的开标日期起遵循本投标文件，并在规定的投标有效期期满之前均具有约束力。</w:t>
      </w:r>
    </w:p>
    <w:p w14:paraId="4C27700B">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、一旦我方中标，我方将根据招标文件的规定</w:t>
      </w:r>
      <w:r>
        <w:rPr>
          <w:rFonts w:hint="eastAsia" w:ascii="宋体" w:hAnsi="宋体" w:eastAsia="宋体" w:cs="宋体"/>
          <w:color w:val="auto"/>
          <w:kern w:val="0"/>
          <w:szCs w:val="21"/>
          <w:highlight w:val="none"/>
          <w:lang w:val="en-US" w:eastAsia="zh-CN"/>
        </w:rPr>
        <w:t>及我方投标承诺</w:t>
      </w:r>
      <w:r>
        <w:rPr>
          <w:rFonts w:hint="eastAsia" w:ascii="宋体" w:hAnsi="宋体" w:eastAsia="宋体" w:cs="宋体"/>
          <w:color w:val="auto"/>
          <w:kern w:val="0"/>
          <w:szCs w:val="21"/>
          <w:highlight w:val="none"/>
        </w:rPr>
        <w:t>严格履行合同。</w:t>
      </w:r>
    </w:p>
    <w:p w14:paraId="19C9F2AD">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我方决不提供虚假材料谋取中标、决不采取不正当手段诋毁、排挤其他投标人、决不与采购人、其它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53D82F98">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、与本投标有关的正式联系方式为：</w:t>
      </w:r>
    </w:p>
    <w:p w14:paraId="42959D82">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   址：</w:t>
      </w:r>
      <w:r>
        <w:rPr>
          <w:rFonts w:hint="eastAsia" w:ascii="宋体" w:hAnsi="宋体" w:eastAsia="宋体" w:cs="宋体"/>
          <w:color w:val="auto"/>
          <w:kern w:val="0"/>
          <w:szCs w:val="21"/>
          <w:highlight w:val="none"/>
          <w:u w:val="single"/>
        </w:rPr>
        <w:t>                      </w:t>
      </w:r>
    </w:p>
    <w:p w14:paraId="5107784F">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   话：</w:t>
      </w:r>
      <w:r>
        <w:rPr>
          <w:rFonts w:hint="eastAsia" w:ascii="宋体" w:hAnsi="宋体" w:eastAsia="宋体" w:cs="宋体"/>
          <w:color w:val="auto"/>
          <w:kern w:val="0"/>
          <w:szCs w:val="21"/>
          <w:highlight w:val="none"/>
          <w:u w:val="single"/>
        </w:rPr>
        <w:t>                      </w:t>
      </w:r>
    </w:p>
    <w:p w14:paraId="3E484CAA">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传   真：</w:t>
      </w:r>
      <w:r>
        <w:rPr>
          <w:rFonts w:hint="eastAsia" w:ascii="宋体" w:hAnsi="宋体" w:eastAsia="宋体" w:cs="宋体"/>
          <w:color w:val="auto"/>
          <w:kern w:val="0"/>
          <w:szCs w:val="21"/>
          <w:highlight w:val="none"/>
          <w:u w:val="single"/>
        </w:rPr>
        <w:t>                      </w:t>
      </w:r>
    </w:p>
    <w:p w14:paraId="34E40DC7">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开户银行：</w:t>
      </w:r>
    </w:p>
    <w:p w14:paraId="558290F5">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银行账号：</w:t>
      </w:r>
    </w:p>
    <w:p w14:paraId="7B7EBE05">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投标人授权代表姓名（签字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141D5CB6">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投标人名称：</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（盖章）</w:t>
      </w:r>
    </w:p>
    <w:p w14:paraId="6D856832">
      <w:pPr>
        <w:widowControl/>
        <w:shd w:val="clear" w:color="auto" w:fill="FFFFFF"/>
        <w:spacing w:line="40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    期：</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日</w:t>
      </w:r>
    </w:p>
    <w:p w14:paraId="1F4E5065">
      <w:pPr>
        <w:widowControl/>
        <w:shd w:val="clear" w:color="auto" w:fill="FFFFFF"/>
        <w:spacing w:line="360" w:lineRule="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附件二、</w:t>
      </w:r>
      <w:r>
        <w:rPr>
          <w:rFonts w:hint="eastAsia" w:ascii="宋体" w:hAnsi="宋体" w:eastAsia="宋体" w:cs="宋体"/>
          <w:b/>
          <w:bCs/>
          <w:color w:val="auto"/>
          <w:kern w:val="0"/>
          <w:szCs w:val="21"/>
          <w:highlight w:val="none"/>
          <w:lang w:eastAsia="zh-CN"/>
        </w:rPr>
        <w:t>法定代表人授权书</w:t>
      </w:r>
      <w:r>
        <w:rPr>
          <w:rFonts w:hint="eastAsia" w:ascii="宋体" w:hAnsi="宋体" w:eastAsia="宋体" w:cs="宋体"/>
          <w:b/>
          <w:bCs/>
          <w:color w:val="auto"/>
          <w:kern w:val="0"/>
          <w:szCs w:val="21"/>
          <w:highlight w:val="none"/>
        </w:rPr>
        <w:t>格式</w:t>
      </w:r>
    </w:p>
    <w:p w14:paraId="10317668">
      <w:pPr>
        <w:widowControl/>
        <w:shd w:val="clear" w:color="auto" w:fill="FFFFFF"/>
        <w:spacing w:line="360" w:lineRule="auto"/>
        <w:ind w:firstLine="720"/>
        <w:jc w:val="center"/>
        <w:rPr>
          <w:rFonts w:hint="eastAsia" w:ascii="宋体" w:hAnsi="宋体" w:eastAsia="宋体" w:cs="宋体"/>
          <w:color w:val="auto"/>
          <w:kern w:val="0"/>
          <w:sz w:val="36"/>
          <w:szCs w:val="36"/>
          <w:highlight w:val="none"/>
        </w:rPr>
      </w:pPr>
    </w:p>
    <w:p w14:paraId="42AA3127">
      <w:pPr>
        <w:widowControl/>
        <w:shd w:val="clear" w:color="auto" w:fill="FFFFFF"/>
        <w:spacing w:line="360" w:lineRule="auto"/>
        <w:ind w:firstLine="720"/>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法定代表人授权书</w:t>
      </w:r>
    </w:p>
    <w:p w14:paraId="594D629E">
      <w:pPr>
        <w:widowControl/>
        <w:shd w:val="clear" w:color="auto" w:fill="FFFFFF"/>
        <w:spacing w:line="360" w:lineRule="auto"/>
        <w:jc w:val="left"/>
        <w:rPr>
          <w:rFonts w:hint="eastAsia" w:ascii="宋体" w:hAnsi="宋体" w:eastAsia="宋体" w:cs="宋体"/>
          <w:color w:val="auto"/>
          <w:kern w:val="0"/>
          <w:szCs w:val="21"/>
          <w:highlight w:val="none"/>
        </w:rPr>
      </w:pPr>
    </w:p>
    <w:p w14:paraId="66E8B254">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致：江苏省设备成套股份有限公司</w:t>
      </w:r>
    </w:p>
    <w:p w14:paraId="5CEF26B5">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本授权书声明：注册于</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（投标人住址）的</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（投标人名称）法定代表人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（法定代表人姓名、职务）代表本公司授权在下面签字的</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（投标人代表姓名、职务）为本公司的合法代理人，就贵方组织的</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（项目编号）投标，以本公司名义处理一切与之有关的事务。</w:t>
      </w:r>
    </w:p>
    <w:p w14:paraId="4D3887EC">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本授权书于    年  月  日签字生效，特此声明。</w:t>
      </w:r>
    </w:p>
    <w:p w14:paraId="1B93A508">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法定代表人签字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p>
    <w:p w14:paraId="06C5FB69">
      <w:pPr>
        <w:widowControl/>
        <w:shd w:val="clear" w:color="auto" w:fill="FFFFFF"/>
        <w:spacing w:line="360" w:lineRule="auto"/>
        <w:ind w:firstLine="338" w:firstLineChars="16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被</w:t>
      </w:r>
      <w:r>
        <w:rPr>
          <w:rFonts w:hint="eastAsia" w:ascii="宋体" w:hAnsi="宋体" w:eastAsia="宋体" w:cs="宋体"/>
          <w:color w:val="auto"/>
          <w:kern w:val="0"/>
          <w:szCs w:val="21"/>
          <w:highlight w:val="none"/>
        </w:rPr>
        <w:t>授权人签字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   </w:t>
      </w:r>
    </w:p>
    <w:p w14:paraId="0E84D7DF">
      <w:pPr>
        <w:widowControl/>
        <w:shd w:val="clear" w:color="auto" w:fill="FFFFFF"/>
        <w:spacing w:line="360" w:lineRule="auto"/>
        <w:ind w:firstLine="338" w:firstLineChars="16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供应商盖章：</w:t>
      </w:r>
      <w:r>
        <w:rPr>
          <w:rFonts w:hint="eastAsia" w:ascii="宋体" w:hAnsi="宋体" w:eastAsia="宋体" w:cs="宋体"/>
          <w:color w:val="auto"/>
          <w:kern w:val="0"/>
          <w:szCs w:val="21"/>
          <w:highlight w:val="none"/>
        </w:rPr>
        <w:t>                </w:t>
      </w:r>
    </w:p>
    <w:p w14:paraId="6DD20555">
      <w:pPr>
        <w:widowControl/>
        <w:shd w:val="clear" w:color="auto" w:fill="FFFFFF"/>
        <w:spacing w:line="360" w:lineRule="auto"/>
        <w:ind w:firstLine="338" w:firstLineChars="16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     期：        年    月    日</w:t>
      </w:r>
    </w:p>
    <w:p w14:paraId="0423642B">
      <w:pPr>
        <w:widowControl/>
        <w:shd w:val="clear" w:color="auto" w:fill="FFFFFF"/>
        <w:spacing w:line="360" w:lineRule="auto"/>
        <w:ind w:firstLine="840" w:firstLineChars="400"/>
        <w:jc w:val="left"/>
        <w:rPr>
          <w:rFonts w:hint="eastAsia" w:ascii="宋体" w:hAnsi="宋体" w:eastAsia="宋体" w:cs="宋体"/>
          <w:color w:val="auto"/>
          <w:kern w:val="0"/>
          <w:szCs w:val="21"/>
          <w:highlight w:val="none"/>
        </w:rPr>
      </w:pPr>
    </w:p>
    <w:p w14:paraId="79B4CA00">
      <w:pPr>
        <w:widowControl/>
        <w:shd w:val="clear" w:color="auto" w:fill="FFFFFF"/>
        <w:spacing w:line="360" w:lineRule="auto"/>
        <w:jc w:val="left"/>
        <w:rPr>
          <w:rFonts w:hint="eastAsia" w:ascii="宋体" w:hAnsi="宋体" w:eastAsia="宋体" w:cs="宋体"/>
          <w:b/>
          <w:bCs w:val="0"/>
          <w:color w:val="auto"/>
          <w:kern w:val="0"/>
          <w:szCs w:val="21"/>
          <w:highlight w:val="none"/>
        </w:rPr>
      </w:pPr>
      <w:r>
        <w:rPr>
          <w:rFonts w:hint="eastAsia" w:ascii="宋体" w:hAnsi="宋体" w:eastAsia="宋体" w:cs="宋体"/>
          <w:b/>
          <w:bCs w:val="0"/>
          <w:color w:val="auto"/>
          <w:kern w:val="0"/>
          <w:szCs w:val="21"/>
          <w:highlight w:val="none"/>
        </w:rPr>
        <w:t>被授权人的身份证的复印件:</w:t>
      </w:r>
    </w:p>
    <w:p w14:paraId="12881BB0">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7AF023B">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6D9708F9">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B7F49C6">
      <w:pPr>
        <w:autoSpaceDE w:val="0"/>
        <w:autoSpaceDN w:val="0"/>
        <w:adjustRightInd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kern w:val="0"/>
          <w:szCs w:val="21"/>
          <w:highlight w:val="none"/>
        </w:rPr>
        <w:br w:type="page"/>
      </w:r>
      <w:bookmarkStart w:id="34" w:name="_Toc26810"/>
      <w:r>
        <w:rPr>
          <w:rFonts w:hint="eastAsia" w:ascii="宋体" w:hAnsi="宋体" w:eastAsia="宋体" w:cs="宋体"/>
          <w:b/>
          <w:bCs/>
          <w:color w:val="auto"/>
          <w:kern w:val="0"/>
          <w:szCs w:val="21"/>
          <w:highlight w:val="none"/>
          <w:lang w:val="zh-CN"/>
        </w:rPr>
        <w:t>附件三、</w:t>
      </w:r>
      <w:bookmarkEnd w:id="34"/>
      <w:r>
        <w:rPr>
          <w:rFonts w:hint="eastAsia" w:ascii="宋体" w:hAnsi="宋体" w:eastAsia="宋体" w:cs="宋体"/>
          <w:b/>
          <w:bCs/>
          <w:color w:val="auto"/>
          <w:kern w:val="0"/>
          <w:szCs w:val="21"/>
          <w:highlight w:val="none"/>
          <w:lang w:val="en-US" w:eastAsia="zh-CN"/>
        </w:rPr>
        <w:t>开标一览表</w:t>
      </w:r>
    </w:p>
    <w:p w14:paraId="34E3F764">
      <w:pPr>
        <w:autoSpaceDE w:val="0"/>
        <w:autoSpaceDN w:val="0"/>
        <w:adjustRightInd w:val="0"/>
        <w:rPr>
          <w:rFonts w:hint="eastAsia" w:ascii="宋体" w:hAnsi="宋体" w:eastAsia="宋体" w:cs="宋体"/>
          <w:b/>
          <w:bCs/>
          <w:color w:val="auto"/>
          <w:highlight w:val="none"/>
          <w:lang w:val="zh-CN"/>
        </w:rPr>
      </w:pPr>
    </w:p>
    <w:p w14:paraId="4729DA2D">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开标一览表</w:t>
      </w:r>
    </w:p>
    <w:p w14:paraId="19F212D4">
      <w:pPr>
        <w:widowControl/>
        <w:shd w:val="clear" w:color="auto" w:fill="FFFFFF"/>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highlight w:val="none"/>
          <w:lang w:val="zh-CN"/>
        </w:rPr>
        <w:t xml:space="preserve">               </w:t>
      </w:r>
    </w:p>
    <w:p w14:paraId="11BA94CD">
      <w:pPr>
        <w:pStyle w:val="15"/>
        <w:spacing w:line="440" w:lineRule="exact"/>
        <w:ind w:firstLine="474" w:firstLineChars="22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                                         项目编号：</w:t>
      </w:r>
    </w:p>
    <w:tbl>
      <w:tblPr>
        <w:tblStyle w:val="45"/>
        <w:tblW w:w="8994"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1369"/>
        <w:gridCol w:w="7625"/>
      </w:tblGrid>
      <w:tr w14:paraId="5868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98" w:hRule="atLeast"/>
        </w:trPr>
        <w:tc>
          <w:tcPr>
            <w:tcW w:w="1369" w:type="dxa"/>
            <w:vAlign w:val="center"/>
          </w:tcPr>
          <w:p w14:paraId="16E8D12D">
            <w:pPr>
              <w:pStyle w:val="15"/>
              <w:spacing w:line="440" w:lineRule="exact"/>
              <w:ind w:firstLine="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投标总价</w:t>
            </w:r>
          </w:p>
        </w:tc>
        <w:tc>
          <w:tcPr>
            <w:tcW w:w="7625" w:type="dxa"/>
            <w:vAlign w:val="center"/>
          </w:tcPr>
          <w:p w14:paraId="34BE8C14">
            <w:pPr>
              <w:pStyle w:val="15"/>
              <w:spacing w:line="44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小写：人民币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7A7F26D8">
            <w:pPr>
              <w:pStyle w:val="15"/>
              <w:spacing w:line="440" w:lineRule="exact"/>
              <w:ind w:left="0" w:leftChars="0" w:firstLine="2530" w:firstLineChars="120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大写：人民币</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 xml:space="preserve">  </w:t>
            </w:r>
          </w:p>
        </w:tc>
      </w:tr>
      <w:tr w14:paraId="28F3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98" w:hRule="atLeast"/>
        </w:trPr>
        <w:tc>
          <w:tcPr>
            <w:tcW w:w="1369" w:type="dxa"/>
            <w:vAlign w:val="center"/>
          </w:tcPr>
          <w:p w14:paraId="3FD87D0E">
            <w:pPr>
              <w:pStyle w:val="15"/>
              <w:spacing w:line="440" w:lineRule="exact"/>
              <w:ind w:firstLine="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投标单价</w:t>
            </w:r>
          </w:p>
        </w:tc>
        <w:tc>
          <w:tcPr>
            <w:tcW w:w="7625" w:type="dxa"/>
            <w:vAlign w:val="center"/>
          </w:tcPr>
          <w:p w14:paraId="3717D835">
            <w:pPr>
              <w:pStyle w:val="15"/>
              <w:spacing w:line="440" w:lineRule="exact"/>
              <w:ind w:firstLine="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元/kg</w:t>
            </w:r>
          </w:p>
        </w:tc>
      </w:tr>
      <w:tr w14:paraId="144E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9" w:hRule="atLeast"/>
        </w:trPr>
        <w:tc>
          <w:tcPr>
            <w:tcW w:w="1369" w:type="dxa"/>
            <w:vAlign w:val="center"/>
          </w:tcPr>
          <w:p w14:paraId="07557225">
            <w:pPr>
              <w:pStyle w:val="15"/>
              <w:spacing w:line="44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服务时间/交付使用时间</w:t>
            </w:r>
          </w:p>
        </w:tc>
        <w:tc>
          <w:tcPr>
            <w:tcW w:w="7625" w:type="dxa"/>
            <w:vAlign w:val="center"/>
          </w:tcPr>
          <w:p w14:paraId="6590D68E">
            <w:pPr>
              <w:pStyle w:val="15"/>
              <w:tabs>
                <w:tab w:val="left" w:pos="3624"/>
              </w:tabs>
              <w:spacing w:line="440" w:lineRule="exact"/>
              <w:ind w:firstLine="474" w:firstLineChars="225"/>
              <w:jc w:val="cente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满足招标文件要求。</w:t>
            </w:r>
          </w:p>
        </w:tc>
      </w:tr>
      <w:tr w14:paraId="6DB2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06" w:hRule="atLeast"/>
        </w:trPr>
        <w:tc>
          <w:tcPr>
            <w:tcW w:w="1369" w:type="dxa"/>
            <w:vAlign w:val="center"/>
          </w:tcPr>
          <w:p w14:paraId="05343678">
            <w:pPr>
              <w:pStyle w:val="15"/>
              <w:ind w:firstLine="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c>
          <w:tcPr>
            <w:tcW w:w="7625" w:type="dxa"/>
            <w:vAlign w:val="center"/>
          </w:tcPr>
          <w:p w14:paraId="464FCF54">
            <w:pPr>
              <w:pStyle w:val="15"/>
              <w:ind w:firstLine="474" w:firstLineChars="225"/>
              <w:jc w:val="center"/>
              <w:rPr>
                <w:rFonts w:hint="eastAsia" w:ascii="宋体" w:hAnsi="宋体" w:eastAsia="宋体" w:cs="宋体"/>
                <w:color w:val="auto"/>
                <w:sz w:val="21"/>
                <w:szCs w:val="21"/>
                <w:highlight w:val="none"/>
              </w:rPr>
            </w:pPr>
          </w:p>
        </w:tc>
      </w:tr>
    </w:tbl>
    <w:p w14:paraId="4B8E4DAF">
      <w:pPr>
        <w:widowControl/>
        <w:shd w:val="clear" w:color="auto" w:fill="FFFFFF"/>
        <w:spacing w:line="360" w:lineRule="auto"/>
        <w:jc w:val="left"/>
        <w:rPr>
          <w:rFonts w:hint="eastAsia" w:ascii="宋体" w:hAnsi="宋体" w:eastAsia="宋体" w:cs="宋体"/>
          <w:color w:val="auto"/>
          <w:kern w:val="0"/>
          <w:szCs w:val="21"/>
          <w:highlight w:val="none"/>
          <w:lang w:val="en-US" w:eastAsia="zh-CN"/>
        </w:rPr>
      </w:pPr>
    </w:p>
    <w:p w14:paraId="13A89D22">
      <w:pPr>
        <w:widowControl/>
        <w:shd w:val="clear" w:color="auto" w:fill="FFFFFF"/>
        <w:spacing w:line="360" w:lineRule="auto"/>
        <w:jc w:val="left"/>
        <w:rPr>
          <w:rFonts w:hint="eastAsia" w:ascii="宋体" w:hAnsi="宋体" w:eastAsia="宋体" w:cs="宋体"/>
          <w:color w:val="auto"/>
          <w:kern w:val="0"/>
          <w:szCs w:val="21"/>
          <w:highlight w:val="none"/>
          <w:lang w:val="en-US" w:eastAsia="zh-CN"/>
        </w:rPr>
      </w:pPr>
    </w:p>
    <w:p w14:paraId="2CFC5ED7">
      <w:pPr>
        <w:widowControl/>
        <w:shd w:val="clear" w:color="auto" w:fill="FFFFFF"/>
        <w:spacing w:line="360" w:lineRule="auto"/>
        <w:jc w:val="left"/>
        <w:rPr>
          <w:rFonts w:hint="eastAsia" w:ascii="宋体" w:hAnsi="宋体" w:eastAsia="宋体" w:cs="宋体"/>
          <w:color w:val="auto"/>
          <w:kern w:val="0"/>
          <w:szCs w:val="21"/>
          <w:highlight w:val="none"/>
        </w:rPr>
      </w:pPr>
    </w:p>
    <w:p w14:paraId="686DED98">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5BB6B6C5">
      <w:pPr>
        <w:widowControl/>
        <w:shd w:val="clear" w:color="auto" w:fill="FFFFFF"/>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1140FBCD">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w:t>
      </w:r>
    </w:p>
    <w:p w14:paraId="1DA864E1">
      <w:pPr>
        <w:widowControl/>
        <w:numPr>
          <w:ilvl w:val="0"/>
          <w:numId w:val="5"/>
        </w:numPr>
        <w:shd w:val="clear" w:color="auto" w:fill="FFFFFF"/>
        <w:spacing w:line="360"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本项目仅接受一个价格，不得填报有选择性报价方案。</w:t>
      </w:r>
      <w:r>
        <w:rPr>
          <w:rFonts w:hint="eastAsia" w:ascii="宋体" w:hAnsi="宋体" w:eastAsia="宋体" w:cs="宋体"/>
          <w:b/>
          <w:bCs/>
          <w:color w:val="auto"/>
          <w:kern w:val="0"/>
          <w:szCs w:val="21"/>
          <w:highlight w:val="none"/>
          <w:lang w:val="en-US" w:eastAsia="zh-CN"/>
        </w:rPr>
        <w:t>如</w:t>
      </w:r>
      <w:r>
        <w:rPr>
          <w:rFonts w:hint="eastAsia" w:ascii="宋体" w:hAnsi="宋体" w:eastAsia="宋体" w:cs="宋体"/>
          <w:b/>
          <w:bCs/>
          <w:color w:val="auto"/>
          <w:kern w:val="0"/>
          <w:szCs w:val="21"/>
          <w:highlight w:val="none"/>
        </w:rPr>
        <w:t>有优惠条款须注明，但不得影响报价，影响</w:t>
      </w:r>
      <w:r>
        <w:rPr>
          <w:rFonts w:hint="eastAsia" w:ascii="宋体" w:hAnsi="宋体" w:eastAsia="宋体" w:cs="宋体"/>
          <w:b/>
          <w:bCs/>
          <w:color w:val="auto"/>
          <w:kern w:val="0"/>
          <w:szCs w:val="21"/>
          <w:highlight w:val="none"/>
          <w:lang w:val="en-US" w:eastAsia="zh-CN"/>
        </w:rPr>
        <w:t>项目履约交付</w:t>
      </w:r>
      <w:r>
        <w:rPr>
          <w:rFonts w:hint="eastAsia" w:ascii="宋体" w:hAnsi="宋体" w:eastAsia="宋体" w:cs="宋体"/>
          <w:b/>
          <w:bCs/>
          <w:color w:val="auto"/>
          <w:kern w:val="0"/>
          <w:szCs w:val="21"/>
          <w:highlight w:val="none"/>
        </w:rPr>
        <w:t>。</w:t>
      </w:r>
    </w:p>
    <w:p w14:paraId="6E0801E4">
      <w:pPr>
        <w:widowControl/>
        <w:adjustRightInd w:val="0"/>
        <w:spacing w:line="240" w:lineRule="atLeast"/>
        <w:jc w:val="left"/>
        <w:rPr>
          <w:rFonts w:hint="eastAsia" w:ascii="宋体" w:hAnsi="宋体" w:eastAsia="宋体" w:cs="宋体"/>
          <w:b/>
          <w:bCs/>
          <w:color w:val="auto"/>
          <w:kern w:val="0"/>
          <w:highlight w:val="none"/>
          <w:lang w:val="zh-CN"/>
        </w:rPr>
      </w:pPr>
    </w:p>
    <w:p w14:paraId="2D11793E">
      <w:pPr>
        <w:widowControl/>
        <w:shd w:val="clear" w:color="auto" w:fill="auto"/>
        <w:spacing w:line="240" w:lineRule="auto"/>
        <w:jc w:val="left"/>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p>
    <w:p w14:paraId="1804BBBF">
      <w:pPr>
        <w:widowControl/>
        <w:shd w:val="clear" w:color="auto" w:fill="FFFFFF"/>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分项报价表</w:t>
      </w:r>
    </w:p>
    <w:p w14:paraId="1E2AA194">
      <w:pPr>
        <w:widowControl/>
        <w:shd w:val="clear" w:color="auto" w:fill="FFFFFF"/>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bCs/>
          <w:color w:val="auto"/>
          <w:kern w:val="0"/>
          <w:szCs w:val="21"/>
          <w:highlight w:val="none"/>
          <w:lang w:val="zh-CN"/>
        </w:rPr>
        <w:t>（如果有，格式自拟）</w:t>
      </w:r>
    </w:p>
    <w:p w14:paraId="7FE2D977">
      <w:pPr>
        <w:widowControl/>
        <w:shd w:val="clear" w:color="auto" w:fill="FFFFFF"/>
        <w:spacing w:line="360" w:lineRule="auto"/>
        <w:jc w:val="left"/>
        <w:rPr>
          <w:rFonts w:hint="eastAsia" w:ascii="宋体" w:hAnsi="宋体" w:eastAsia="宋体" w:cs="宋体"/>
          <w:color w:val="auto"/>
          <w:kern w:val="0"/>
          <w:highlight w:val="none"/>
        </w:rPr>
      </w:pPr>
    </w:p>
    <w:p w14:paraId="7F3F980B">
      <w:pPr>
        <w:widowControl/>
        <w:shd w:val="clear" w:color="auto" w:fill="FFFFFF"/>
        <w:spacing w:line="360" w:lineRule="auto"/>
        <w:jc w:val="left"/>
        <w:rPr>
          <w:rFonts w:hint="eastAsia" w:ascii="宋体" w:hAnsi="宋体" w:eastAsia="宋体" w:cs="宋体"/>
          <w:color w:val="auto"/>
          <w:kern w:val="0"/>
          <w:szCs w:val="21"/>
          <w:highlight w:val="none"/>
        </w:rPr>
      </w:pPr>
    </w:p>
    <w:p w14:paraId="2E38893F">
      <w:pPr>
        <w:widowControl/>
        <w:shd w:val="clear" w:color="auto" w:fill="FFFFFF"/>
        <w:spacing w:line="360" w:lineRule="auto"/>
        <w:jc w:val="left"/>
        <w:rPr>
          <w:rFonts w:hint="eastAsia" w:ascii="宋体" w:hAnsi="宋体" w:eastAsia="宋体" w:cs="宋体"/>
          <w:color w:val="auto"/>
          <w:kern w:val="0"/>
          <w:szCs w:val="21"/>
          <w:highlight w:val="none"/>
        </w:rPr>
      </w:pPr>
    </w:p>
    <w:p w14:paraId="01BFED68">
      <w:pPr>
        <w:widowControl/>
        <w:shd w:val="clear" w:color="auto" w:fill="FFFFFF"/>
        <w:spacing w:line="360" w:lineRule="auto"/>
        <w:jc w:val="left"/>
        <w:rPr>
          <w:rFonts w:hint="eastAsia" w:ascii="宋体" w:hAnsi="宋体" w:eastAsia="宋体" w:cs="宋体"/>
          <w:color w:val="auto"/>
          <w:kern w:val="0"/>
          <w:szCs w:val="21"/>
          <w:highlight w:val="none"/>
        </w:rPr>
      </w:pPr>
    </w:p>
    <w:p w14:paraId="1E3DD983">
      <w:pPr>
        <w:widowControl/>
        <w:shd w:val="clear" w:color="auto" w:fill="FFFFFF"/>
        <w:spacing w:line="360" w:lineRule="auto"/>
        <w:jc w:val="left"/>
        <w:rPr>
          <w:rFonts w:hint="eastAsia" w:ascii="宋体" w:hAnsi="宋体" w:eastAsia="宋体" w:cs="宋体"/>
          <w:color w:val="auto"/>
          <w:kern w:val="0"/>
          <w:szCs w:val="21"/>
          <w:highlight w:val="none"/>
        </w:rPr>
      </w:pPr>
    </w:p>
    <w:p w14:paraId="22F867D8">
      <w:pPr>
        <w:widowControl/>
        <w:shd w:val="clear" w:color="auto" w:fill="FFFFFF"/>
        <w:spacing w:line="360" w:lineRule="auto"/>
        <w:jc w:val="left"/>
        <w:rPr>
          <w:rFonts w:hint="eastAsia" w:ascii="宋体" w:hAnsi="宋体" w:eastAsia="宋体" w:cs="宋体"/>
          <w:color w:val="auto"/>
          <w:kern w:val="0"/>
          <w:szCs w:val="21"/>
          <w:highlight w:val="none"/>
        </w:rPr>
      </w:pPr>
    </w:p>
    <w:p w14:paraId="1913A52D">
      <w:pPr>
        <w:widowControl/>
        <w:shd w:val="clear" w:color="auto" w:fill="FFFFFF"/>
        <w:spacing w:line="360" w:lineRule="auto"/>
        <w:jc w:val="left"/>
        <w:rPr>
          <w:rFonts w:hint="eastAsia" w:ascii="宋体" w:hAnsi="宋体" w:eastAsia="宋体" w:cs="宋体"/>
          <w:color w:val="auto"/>
          <w:kern w:val="0"/>
          <w:szCs w:val="21"/>
          <w:highlight w:val="none"/>
        </w:rPr>
      </w:pPr>
    </w:p>
    <w:p w14:paraId="74C6742E">
      <w:pPr>
        <w:widowControl/>
        <w:shd w:val="clear" w:color="auto" w:fill="FFFFFF"/>
        <w:spacing w:line="360" w:lineRule="auto"/>
        <w:jc w:val="left"/>
        <w:rPr>
          <w:rFonts w:hint="eastAsia" w:ascii="宋体" w:hAnsi="宋体" w:eastAsia="宋体" w:cs="宋体"/>
          <w:color w:val="auto"/>
          <w:kern w:val="0"/>
          <w:szCs w:val="21"/>
          <w:highlight w:val="none"/>
        </w:rPr>
      </w:pPr>
    </w:p>
    <w:p w14:paraId="6346D9C6">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79791B6E">
      <w:pPr>
        <w:widowControl/>
        <w:shd w:val="clear" w:color="auto" w:fill="FFFFFF"/>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4E8BBF70">
      <w:pPr>
        <w:widowControl/>
        <w:shd w:val="clear" w:color="auto" w:fill="FFFFFF"/>
        <w:spacing w:line="360" w:lineRule="auto"/>
        <w:jc w:val="left"/>
        <w:rPr>
          <w:rFonts w:hint="eastAsia" w:ascii="宋体" w:hAnsi="宋体" w:eastAsia="宋体" w:cs="宋体"/>
          <w:color w:val="auto"/>
          <w:kern w:val="0"/>
          <w:szCs w:val="21"/>
          <w:highlight w:val="none"/>
        </w:rPr>
      </w:pPr>
    </w:p>
    <w:p w14:paraId="74622BC3">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76B22F5B">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highlight w:val="none"/>
        </w:rPr>
        <w:t xml:space="preserve">     </w:t>
      </w:r>
    </w:p>
    <w:p w14:paraId="21CF34FC">
      <w:pPr>
        <w:widowControl/>
        <w:shd w:val="clear" w:color="auto" w:fill="FFFFFF"/>
        <w:spacing w:line="360" w:lineRule="auto"/>
        <w:jc w:val="left"/>
        <w:rPr>
          <w:rFonts w:hint="eastAsia" w:ascii="宋体" w:hAnsi="宋体" w:eastAsia="宋体" w:cs="宋体"/>
          <w:color w:val="auto"/>
          <w:kern w:val="0"/>
          <w:szCs w:val="21"/>
          <w:highlight w:val="none"/>
        </w:rPr>
      </w:pPr>
    </w:p>
    <w:p w14:paraId="564C4733">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CF73533">
      <w:pPr>
        <w:widowControl/>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br w:type="page"/>
      </w:r>
    </w:p>
    <w:p w14:paraId="0F3F78A3">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r>
        <w:rPr>
          <w:rFonts w:hint="eastAsia" w:ascii="宋体" w:hAnsi="宋体" w:eastAsia="宋体" w:cs="宋体"/>
          <w:b/>
          <w:bCs/>
          <w:color w:val="auto"/>
          <w:kern w:val="0"/>
          <w:szCs w:val="21"/>
          <w:highlight w:val="none"/>
        </w:rPr>
        <w:t>附件</w:t>
      </w:r>
      <w:r>
        <w:rPr>
          <w:rFonts w:hint="eastAsia" w:ascii="宋体" w:hAnsi="宋体" w:eastAsia="宋体" w:cs="宋体"/>
          <w:b/>
          <w:bCs/>
          <w:color w:val="auto"/>
          <w:kern w:val="0"/>
          <w:szCs w:val="21"/>
          <w:highlight w:val="none"/>
          <w:lang w:val="en-US" w:eastAsia="zh-CN"/>
        </w:rPr>
        <w:t>四</w:t>
      </w:r>
      <w:r>
        <w:rPr>
          <w:rFonts w:hint="eastAsia" w:ascii="宋体" w:hAnsi="宋体" w:eastAsia="宋体" w:cs="宋体"/>
          <w:b/>
          <w:bCs/>
          <w:color w:val="auto"/>
          <w:kern w:val="0"/>
          <w:szCs w:val="21"/>
          <w:highlight w:val="none"/>
        </w:rPr>
        <w:t>、</w:t>
      </w:r>
      <w:r>
        <w:rPr>
          <w:rFonts w:hint="eastAsia" w:ascii="宋体" w:hAnsi="宋体" w:eastAsia="宋体" w:cs="宋体"/>
          <w:b/>
          <w:bCs/>
          <w:color w:val="auto"/>
          <w:kern w:val="0"/>
          <w:szCs w:val="21"/>
          <w:highlight w:val="none"/>
          <w:lang w:eastAsia="zh-CN"/>
        </w:rPr>
        <w:t>采购需求偏离表</w:t>
      </w:r>
      <w:r>
        <w:rPr>
          <w:rFonts w:hint="eastAsia" w:ascii="宋体" w:hAnsi="宋体" w:eastAsia="宋体" w:cs="宋体"/>
          <w:b/>
          <w:bCs/>
          <w:color w:val="auto"/>
          <w:kern w:val="0"/>
          <w:szCs w:val="21"/>
          <w:highlight w:val="none"/>
        </w:rPr>
        <w:t>格式</w:t>
      </w:r>
    </w:p>
    <w:p w14:paraId="08BC6D95">
      <w:pPr>
        <w:widowControl/>
        <w:shd w:val="clear" w:color="auto" w:fill="FFFFFF"/>
        <w:spacing w:line="360" w:lineRule="auto"/>
        <w:ind w:left="435"/>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 </w:t>
      </w:r>
    </w:p>
    <w:p w14:paraId="0F19903E">
      <w:pPr>
        <w:widowControl/>
        <w:shd w:val="clear" w:color="auto" w:fill="FFFFFF"/>
        <w:spacing w:line="360" w:lineRule="auto"/>
        <w:ind w:left="420"/>
        <w:jc w:val="center"/>
        <w:rPr>
          <w:rFonts w:hint="eastAsia" w:ascii="宋体" w:hAnsi="宋体" w:eastAsia="宋体" w:cs="宋体"/>
          <w:b/>
          <w:color w:val="auto"/>
          <w:kern w:val="0"/>
          <w:szCs w:val="21"/>
          <w:highlight w:val="none"/>
          <w:lang w:eastAsia="zh-CN"/>
        </w:rPr>
      </w:pPr>
      <w:r>
        <w:rPr>
          <w:rFonts w:hint="eastAsia" w:ascii="宋体" w:hAnsi="宋体" w:eastAsia="宋体" w:cs="宋体"/>
          <w:b/>
          <w:color w:val="auto"/>
          <w:kern w:val="0"/>
          <w:sz w:val="36"/>
          <w:szCs w:val="36"/>
          <w:highlight w:val="none"/>
          <w:lang w:eastAsia="zh-CN"/>
        </w:rPr>
        <w:t>采购需求偏离表</w:t>
      </w:r>
    </w:p>
    <w:p w14:paraId="35354F40">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A41F27E">
      <w:pPr>
        <w:widowControl/>
        <w:tabs>
          <w:tab w:val="left" w:pos="5397"/>
        </w:tabs>
        <w:spacing w:line="360" w:lineRule="auto"/>
        <w:ind w:firstLine="84" w:firstLineChars="4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项目编号：  </w:t>
      </w:r>
    </w:p>
    <w:tbl>
      <w:tblPr>
        <w:tblStyle w:val="45"/>
        <w:tblW w:w="8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2"/>
        <w:gridCol w:w="1678"/>
        <w:gridCol w:w="1931"/>
        <w:gridCol w:w="3012"/>
        <w:gridCol w:w="1246"/>
      </w:tblGrid>
      <w:tr w14:paraId="6FE4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1F3A5B64">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678" w:type="dxa"/>
            <w:tcMar>
              <w:top w:w="0" w:type="dxa"/>
              <w:left w:w="10" w:type="dxa"/>
              <w:bottom w:w="0" w:type="dxa"/>
              <w:right w:w="10" w:type="dxa"/>
            </w:tcMar>
            <w:vAlign w:val="center"/>
          </w:tcPr>
          <w:p w14:paraId="6AA42163">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招标文件条目号</w:t>
            </w:r>
          </w:p>
        </w:tc>
        <w:tc>
          <w:tcPr>
            <w:tcW w:w="1931" w:type="dxa"/>
            <w:tcMar>
              <w:top w:w="0" w:type="dxa"/>
              <w:left w:w="10" w:type="dxa"/>
              <w:bottom w:w="0" w:type="dxa"/>
              <w:right w:w="10" w:type="dxa"/>
            </w:tcMar>
            <w:vAlign w:val="center"/>
          </w:tcPr>
          <w:p w14:paraId="0788218E">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val="en-US" w:eastAsia="zh-CN"/>
              </w:rPr>
              <w:t>条款内容</w:t>
            </w:r>
          </w:p>
        </w:tc>
        <w:tc>
          <w:tcPr>
            <w:tcW w:w="3012" w:type="dxa"/>
            <w:tcMar>
              <w:top w:w="0" w:type="dxa"/>
              <w:left w:w="10" w:type="dxa"/>
              <w:bottom w:w="0" w:type="dxa"/>
              <w:right w:w="10" w:type="dxa"/>
            </w:tcMar>
            <w:vAlign w:val="center"/>
          </w:tcPr>
          <w:p w14:paraId="7CF97F1F">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投标响应</w:t>
            </w:r>
          </w:p>
        </w:tc>
        <w:tc>
          <w:tcPr>
            <w:tcW w:w="1246" w:type="dxa"/>
            <w:tcMar>
              <w:top w:w="0" w:type="dxa"/>
              <w:left w:w="10" w:type="dxa"/>
              <w:bottom w:w="0" w:type="dxa"/>
              <w:right w:w="10" w:type="dxa"/>
            </w:tcMar>
            <w:vAlign w:val="center"/>
          </w:tcPr>
          <w:p w14:paraId="4BD4F555">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偏离</w:t>
            </w:r>
          </w:p>
        </w:tc>
      </w:tr>
      <w:tr w14:paraId="05F4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3653663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tcMar>
              <w:top w:w="0" w:type="dxa"/>
              <w:left w:w="10" w:type="dxa"/>
              <w:bottom w:w="0" w:type="dxa"/>
              <w:right w:w="10" w:type="dxa"/>
            </w:tcMar>
            <w:vAlign w:val="center"/>
          </w:tcPr>
          <w:p w14:paraId="21DCCB5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tcMar>
              <w:top w:w="0" w:type="dxa"/>
              <w:left w:w="10" w:type="dxa"/>
              <w:bottom w:w="0" w:type="dxa"/>
              <w:right w:w="10" w:type="dxa"/>
            </w:tcMar>
            <w:vAlign w:val="center"/>
          </w:tcPr>
          <w:p w14:paraId="63EFB0ED">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tcMar>
              <w:top w:w="0" w:type="dxa"/>
              <w:left w:w="10" w:type="dxa"/>
              <w:bottom w:w="0" w:type="dxa"/>
              <w:right w:w="10" w:type="dxa"/>
            </w:tcMar>
            <w:vAlign w:val="center"/>
          </w:tcPr>
          <w:p w14:paraId="1B9D404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tcMar>
              <w:top w:w="0" w:type="dxa"/>
              <w:left w:w="10" w:type="dxa"/>
              <w:bottom w:w="0" w:type="dxa"/>
              <w:right w:w="10" w:type="dxa"/>
            </w:tcMar>
            <w:vAlign w:val="center"/>
          </w:tcPr>
          <w:p w14:paraId="14034D0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89F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0EC62AF2">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tcMar>
              <w:top w:w="0" w:type="dxa"/>
              <w:left w:w="10" w:type="dxa"/>
              <w:bottom w:w="0" w:type="dxa"/>
              <w:right w:w="10" w:type="dxa"/>
            </w:tcMar>
            <w:vAlign w:val="center"/>
          </w:tcPr>
          <w:p w14:paraId="0763C15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tcMar>
              <w:top w:w="0" w:type="dxa"/>
              <w:left w:w="10" w:type="dxa"/>
              <w:bottom w:w="0" w:type="dxa"/>
              <w:right w:w="10" w:type="dxa"/>
            </w:tcMar>
            <w:vAlign w:val="center"/>
          </w:tcPr>
          <w:p w14:paraId="41F0E856">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tcMar>
              <w:top w:w="0" w:type="dxa"/>
              <w:left w:w="10" w:type="dxa"/>
              <w:bottom w:w="0" w:type="dxa"/>
              <w:right w:w="10" w:type="dxa"/>
            </w:tcMar>
            <w:vAlign w:val="center"/>
          </w:tcPr>
          <w:p w14:paraId="449FB462">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tcMar>
              <w:top w:w="0" w:type="dxa"/>
              <w:left w:w="10" w:type="dxa"/>
              <w:bottom w:w="0" w:type="dxa"/>
              <w:right w:w="10" w:type="dxa"/>
            </w:tcMar>
            <w:vAlign w:val="center"/>
          </w:tcPr>
          <w:p w14:paraId="03A220F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23B7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551B5993">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tcMar>
              <w:top w:w="0" w:type="dxa"/>
              <w:left w:w="10" w:type="dxa"/>
              <w:bottom w:w="0" w:type="dxa"/>
              <w:right w:w="10" w:type="dxa"/>
            </w:tcMar>
            <w:vAlign w:val="center"/>
          </w:tcPr>
          <w:p w14:paraId="778CF67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tcMar>
              <w:top w:w="0" w:type="dxa"/>
              <w:left w:w="10" w:type="dxa"/>
              <w:bottom w:w="0" w:type="dxa"/>
              <w:right w:w="10" w:type="dxa"/>
            </w:tcMar>
            <w:vAlign w:val="center"/>
          </w:tcPr>
          <w:p w14:paraId="6DDE049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tcMar>
              <w:top w:w="0" w:type="dxa"/>
              <w:left w:w="10" w:type="dxa"/>
              <w:bottom w:w="0" w:type="dxa"/>
              <w:right w:w="10" w:type="dxa"/>
            </w:tcMar>
            <w:vAlign w:val="center"/>
          </w:tcPr>
          <w:p w14:paraId="1D64CEDD">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tcMar>
              <w:top w:w="0" w:type="dxa"/>
              <w:left w:w="10" w:type="dxa"/>
              <w:bottom w:w="0" w:type="dxa"/>
              <w:right w:w="10" w:type="dxa"/>
            </w:tcMar>
            <w:vAlign w:val="center"/>
          </w:tcPr>
          <w:p w14:paraId="619B4645">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0ED7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10AD4A23">
            <w:pPr>
              <w:widowControl/>
              <w:spacing w:line="360" w:lineRule="auto"/>
              <w:jc w:val="center"/>
              <w:rPr>
                <w:rFonts w:hint="eastAsia" w:ascii="宋体" w:hAnsi="宋体" w:eastAsia="宋体" w:cs="宋体"/>
                <w:color w:val="auto"/>
                <w:kern w:val="0"/>
                <w:szCs w:val="21"/>
                <w:highlight w:val="none"/>
              </w:rPr>
            </w:pPr>
          </w:p>
        </w:tc>
        <w:tc>
          <w:tcPr>
            <w:tcW w:w="1678" w:type="dxa"/>
            <w:tcMar>
              <w:top w:w="0" w:type="dxa"/>
              <w:left w:w="10" w:type="dxa"/>
              <w:bottom w:w="0" w:type="dxa"/>
              <w:right w:w="10" w:type="dxa"/>
            </w:tcMar>
            <w:vAlign w:val="center"/>
          </w:tcPr>
          <w:p w14:paraId="559DF7F5">
            <w:pPr>
              <w:widowControl/>
              <w:spacing w:line="360" w:lineRule="auto"/>
              <w:jc w:val="center"/>
              <w:rPr>
                <w:rFonts w:hint="eastAsia" w:ascii="宋体" w:hAnsi="宋体" w:eastAsia="宋体" w:cs="宋体"/>
                <w:color w:val="auto"/>
                <w:kern w:val="0"/>
                <w:szCs w:val="21"/>
                <w:highlight w:val="none"/>
              </w:rPr>
            </w:pPr>
          </w:p>
        </w:tc>
        <w:tc>
          <w:tcPr>
            <w:tcW w:w="1931" w:type="dxa"/>
            <w:tcMar>
              <w:top w:w="0" w:type="dxa"/>
              <w:left w:w="10" w:type="dxa"/>
              <w:bottom w:w="0" w:type="dxa"/>
              <w:right w:w="10" w:type="dxa"/>
            </w:tcMar>
            <w:vAlign w:val="center"/>
          </w:tcPr>
          <w:p w14:paraId="757CBDB9">
            <w:pPr>
              <w:widowControl/>
              <w:spacing w:line="360" w:lineRule="auto"/>
              <w:jc w:val="center"/>
              <w:rPr>
                <w:rFonts w:hint="eastAsia" w:ascii="宋体" w:hAnsi="宋体" w:eastAsia="宋体" w:cs="宋体"/>
                <w:color w:val="auto"/>
                <w:kern w:val="0"/>
                <w:szCs w:val="21"/>
                <w:highlight w:val="none"/>
              </w:rPr>
            </w:pPr>
          </w:p>
        </w:tc>
        <w:tc>
          <w:tcPr>
            <w:tcW w:w="3012" w:type="dxa"/>
            <w:tcMar>
              <w:top w:w="0" w:type="dxa"/>
              <w:left w:w="10" w:type="dxa"/>
              <w:bottom w:w="0" w:type="dxa"/>
              <w:right w:w="10" w:type="dxa"/>
            </w:tcMar>
            <w:vAlign w:val="center"/>
          </w:tcPr>
          <w:p w14:paraId="55532B1C">
            <w:pPr>
              <w:widowControl/>
              <w:spacing w:line="360" w:lineRule="auto"/>
              <w:jc w:val="center"/>
              <w:rPr>
                <w:rFonts w:hint="eastAsia" w:ascii="宋体" w:hAnsi="宋体" w:eastAsia="宋体" w:cs="宋体"/>
                <w:color w:val="auto"/>
                <w:kern w:val="0"/>
                <w:szCs w:val="21"/>
                <w:highlight w:val="none"/>
              </w:rPr>
            </w:pPr>
          </w:p>
        </w:tc>
        <w:tc>
          <w:tcPr>
            <w:tcW w:w="1246" w:type="dxa"/>
            <w:tcMar>
              <w:top w:w="0" w:type="dxa"/>
              <w:left w:w="10" w:type="dxa"/>
              <w:bottom w:w="0" w:type="dxa"/>
              <w:right w:w="10" w:type="dxa"/>
            </w:tcMar>
            <w:vAlign w:val="center"/>
          </w:tcPr>
          <w:p w14:paraId="11878D51">
            <w:pPr>
              <w:widowControl/>
              <w:spacing w:line="360" w:lineRule="auto"/>
              <w:jc w:val="center"/>
              <w:rPr>
                <w:rFonts w:hint="eastAsia" w:ascii="宋体" w:hAnsi="宋体" w:eastAsia="宋体" w:cs="宋体"/>
                <w:color w:val="auto"/>
                <w:kern w:val="0"/>
                <w:szCs w:val="21"/>
                <w:highlight w:val="none"/>
              </w:rPr>
            </w:pPr>
          </w:p>
        </w:tc>
      </w:tr>
      <w:tr w14:paraId="6158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560A6634">
            <w:pPr>
              <w:widowControl/>
              <w:spacing w:line="360" w:lineRule="auto"/>
              <w:jc w:val="center"/>
              <w:rPr>
                <w:rFonts w:hint="eastAsia" w:ascii="宋体" w:hAnsi="宋体" w:eastAsia="宋体" w:cs="宋体"/>
                <w:color w:val="auto"/>
                <w:kern w:val="0"/>
                <w:szCs w:val="21"/>
                <w:highlight w:val="none"/>
              </w:rPr>
            </w:pPr>
          </w:p>
        </w:tc>
        <w:tc>
          <w:tcPr>
            <w:tcW w:w="1678" w:type="dxa"/>
            <w:tcMar>
              <w:top w:w="0" w:type="dxa"/>
              <w:left w:w="10" w:type="dxa"/>
              <w:bottom w:w="0" w:type="dxa"/>
              <w:right w:w="10" w:type="dxa"/>
            </w:tcMar>
            <w:vAlign w:val="center"/>
          </w:tcPr>
          <w:p w14:paraId="54677CC3">
            <w:pPr>
              <w:widowControl/>
              <w:spacing w:line="360" w:lineRule="auto"/>
              <w:jc w:val="center"/>
              <w:rPr>
                <w:rFonts w:hint="eastAsia" w:ascii="宋体" w:hAnsi="宋体" w:eastAsia="宋体" w:cs="宋体"/>
                <w:color w:val="auto"/>
                <w:kern w:val="0"/>
                <w:szCs w:val="21"/>
                <w:highlight w:val="none"/>
              </w:rPr>
            </w:pPr>
          </w:p>
        </w:tc>
        <w:tc>
          <w:tcPr>
            <w:tcW w:w="1931" w:type="dxa"/>
            <w:tcMar>
              <w:top w:w="0" w:type="dxa"/>
              <w:left w:w="10" w:type="dxa"/>
              <w:bottom w:w="0" w:type="dxa"/>
              <w:right w:w="10" w:type="dxa"/>
            </w:tcMar>
            <w:vAlign w:val="center"/>
          </w:tcPr>
          <w:p w14:paraId="2EA32DB0">
            <w:pPr>
              <w:widowControl/>
              <w:spacing w:line="360" w:lineRule="auto"/>
              <w:jc w:val="center"/>
              <w:rPr>
                <w:rFonts w:hint="eastAsia" w:ascii="宋体" w:hAnsi="宋体" w:eastAsia="宋体" w:cs="宋体"/>
                <w:color w:val="auto"/>
                <w:kern w:val="0"/>
                <w:szCs w:val="21"/>
                <w:highlight w:val="none"/>
              </w:rPr>
            </w:pPr>
          </w:p>
        </w:tc>
        <w:tc>
          <w:tcPr>
            <w:tcW w:w="3012" w:type="dxa"/>
            <w:tcMar>
              <w:top w:w="0" w:type="dxa"/>
              <w:left w:w="10" w:type="dxa"/>
              <w:bottom w:w="0" w:type="dxa"/>
              <w:right w:w="10" w:type="dxa"/>
            </w:tcMar>
            <w:vAlign w:val="center"/>
          </w:tcPr>
          <w:p w14:paraId="26CFC6D8">
            <w:pPr>
              <w:widowControl/>
              <w:spacing w:line="360" w:lineRule="auto"/>
              <w:jc w:val="center"/>
              <w:rPr>
                <w:rFonts w:hint="eastAsia" w:ascii="宋体" w:hAnsi="宋体" w:eastAsia="宋体" w:cs="宋体"/>
                <w:color w:val="auto"/>
                <w:kern w:val="0"/>
                <w:szCs w:val="21"/>
                <w:highlight w:val="none"/>
              </w:rPr>
            </w:pPr>
          </w:p>
        </w:tc>
        <w:tc>
          <w:tcPr>
            <w:tcW w:w="1246" w:type="dxa"/>
            <w:tcMar>
              <w:top w:w="0" w:type="dxa"/>
              <w:left w:w="10" w:type="dxa"/>
              <w:bottom w:w="0" w:type="dxa"/>
              <w:right w:w="10" w:type="dxa"/>
            </w:tcMar>
            <w:vAlign w:val="center"/>
          </w:tcPr>
          <w:p w14:paraId="467F3680">
            <w:pPr>
              <w:widowControl/>
              <w:spacing w:line="360" w:lineRule="auto"/>
              <w:jc w:val="center"/>
              <w:rPr>
                <w:rFonts w:hint="eastAsia" w:ascii="宋体" w:hAnsi="宋体" w:eastAsia="宋体" w:cs="宋体"/>
                <w:color w:val="auto"/>
                <w:kern w:val="0"/>
                <w:szCs w:val="21"/>
                <w:highlight w:val="none"/>
              </w:rPr>
            </w:pPr>
          </w:p>
        </w:tc>
      </w:tr>
      <w:tr w14:paraId="2C45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4966772A">
            <w:pPr>
              <w:widowControl/>
              <w:spacing w:line="360" w:lineRule="auto"/>
              <w:jc w:val="center"/>
              <w:rPr>
                <w:rFonts w:hint="eastAsia" w:ascii="宋体" w:hAnsi="宋体" w:eastAsia="宋体" w:cs="宋体"/>
                <w:color w:val="auto"/>
                <w:kern w:val="0"/>
                <w:szCs w:val="21"/>
                <w:highlight w:val="none"/>
              </w:rPr>
            </w:pPr>
          </w:p>
        </w:tc>
        <w:tc>
          <w:tcPr>
            <w:tcW w:w="1678" w:type="dxa"/>
            <w:tcMar>
              <w:top w:w="0" w:type="dxa"/>
              <w:left w:w="10" w:type="dxa"/>
              <w:bottom w:w="0" w:type="dxa"/>
              <w:right w:w="10" w:type="dxa"/>
            </w:tcMar>
            <w:vAlign w:val="center"/>
          </w:tcPr>
          <w:p w14:paraId="551898EF">
            <w:pPr>
              <w:widowControl/>
              <w:spacing w:line="360" w:lineRule="auto"/>
              <w:jc w:val="center"/>
              <w:rPr>
                <w:rFonts w:hint="eastAsia" w:ascii="宋体" w:hAnsi="宋体" w:eastAsia="宋体" w:cs="宋体"/>
                <w:color w:val="auto"/>
                <w:kern w:val="0"/>
                <w:szCs w:val="21"/>
                <w:highlight w:val="none"/>
              </w:rPr>
            </w:pPr>
          </w:p>
        </w:tc>
        <w:tc>
          <w:tcPr>
            <w:tcW w:w="1931" w:type="dxa"/>
            <w:tcMar>
              <w:top w:w="0" w:type="dxa"/>
              <w:left w:w="10" w:type="dxa"/>
              <w:bottom w:w="0" w:type="dxa"/>
              <w:right w:w="10" w:type="dxa"/>
            </w:tcMar>
            <w:vAlign w:val="center"/>
          </w:tcPr>
          <w:p w14:paraId="782FD363">
            <w:pPr>
              <w:widowControl/>
              <w:spacing w:line="360" w:lineRule="auto"/>
              <w:jc w:val="center"/>
              <w:rPr>
                <w:rFonts w:hint="eastAsia" w:ascii="宋体" w:hAnsi="宋体" w:eastAsia="宋体" w:cs="宋体"/>
                <w:color w:val="auto"/>
                <w:kern w:val="0"/>
                <w:szCs w:val="21"/>
                <w:highlight w:val="none"/>
              </w:rPr>
            </w:pPr>
          </w:p>
        </w:tc>
        <w:tc>
          <w:tcPr>
            <w:tcW w:w="3012" w:type="dxa"/>
            <w:tcMar>
              <w:top w:w="0" w:type="dxa"/>
              <w:left w:w="10" w:type="dxa"/>
              <w:bottom w:w="0" w:type="dxa"/>
              <w:right w:w="10" w:type="dxa"/>
            </w:tcMar>
            <w:vAlign w:val="center"/>
          </w:tcPr>
          <w:p w14:paraId="47F7551B">
            <w:pPr>
              <w:widowControl/>
              <w:spacing w:line="360" w:lineRule="auto"/>
              <w:jc w:val="center"/>
              <w:rPr>
                <w:rFonts w:hint="eastAsia" w:ascii="宋体" w:hAnsi="宋体" w:eastAsia="宋体" w:cs="宋体"/>
                <w:color w:val="auto"/>
                <w:kern w:val="0"/>
                <w:szCs w:val="21"/>
                <w:highlight w:val="none"/>
              </w:rPr>
            </w:pPr>
          </w:p>
        </w:tc>
        <w:tc>
          <w:tcPr>
            <w:tcW w:w="1246" w:type="dxa"/>
            <w:tcMar>
              <w:top w:w="0" w:type="dxa"/>
              <w:left w:w="10" w:type="dxa"/>
              <w:bottom w:w="0" w:type="dxa"/>
              <w:right w:w="10" w:type="dxa"/>
            </w:tcMar>
            <w:vAlign w:val="center"/>
          </w:tcPr>
          <w:p w14:paraId="4C5C9246">
            <w:pPr>
              <w:widowControl/>
              <w:spacing w:line="360" w:lineRule="auto"/>
              <w:jc w:val="center"/>
              <w:rPr>
                <w:rFonts w:hint="eastAsia" w:ascii="宋体" w:hAnsi="宋体" w:eastAsia="宋体" w:cs="宋体"/>
                <w:color w:val="auto"/>
                <w:kern w:val="0"/>
                <w:szCs w:val="21"/>
                <w:highlight w:val="none"/>
              </w:rPr>
            </w:pPr>
          </w:p>
        </w:tc>
      </w:tr>
    </w:tbl>
    <w:p w14:paraId="45330CA4">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w:t>
      </w:r>
      <w:r>
        <w:rPr>
          <w:rFonts w:hint="eastAsia" w:ascii="宋体" w:hAnsi="宋体" w:eastAsia="宋体" w:cs="宋体"/>
          <w:color w:val="auto"/>
          <w:kern w:val="0"/>
          <w:szCs w:val="21"/>
          <w:highlight w:val="none"/>
          <w:lang w:val="en-US" w:eastAsia="zh-CN"/>
        </w:rPr>
        <w:t>投标文件采购需求部分内容响应存在正偏离或负偏离的，请在本表中逐条列出。未列出的，视为响应招标文件要求。</w:t>
      </w:r>
      <w:r>
        <w:rPr>
          <w:rFonts w:hint="eastAsia" w:ascii="宋体" w:hAnsi="宋体" w:eastAsia="宋体" w:cs="宋体"/>
          <w:color w:val="auto"/>
          <w:kern w:val="0"/>
          <w:szCs w:val="21"/>
          <w:highlight w:val="none"/>
        </w:rPr>
        <w:t>如果行数不够，请自行增加。</w:t>
      </w:r>
    </w:p>
    <w:p w14:paraId="4CAA8100">
      <w:pPr>
        <w:widowControl/>
        <w:shd w:val="clear" w:color="auto" w:fill="FFFFFF"/>
        <w:spacing w:line="360" w:lineRule="auto"/>
        <w:jc w:val="left"/>
        <w:rPr>
          <w:rFonts w:hint="eastAsia" w:ascii="宋体" w:hAnsi="宋体" w:eastAsia="宋体" w:cs="宋体"/>
          <w:color w:val="auto"/>
          <w:kern w:val="0"/>
          <w:szCs w:val="21"/>
          <w:highlight w:val="none"/>
        </w:rPr>
      </w:pPr>
    </w:p>
    <w:p w14:paraId="0FF7B4E1">
      <w:pPr>
        <w:widowControl/>
        <w:shd w:val="clear" w:color="auto" w:fill="FFFFFF"/>
        <w:spacing w:line="360" w:lineRule="auto"/>
        <w:jc w:val="left"/>
        <w:rPr>
          <w:rFonts w:hint="eastAsia" w:ascii="宋体" w:hAnsi="宋体" w:eastAsia="宋体" w:cs="宋体"/>
          <w:color w:val="auto"/>
          <w:kern w:val="0"/>
          <w:szCs w:val="21"/>
          <w:highlight w:val="none"/>
        </w:rPr>
      </w:pPr>
    </w:p>
    <w:p w14:paraId="4A46BDDF">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568C23F1">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3E074F13">
      <w:pPr>
        <w:widowControl/>
        <w:shd w:val="clear" w:color="auto" w:fill="FFFFFF"/>
        <w:spacing w:line="360" w:lineRule="auto"/>
        <w:jc w:val="left"/>
        <w:rPr>
          <w:rFonts w:hint="eastAsia" w:ascii="宋体" w:hAnsi="宋体" w:eastAsia="宋体" w:cs="宋体"/>
          <w:color w:val="auto"/>
          <w:kern w:val="0"/>
          <w:szCs w:val="21"/>
          <w:highlight w:val="none"/>
        </w:rPr>
      </w:pPr>
    </w:p>
    <w:p w14:paraId="12855096">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68DB3822">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478506C">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4DABAA79">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FD11895">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8AED5E0">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4F3BBF3">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w:t>
      </w:r>
      <w:r>
        <w:rPr>
          <w:rFonts w:hint="eastAsia" w:ascii="宋体" w:hAnsi="宋体" w:eastAsia="宋体" w:cs="宋体"/>
          <w:b/>
          <w:bCs/>
          <w:color w:val="auto"/>
          <w:kern w:val="0"/>
          <w:szCs w:val="21"/>
          <w:highlight w:val="none"/>
          <w:lang w:val="en-US" w:eastAsia="zh-CN"/>
        </w:rPr>
        <w:t>五</w:t>
      </w:r>
      <w:r>
        <w:rPr>
          <w:rFonts w:hint="eastAsia" w:ascii="宋体" w:hAnsi="宋体" w:eastAsia="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商务</w:t>
      </w:r>
      <w:r>
        <w:rPr>
          <w:rFonts w:hint="eastAsia" w:ascii="宋体" w:hAnsi="宋体" w:eastAsia="宋体" w:cs="宋体"/>
          <w:b/>
          <w:bCs/>
          <w:color w:val="auto"/>
          <w:kern w:val="0"/>
          <w:szCs w:val="21"/>
          <w:highlight w:val="none"/>
        </w:rPr>
        <w:t>条款偏离表格式</w:t>
      </w:r>
    </w:p>
    <w:p w14:paraId="20ABB91A">
      <w:pPr>
        <w:widowControl/>
        <w:shd w:val="clear" w:color="auto" w:fill="FFFFFF"/>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7A6F6BD0">
      <w:pPr>
        <w:widowControl/>
        <w:shd w:val="clear" w:color="auto" w:fill="FFFFFF"/>
        <w:spacing w:line="360" w:lineRule="auto"/>
        <w:ind w:left="420"/>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lang w:val="en-US" w:eastAsia="zh-CN"/>
        </w:rPr>
        <w:t>商务</w:t>
      </w:r>
      <w:r>
        <w:rPr>
          <w:rFonts w:hint="eastAsia" w:ascii="宋体" w:hAnsi="宋体" w:eastAsia="宋体" w:cs="宋体"/>
          <w:b/>
          <w:color w:val="auto"/>
          <w:kern w:val="0"/>
          <w:sz w:val="36"/>
          <w:szCs w:val="36"/>
          <w:highlight w:val="none"/>
        </w:rPr>
        <w:t>条款偏离表</w:t>
      </w:r>
    </w:p>
    <w:p w14:paraId="29E33FFE">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 </w:t>
      </w:r>
    </w:p>
    <w:p w14:paraId="05AEEFA5">
      <w:pPr>
        <w:widowControl/>
        <w:tabs>
          <w:tab w:val="left" w:pos="5366"/>
        </w:tabs>
        <w:spacing w:line="360" w:lineRule="auto"/>
        <w:ind w:firstLine="96" w:firstLineChars="46"/>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项目编号：         </w:t>
      </w:r>
    </w:p>
    <w:tbl>
      <w:tblPr>
        <w:tblStyle w:val="45"/>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0"/>
        <w:gridCol w:w="1679"/>
        <w:gridCol w:w="2488"/>
        <w:gridCol w:w="3004"/>
        <w:gridCol w:w="1201"/>
      </w:tblGrid>
      <w:tr w14:paraId="2877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410AC9B3">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679" w:type="dxa"/>
            <w:tcMar>
              <w:top w:w="0" w:type="dxa"/>
              <w:left w:w="10" w:type="dxa"/>
              <w:bottom w:w="0" w:type="dxa"/>
              <w:right w:w="10" w:type="dxa"/>
            </w:tcMar>
            <w:vAlign w:val="center"/>
          </w:tcPr>
          <w:p w14:paraId="3A3288FC">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招标文件条目号</w:t>
            </w:r>
          </w:p>
        </w:tc>
        <w:tc>
          <w:tcPr>
            <w:tcW w:w="2488" w:type="dxa"/>
            <w:tcMar>
              <w:top w:w="0" w:type="dxa"/>
              <w:left w:w="10" w:type="dxa"/>
              <w:bottom w:w="0" w:type="dxa"/>
              <w:right w:w="10" w:type="dxa"/>
            </w:tcMar>
            <w:vAlign w:val="center"/>
          </w:tcPr>
          <w:p w14:paraId="1ED50ED8">
            <w:pPr>
              <w:widowControl/>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eastAsia="宋体" w:cs="宋体"/>
                <w:b/>
                <w:color w:val="auto"/>
                <w:kern w:val="0"/>
                <w:szCs w:val="21"/>
                <w:highlight w:val="none"/>
                <w:lang w:val="en-US" w:eastAsia="zh-CN"/>
              </w:rPr>
              <w:t>条款内容</w:t>
            </w:r>
          </w:p>
        </w:tc>
        <w:tc>
          <w:tcPr>
            <w:tcW w:w="3004" w:type="dxa"/>
            <w:tcMar>
              <w:top w:w="0" w:type="dxa"/>
              <w:left w:w="10" w:type="dxa"/>
              <w:bottom w:w="0" w:type="dxa"/>
              <w:right w:w="10" w:type="dxa"/>
            </w:tcMar>
            <w:vAlign w:val="center"/>
          </w:tcPr>
          <w:p w14:paraId="1A045ABF">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投标响应</w:t>
            </w:r>
          </w:p>
        </w:tc>
        <w:tc>
          <w:tcPr>
            <w:tcW w:w="1201" w:type="dxa"/>
            <w:tcMar>
              <w:top w:w="0" w:type="dxa"/>
              <w:left w:w="10" w:type="dxa"/>
              <w:bottom w:w="0" w:type="dxa"/>
              <w:right w:w="10" w:type="dxa"/>
            </w:tcMar>
            <w:vAlign w:val="center"/>
          </w:tcPr>
          <w:p w14:paraId="11E930BD">
            <w:pPr>
              <w:widowControl/>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偏离</w:t>
            </w:r>
          </w:p>
        </w:tc>
      </w:tr>
      <w:tr w14:paraId="3A7F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71835E0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tcMar>
              <w:top w:w="0" w:type="dxa"/>
              <w:left w:w="10" w:type="dxa"/>
              <w:bottom w:w="0" w:type="dxa"/>
              <w:right w:w="10" w:type="dxa"/>
            </w:tcMar>
            <w:vAlign w:val="center"/>
          </w:tcPr>
          <w:p w14:paraId="6DDC9DD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tcMar>
              <w:top w:w="0" w:type="dxa"/>
              <w:left w:w="10" w:type="dxa"/>
              <w:bottom w:w="0" w:type="dxa"/>
              <w:right w:w="10" w:type="dxa"/>
            </w:tcMar>
            <w:vAlign w:val="center"/>
          </w:tcPr>
          <w:p w14:paraId="44E3CFB1">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tcMar>
              <w:top w:w="0" w:type="dxa"/>
              <w:left w:w="10" w:type="dxa"/>
              <w:bottom w:w="0" w:type="dxa"/>
              <w:right w:w="10" w:type="dxa"/>
            </w:tcMar>
            <w:vAlign w:val="center"/>
          </w:tcPr>
          <w:p w14:paraId="1DBE4AE2">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tcMar>
              <w:top w:w="0" w:type="dxa"/>
              <w:left w:w="10" w:type="dxa"/>
              <w:bottom w:w="0" w:type="dxa"/>
              <w:right w:w="10" w:type="dxa"/>
            </w:tcMar>
            <w:vAlign w:val="center"/>
          </w:tcPr>
          <w:p w14:paraId="0F8312B6">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A6D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1A247CF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tcMar>
              <w:top w:w="0" w:type="dxa"/>
              <w:left w:w="10" w:type="dxa"/>
              <w:bottom w:w="0" w:type="dxa"/>
              <w:right w:w="10" w:type="dxa"/>
            </w:tcMar>
            <w:vAlign w:val="center"/>
          </w:tcPr>
          <w:p w14:paraId="13FE909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tcMar>
              <w:top w:w="0" w:type="dxa"/>
              <w:left w:w="10" w:type="dxa"/>
              <w:bottom w:w="0" w:type="dxa"/>
              <w:right w:w="10" w:type="dxa"/>
            </w:tcMar>
            <w:vAlign w:val="center"/>
          </w:tcPr>
          <w:p w14:paraId="250DF085">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tcMar>
              <w:top w:w="0" w:type="dxa"/>
              <w:left w:w="10" w:type="dxa"/>
              <w:bottom w:w="0" w:type="dxa"/>
              <w:right w:w="10" w:type="dxa"/>
            </w:tcMar>
            <w:vAlign w:val="center"/>
          </w:tcPr>
          <w:p w14:paraId="3657D9AA">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tcMar>
              <w:top w:w="0" w:type="dxa"/>
              <w:left w:w="10" w:type="dxa"/>
              <w:bottom w:w="0" w:type="dxa"/>
              <w:right w:w="10" w:type="dxa"/>
            </w:tcMar>
            <w:vAlign w:val="center"/>
          </w:tcPr>
          <w:p w14:paraId="63AB019D">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1DAE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51F6A38E">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tcMar>
              <w:top w:w="0" w:type="dxa"/>
              <w:left w:w="10" w:type="dxa"/>
              <w:bottom w:w="0" w:type="dxa"/>
              <w:right w:w="10" w:type="dxa"/>
            </w:tcMar>
            <w:vAlign w:val="center"/>
          </w:tcPr>
          <w:p w14:paraId="4CF1FD1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tcMar>
              <w:top w:w="0" w:type="dxa"/>
              <w:left w:w="10" w:type="dxa"/>
              <w:bottom w:w="0" w:type="dxa"/>
              <w:right w:w="10" w:type="dxa"/>
            </w:tcMar>
            <w:vAlign w:val="center"/>
          </w:tcPr>
          <w:p w14:paraId="22F9DEA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tcMar>
              <w:top w:w="0" w:type="dxa"/>
              <w:left w:w="10" w:type="dxa"/>
              <w:bottom w:w="0" w:type="dxa"/>
              <w:right w:w="10" w:type="dxa"/>
            </w:tcMar>
            <w:vAlign w:val="center"/>
          </w:tcPr>
          <w:p w14:paraId="4012A0F1">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tcMar>
              <w:top w:w="0" w:type="dxa"/>
              <w:left w:w="10" w:type="dxa"/>
              <w:bottom w:w="0" w:type="dxa"/>
              <w:right w:w="10" w:type="dxa"/>
            </w:tcMar>
            <w:vAlign w:val="center"/>
          </w:tcPr>
          <w:p w14:paraId="270C2900">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4943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4BD292EE">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tcMar>
              <w:top w:w="0" w:type="dxa"/>
              <w:left w:w="10" w:type="dxa"/>
              <w:bottom w:w="0" w:type="dxa"/>
              <w:right w:w="10" w:type="dxa"/>
            </w:tcMar>
            <w:vAlign w:val="center"/>
          </w:tcPr>
          <w:p w14:paraId="4D8B5EF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tcMar>
              <w:top w:w="0" w:type="dxa"/>
              <w:left w:w="10" w:type="dxa"/>
              <w:bottom w:w="0" w:type="dxa"/>
              <w:right w:w="10" w:type="dxa"/>
            </w:tcMar>
            <w:vAlign w:val="center"/>
          </w:tcPr>
          <w:p w14:paraId="074BDE2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tcMar>
              <w:top w:w="0" w:type="dxa"/>
              <w:left w:w="10" w:type="dxa"/>
              <w:bottom w:w="0" w:type="dxa"/>
              <w:right w:w="10" w:type="dxa"/>
            </w:tcMar>
            <w:vAlign w:val="center"/>
          </w:tcPr>
          <w:p w14:paraId="4735452C">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tcMar>
              <w:top w:w="0" w:type="dxa"/>
              <w:left w:w="10" w:type="dxa"/>
              <w:bottom w:w="0" w:type="dxa"/>
              <w:right w:w="10" w:type="dxa"/>
            </w:tcMar>
            <w:vAlign w:val="center"/>
          </w:tcPr>
          <w:p w14:paraId="59D1840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415E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182EFF7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tcMar>
              <w:top w:w="0" w:type="dxa"/>
              <w:left w:w="10" w:type="dxa"/>
              <w:bottom w:w="0" w:type="dxa"/>
              <w:right w:w="10" w:type="dxa"/>
            </w:tcMar>
            <w:vAlign w:val="center"/>
          </w:tcPr>
          <w:p w14:paraId="517B5C9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tcMar>
              <w:top w:w="0" w:type="dxa"/>
              <w:left w:w="10" w:type="dxa"/>
              <w:bottom w:w="0" w:type="dxa"/>
              <w:right w:w="10" w:type="dxa"/>
            </w:tcMar>
            <w:vAlign w:val="center"/>
          </w:tcPr>
          <w:p w14:paraId="5BC7559E">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tcMar>
              <w:top w:w="0" w:type="dxa"/>
              <w:left w:w="10" w:type="dxa"/>
              <w:bottom w:w="0" w:type="dxa"/>
              <w:right w:w="10" w:type="dxa"/>
            </w:tcMar>
            <w:vAlign w:val="center"/>
          </w:tcPr>
          <w:p w14:paraId="4A5CD882">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tcMar>
              <w:top w:w="0" w:type="dxa"/>
              <w:left w:w="10" w:type="dxa"/>
              <w:bottom w:w="0" w:type="dxa"/>
              <w:right w:w="10" w:type="dxa"/>
            </w:tcMar>
            <w:vAlign w:val="center"/>
          </w:tcPr>
          <w:p w14:paraId="2F33F514">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4F60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2E3257E3">
            <w:pPr>
              <w:widowControl/>
              <w:spacing w:line="360" w:lineRule="auto"/>
              <w:jc w:val="center"/>
              <w:rPr>
                <w:rFonts w:hint="eastAsia" w:ascii="宋体" w:hAnsi="宋体" w:eastAsia="宋体" w:cs="宋体"/>
                <w:color w:val="auto"/>
                <w:kern w:val="0"/>
                <w:szCs w:val="21"/>
                <w:highlight w:val="none"/>
              </w:rPr>
            </w:pPr>
          </w:p>
        </w:tc>
        <w:tc>
          <w:tcPr>
            <w:tcW w:w="1679" w:type="dxa"/>
            <w:tcMar>
              <w:top w:w="0" w:type="dxa"/>
              <w:left w:w="10" w:type="dxa"/>
              <w:bottom w:w="0" w:type="dxa"/>
              <w:right w:w="10" w:type="dxa"/>
            </w:tcMar>
            <w:vAlign w:val="center"/>
          </w:tcPr>
          <w:p w14:paraId="1C55E1DD">
            <w:pPr>
              <w:widowControl/>
              <w:spacing w:line="360" w:lineRule="auto"/>
              <w:jc w:val="center"/>
              <w:rPr>
                <w:rFonts w:hint="eastAsia" w:ascii="宋体" w:hAnsi="宋体" w:eastAsia="宋体" w:cs="宋体"/>
                <w:color w:val="auto"/>
                <w:kern w:val="0"/>
                <w:szCs w:val="21"/>
                <w:highlight w:val="none"/>
              </w:rPr>
            </w:pPr>
          </w:p>
        </w:tc>
        <w:tc>
          <w:tcPr>
            <w:tcW w:w="2488" w:type="dxa"/>
            <w:tcMar>
              <w:top w:w="0" w:type="dxa"/>
              <w:left w:w="10" w:type="dxa"/>
              <w:bottom w:w="0" w:type="dxa"/>
              <w:right w:w="10" w:type="dxa"/>
            </w:tcMar>
            <w:vAlign w:val="center"/>
          </w:tcPr>
          <w:p w14:paraId="00B07AF5">
            <w:pPr>
              <w:widowControl/>
              <w:spacing w:line="360" w:lineRule="auto"/>
              <w:jc w:val="center"/>
              <w:rPr>
                <w:rFonts w:hint="eastAsia" w:ascii="宋体" w:hAnsi="宋体" w:eastAsia="宋体" w:cs="宋体"/>
                <w:color w:val="auto"/>
                <w:kern w:val="0"/>
                <w:szCs w:val="21"/>
                <w:highlight w:val="none"/>
              </w:rPr>
            </w:pPr>
          </w:p>
        </w:tc>
        <w:tc>
          <w:tcPr>
            <w:tcW w:w="3004" w:type="dxa"/>
            <w:tcMar>
              <w:top w:w="0" w:type="dxa"/>
              <w:left w:w="10" w:type="dxa"/>
              <w:bottom w:w="0" w:type="dxa"/>
              <w:right w:w="10" w:type="dxa"/>
            </w:tcMar>
            <w:vAlign w:val="center"/>
          </w:tcPr>
          <w:p w14:paraId="0A79CB98">
            <w:pPr>
              <w:widowControl/>
              <w:spacing w:line="360" w:lineRule="auto"/>
              <w:jc w:val="center"/>
              <w:rPr>
                <w:rFonts w:hint="eastAsia" w:ascii="宋体" w:hAnsi="宋体" w:eastAsia="宋体" w:cs="宋体"/>
                <w:color w:val="auto"/>
                <w:kern w:val="0"/>
                <w:szCs w:val="21"/>
                <w:highlight w:val="none"/>
              </w:rPr>
            </w:pPr>
          </w:p>
        </w:tc>
        <w:tc>
          <w:tcPr>
            <w:tcW w:w="1201" w:type="dxa"/>
            <w:tcMar>
              <w:top w:w="0" w:type="dxa"/>
              <w:left w:w="10" w:type="dxa"/>
              <w:bottom w:w="0" w:type="dxa"/>
              <w:right w:w="10" w:type="dxa"/>
            </w:tcMar>
            <w:vAlign w:val="center"/>
          </w:tcPr>
          <w:p w14:paraId="199FA05D">
            <w:pPr>
              <w:widowControl/>
              <w:spacing w:line="360" w:lineRule="auto"/>
              <w:jc w:val="center"/>
              <w:rPr>
                <w:rFonts w:hint="eastAsia" w:ascii="宋体" w:hAnsi="宋体" w:eastAsia="宋体" w:cs="宋体"/>
                <w:color w:val="auto"/>
                <w:kern w:val="0"/>
                <w:szCs w:val="21"/>
                <w:highlight w:val="none"/>
              </w:rPr>
            </w:pPr>
          </w:p>
        </w:tc>
      </w:tr>
      <w:tr w14:paraId="6C2F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1A766D67">
            <w:pPr>
              <w:widowControl/>
              <w:spacing w:line="360" w:lineRule="auto"/>
              <w:jc w:val="center"/>
              <w:rPr>
                <w:rFonts w:hint="eastAsia" w:ascii="宋体" w:hAnsi="宋体" w:eastAsia="宋体" w:cs="宋体"/>
                <w:color w:val="auto"/>
                <w:kern w:val="0"/>
                <w:szCs w:val="21"/>
                <w:highlight w:val="none"/>
              </w:rPr>
            </w:pPr>
          </w:p>
        </w:tc>
        <w:tc>
          <w:tcPr>
            <w:tcW w:w="1679" w:type="dxa"/>
            <w:tcMar>
              <w:top w:w="0" w:type="dxa"/>
              <w:left w:w="10" w:type="dxa"/>
              <w:bottom w:w="0" w:type="dxa"/>
              <w:right w:w="10" w:type="dxa"/>
            </w:tcMar>
            <w:vAlign w:val="center"/>
          </w:tcPr>
          <w:p w14:paraId="17391E70">
            <w:pPr>
              <w:widowControl/>
              <w:spacing w:line="360" w:lineRule="auto"/>
              <w:jc w:val="center"/>
              <w:rPr>
                <w:rFonts w:hint="eastAsia" w:ascii="宋体" w:hAnsi="宋体" w:eastAsia="宋体" w:cs="宋体"/>
                <w:color w:val="auto"/>
                <w:kern w:val="0"/>
                <w:szCs w:val="21"/>
                <w:highlight w:val="none"/>
              </w:rPr>
            </w:pPr>
          </w:p>
        </w:tc>
        <w:tc>
          <w:tcPr>
            <w:tcW w:w="2488" w:type="dxa"/>
            <w:tcMar>
              <w:top w:w="0" w:type="dxa"/>
              <w:left w:w="10" w:type="dxa"/>
              <w:bottom w:w="0" w:type="dxa"/>
              <w:right w:w="10" w:type="dxa"/>
            </w:tcMar>
            <w:vAlign w:val="center"/>
          </w:tcPr>
          <w:p w14:paraId="052BC8B5">
            <w:pPr>
              <w:widowControl/>
              <w:spacing w:line="360" w:lineRule="auto"/>
              <w:jc w:val="center"/>
              <w:rPr>
                <w:rFonts w:hint="eastAsia" w:ascii="宋体" w:hAnsi="宋体" w:eastAsia="宋体" w:cs="宋体"/>
                <w:color w:val="auto"/>
                <w:kern w:val="0"/>
                <w:szCs w:val="21"/>
                <w:highlight w:val="none"/>
              </w:rPr>
            </w:pPr>
          </w:p>
        </w:tc>
        <w:tc>
          <w:tcPr>
            <w:tcW w:w="3004" w:type="dxa"/>
            <w:tcMar>
              <w:top w:w="0" w:type="dxa"/>
              <w:left w:w="10" w:type="dxa"/>
              <w:bottom w:w="0" w:type="dxa"/>
              <w:right w:w="10" w:type="dxa"/>
            </w:tcMar>
            <w:vAlign w:val="center"/>
          </w:tcPr>
          <w:p w14:paraId="1DDF0071">
            <w:pPr>
              <w:widowControl/>
              <w:spacing w:line="360" w:lineRule="auto"/>
              <w:jc w:val="center"/>
              <w:rPr>
                <w:rFonts w:hint="eastAsia" w:ascii="宋体" w:hAnsi="宋体" w:eastAsia="宋体" w:cs="宋体"/>
                <w:color w:val="auto"/>
                <w:kern w:val="0"/>
                <w:szCs w:val="21"/>
                <w:highlight w:val="none"/>
              </w:rPr>
            </w:pPr>
          </w:p>
        </w:tc>
        <w:tc>
          <w:tcPr>
            <w:tcW w:w="1201" w:type="dxa"/>
            <w:tcMar>
              <w:top w:w="0" w:type="dxa"/>
              <w:left w:w="10" w:type="dxa"/>
              <w:bottom w:w="0" w:type="dxa"/>
              <w:right w:w="10" w:type="dxa"/>
            </w:tcMar>
            <w:vAlign w:val="center"/>
          </w:tcPr>
          <w:p w14:paraId="7B642FB6">
            <w:pPr>
              <w:widowControl/>
              <w:spacing w:line="360" w:lineRule="auto"/>
              <w:jc w:val="center"/>
              <w:rPr>
                <w:rFonts w:hint="eastAsia" w:ascii="宋体" w:hAnsi="宋体" w:eastAsia="宋体" w:cs="宋体"/>
                <w:color w:val="auto"/>
                <w:kern w:val="0"/>
                <w:szCs w:val="21"/>
                <w:highlight w:val="none"/>
              </w:rPr>
            </w:pPr>
          </w:p>
        </w:tc>
      </w:tr>
    </w:tbl>
    <w:p w14:paraId="3982417C">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w:t>
      </w:r>
      <w:r>
        <w:rPr>
          <w:rFonts w:hint="eastAsia" w:ascii="宋体" w:hAnsi="宋体" w:eastAsia="宋体" w:cs="宋体"/>
          <w:color w:val="auto"/>
          <w:kern w:val="0"/>
          <w:szCs w:val="21"/>
          <w:highlight w:val="none"/>
          <w:lang w:val="en-US" w:eastAsia="zh-CN"/>
        </w:rPr>
        <w:t>投标文件商务部分内容响应存在正偏离或负偏离的，请在本表中逐条列出。未列出的，视为响应招标文件要求。</w:t>
      </w:r>
      <w:r>
        <w:rPr>
          <w:rFonts w:hint="eastAsia" w:ascii="宋体" w:hAnsi="宋体" w:eastAsia="宋体" w:cs="宋体"/>
          <w:color w:val="auto"/>
          <w:kern w:val="0"/>
          <w:szCs w:val="21"/>
          <w:highlight w:val="none"/>
        </w:rPr>
        <w:t>如果行数不够，请自行增加。</w:t>
      </w:r>
    </w:p>
    <w:p w14:paraId="104C98ED">
      <w:pPr>
        <w:widowControl/>
        <w:shd w:val="clear" w:color="auto" w:fill="FFFFFF"/>
        <w:spacing w:line="360" w:lineRule="auto"/>
        <w:jc w:val="left"/>
        <w:rPr>
          <w:rFonts w:hint="eastAsia" w:ascii="宋体" w:hAnsi="宋体" w:eastAsia="宋体" w:cs="宋体"/>
          <w:color w:val="auto"/>
          <w:kern w:val="0"/>
          <w:szCs w:val="21"/>
          <w:highlight w:val="none"/>
        </w:rPr>
      </w:pPr>
    </w:p>
    <w:p w14:paraId="0B74A415">
      <w:pPr>
        <w:widowControl/>
        <w:shd w:val="clear" w:color="auto" w:fill="FFFFFF"/>
        <w:spacing w:line="360" w:lineRule="auto"/>
        <w:jc w:val="left"/>
        <w:rPr>
          <w:rFonts w:hint="eastAsia" w:ascii="宋体" w:hAnsi="宋体" w:eastAsia="宋体" w:cs="宋体"/>
          <w:color w:val="auto"/>
          <w:kern w:val="0"/>
          <w:szCs w:val="21"/>
          <w:highlight w:val="none"/>
        </w:rPr>
      </w:pPr>
    </w:p>
    <w:p w14:paraId="753769E0">
      <w:pPr>
        <w:widowControl/>
        <w:shd w:val="clear" w:color="auto" w:fill="FFFFFF"/>
        <w:spacing w:line="360" w:lineRule="auto"/>
        <w:jc w:val="left"/>
        <w:rPr>
          <w:rFonts w:hint="eastAsia" w:ascii="宋体" w:hAnsi="宋体" w:eastAsia="宋体" w:cs="宋体"/>
          <w:color w:val="auto"/>
          <w:kern w:val="0"/>
          <w:szCs w:val="21"/>
          <w:highlight w:val="none"/>
        </w:rPr>
      </w:pPr>
    </w:p>
    <w:p w14:paraId="0B2FAD58">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7C4FC7FF">
      <w:pPr>
        <w:widowControl/>
        <w:shd w:val="clear" w:color="auto" w:fill="FFFFFF"/>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77919A7C">
      <w:pPr>
        <w:widowControl/>
        <w:shd w:val="clear" w:color="auto" w:fill="FFFFFF"/>
        <w:spacing w:line="360" w:lineRule="auto"/>
        <w:jc w:val="left"/>
        <w:rPr>
          <w:rFonts w:hint="eastAsia" w:ascii="宋体" w:hAnsi="宋体" w:eastAsia="宋体" w:cs="宋体"/>
          <w:color w:val="auto"/>
          <w:kern w:val="0"/>
          <w:szCs w:val="21"/>
          <w:highlight w:val="none"/>
        </w:rPr>
      </w:pPr>
    </w:p>
    <w:p w14:paraId="60CB16DD">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92473B9">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5CD7FA29">
      <w:pPr>
        <w:widowControl/>
        <w:shd w:val="clear" w:color="auto" w:fill="FFFFFF"/>
        <w:spacing w:line="360" w:lineRule="auto"/>
        <w:jc w:val="left"/>
        <w:rPr>
          <w:rFonts w:hint="eastAsia" w:ascii="宋体" w:hAnsi="宋体" w:eastAsia="宋体" w:cs="宋体"/>
          <w:color w:val="auto"/>
          <w:kern w:val="0"/>
          <w:szCs w:val="21"/>
          <w:highlight w:val="none"/>
        </w:rPr>
      </w:pPr>
    </w:p>
    <w:p w14:paraId="6EE3BE0F">
      <w:pPr>
        <w:widowControl/>
        <w:shd w:val="clear" w:color="auto" w:fill="FFFFFF"/>
        <w:spacing w:line="360" w:lineRule="auto"/>
        <w:jc w:val="left"/>
        <w:rPr>
          <w:rFonts w:hint="eastAsia" w:ascii="宋体" w:hAnsi="宋体" w:eastAsia="宋体" w:cs="宋体"/>
          <w:b/>
          <w:color w:val="auto"/>
          <w:szCs w:val="21"/>
          <w:highlight w:val="none"/>
          <w:lang w:val="zh-CN"/>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w:t>
      </w:r>
      <w:r>
        <w:rPr>
          <w:rFonts w:hint="eastAsia" w:ascii="宋体" w:hAnsi="宋体" w:eastAsia="宋体" w:cs="宋体"/>
          <w:b/>
          <w:bCs/>
          <w:color w:val="auto"/>
          <w:kern w:val="0"/>
          <w:szCs w:val="21"/>
          <w:highlight w:val="none"/>
          <w:lang w:val="en-US" w:eastAsia="zh-CN"/>
        </w:rPr>
        <w:t>六</w:t>
      </w:r>
      <w:r>
        <w:rPr>
          <w:rFonts w:hint="eastAsia" w:ascii="宋体" w:hAnsi="宋体" w:eastAsia="宋体" w:cs="宋体"/>
          <w:b/>
          <w:bCs/>
          <w:color w:val="auto"/>
          <w:kern w:val="0"/>
          <w:szCs w:val="21"/>
          <w:highlight w:val="none"/>
        </w:rPr>
        <w:t>、</w:t>
      </w:r>
      <w:r>
        <w:rPr>
          <w:rFonts w:hint="eastAsia" w:ascii="宋体" w:hAnsi="宋体" w:eastAsia="宋体" w:cs="宋体"/>
          <w:b/>
          <w:color w:val="auto"/>
          <w:szCs w:val="21"/>
          <w:highlight w:val="none"/>
          <w:lang w:val="zh-CN"/>
        </w:rPr>
        <w:t>技术说明与服务方案</w:t>
      </w:r>
    </w:p>
    <w:p w14:paraId="3C23BA4C">
      <w:pPr>
        <w:widowControl/>
        <w:shd w:val="clear" w:color="auto" w:fill="FFFFFF"/>
        <w:spacing w:line="360" w:lineRule="auto"/>
        <w:jc w:val="left"/>
        <w:rPr>
          <w:rFonts w:hint="eastAsia" w:ascii="宋体" w:hAnsi="宋体" w:eastAsia="宋体" w:cs="宋体"/>
          <w:b/>
          <w:color w:val="auto"/>
          <w:szCs w:val="21"/>
          <w:highlight w:val="none"/>
          <w:lang w:val="zh-CN"/>
        </w:rPr>
      </w:pPr>
    </w:p>
    <w:p w14:paraId="5E4E6374">
      <w:pPr>
        <w:pStyle w:val="183"/>
        <w:snapToGrid w:val="0"/>
        <w:spacing w:before="0" w:after="0"/>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技术方案及服务承诺应根据</w:t>
      </w:r>
      <w:r>
        <w:rPr>
          <w:rFonts w:hint="eastAsia" w:ascii="宋体" w:hAnsi="宋体" w:eastAsia="宋体" w:cs="宋体"/>
          <w:color w:val="auto"/>
          <w:kern w:val="2"/>
          <w:sz w:val="21"/>
          <w:szCs w:val="21"/>
          <w:highlight w:val="none"/>
          <w:lang w:eastAsia="zh-CN"/>
        </w:rPr>
        <w:t>采购人</w:t>
      </w:r>
      <w:r>
        <w:rPr>
          <w:rFonts w:hint="eastAsia" w:ascii="宋体" w:hAnsi="宋体" w:eastAsia="宋体" w:cs="宋体"/>
          <w:color w:val="auto"/>
          <w:kern w:val="2"/>
          <w:sz w:val="21"/>
          <w:szCs w:val="21"/>
          <w:highlight w:val="none"/>
        </w:rPr>
        <w:t>对项目的要求、评标标准的要求及项目本身的特点编写，内容应包括但不限于以下内容：</w:t>
      </w:r>
    </w:p>
    <w:p w14:paraId="74C8674F">
      <w:pPr>
        <w:pStyle w:val="183"/>
        <w:snapToGrid w:val="0"/>
        <w:spacing w:before="0" w:after="0"/>
        <w:ind w:firstLine="420" w:firstLineChars="200"/>
        <w:rPr>
          <w:rFonts w:hint="eastAsia" w:ascii="宋体" w:hAnsi="宋体" w:eastAsia="宋体" w:cs="宋体"/>
          <w:color w:val="auto"/>
          <w:kern w:val="2"/>
          <w:sz w:val="21"/>
          <w:szCs w:val="21"/>
          <w:highlight w:val="none"/>
        </w:rPr>
      </w:pPr>
    </w:p>
    <w:p w14:paraId="1D8A2F9B">
      <w:pPr>
        <w:widowControl/>
        <w:shd w:val="clear" w:color="auto" w:fill="FFFFFF"/>
        <w:spacing w:line="360" w:lineRule="auto"/>
        <w:jc w:val="left"/>
        <w:rPr>
          <w:rFonts w:hint="eastAsia" w:ascii="宋体" w:hAnsi="宋体" w:eastAsia="宋体" w:cs="宋体"/>
          <w:color w:val="auto"/>
          <w:kern w:val="0"/>
          <w:szCs w:val="21"/>
          <w:highlight w:val="none"/>
        </w:rPr>
      </w:pPr>
    </w:p>
    <w:p w14:paraId="2D3405D7">
      <w:pPr>
        <w:widowControl/>
        <w:shd w:val="clear" w:color="auto" w:fill="FFFFFF"/>
        <w:spacing w:line="360" w:lineRule="auto"/>
        <w:jc w:val="left"/>
        <w:rPr>
          <w:rFonts w:hint="eastAsia" w:ascii="宋体" w:hAnsi="宋体" w:eastAsia="宋体" w:cs="宋体"/>
          <w:color w:val="auto"/>
          <w:kern w:val="0"/>
          <w:szCs w:val="21"/>
          <w:highlight w:val="none"/>
        </w:rPr>
      </w:pPr>
    </w:p>
    <w:p w14:paraId="5D703A6A">
      <w:pPr>
        <w:widowControl/>
        <w:shd w:val="clear" w:color="auto" w:fill="FFFFFF"/>
        <w:spacing w:line="360" w:lineRule="auto"/>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w:t>
      </w:r>
    </w:p>
    <w:p w14:paraId="73E5E0E2">
      <w:pPr>
        <w:widowControl/>
        <w:adjustRightInd w:val="0"/>
        <w:spacing w:line="460" w:lineRule="atLeast"/>
        <w:rPr>
          <w:rFonts w:hint="eastAsia" w:ascii="宋体" w:hAnsi="宋体" w:eastAsia="宋体" w:cs="宋体"/>
          <w:b/>
          <w:bCs/>
          <w:color w:val="auto"/>
          <w:kern w:val="0"/>
          <w:sz w:val="24"/>
          <w:highlight w:val="none"/>
        </w:rPr>
      </w:pPr>
      <w:r>
        <w:rPr>
          <w:rFonts w:hint="eastAsia" w:ascii="宋体" w:hAnsi="宋体" w:eastAsia="宋体" w:cs="宋体"/>
          <w:color w:val="auto"/>
          <w:highlight w:val="none"/>
        </w:rPr>
        <w:br w:type="page"/>
      </w: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七</w:t>
      </w:r>
      <w:r>
        <w:rPr>
          <w:rFonts w:hint="eastAsia" w:ascii="宋体" w:hAnsi="宋体" w:eastAsia="宋体" w:cs="宋体"/>
          <w:b/>
          <w:bCs/>
          <w:color w:val="auto"/>
          <w:kern w:val="0"/>
          <w:sz w:val="24"/>
          <w:highlight w:val="none"/>
        </w:rPr>
        <w:t>、拟参与本项目服务人员一览表</w:t>
      </w:r>
    </w:p>
    <w:p w14:paraId="3A83892D">
      <w:pPr>
        <w:widowControl/>
        <w:adjustRightInd w:val="0"/>
        <w:spacing w:line="460" w:lineRule="atLeast"/>
        <w:rPr>
          <w:rFonts w:hint="eastAsia" w:ascii="宋体" w:hAnsi="宋体" w:eastAsia="宋体" w:cs="宋体"/>
          <w:b/>
          <w:bCs/>
          <w:color w:val="auto"/>
          <w:kern w:val="0"/>
          <w:sz w:val="24"/>
          <w:highlight w:val="none"/>
        </w:rPr>
      </w:pPr>
    </w:p>
    <w:p w14:paraId="038D328A">
      <w:pPr>
        <w:widowControl/>
        <w:adjustRightInd w:val="0"/>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拟参与本项目服务人员一览表</w:t>
      </w:r>
    </w:p>
    <w:p w14:paraId="6BDE5B0D">
      <w:pPr>
        <w:widowControl/>
        <w:adjustRightInd w:val="0"/>
        <w:jc w:val="center"/>
        <w:rPr>
          <w:rFonts w:hint="eastAsia" w:ascii="宋体" w:hAnsi="宋体" w:eastAsia="宋体" w:cs="宋体"/>
          <w:b/>
          <w:bCs/>
          <w:color w:val="auto"/>
          <w:kern w:val="0"/>
          <w:sz w:val="24"/>
          <w:highlight w:val="none"/>
        </w:rPr>
      </w:pPr>
    </w:p>
    <w:p w14:paraId="62F88862">
      <w:pPr>
        <w:widowControl/>
        <w:adjustRightInd w:val="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                                 项目编号：</w:t>
      </w:r>
    </w:p>
    <w:tbl>
      <w:tblPr>
        <w:tblStyle w:val="45"/>
        <w:tblW w:w="9464" w:type="dxa"/>
        <w:jc w:val="center"/>
        <w:tblLayout w:type="fixed"/>
        <w:tblCellMar>
          <w:top w:w="0" w:type="dxa"/>
          <w:left w:w="108" w:type="dxa"/>
          <w:bottom w:w="0" w:type="dxa"/>
          <w:right w:w="108" w:type="dxa"/>
        </w:tblCellMar>
      </w:tblPr>
      <w:tblGrid>
        <w:gridCol w:w="534"/>
        <w:gridCol w:w="896"/>
        <w:gridCol w:w="663"/>
        <w:gridCol w:w="709"/>
        <w:gridCol w:w="1134"/>
        <w:gridCol w:w="931"/>
        <w:gridCol w:w="1020"/>
        <w:gridCol w:w="994"/>
        <w:gridCol w:w="882"/>
        <w:gridCol w:w="850"/>
        <w:gridCol w:w="851"/>
      </w:tblGrid>
      <w:tr w14:paraId="0B528C62">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vAlign w:val="center"/>
          </w:tcPr>
          <w:p w14:paraId="53CF763A">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896" w:type="dxa"/>
            <w:tcBorders>
              <w:top w:val="single" w:color="000000" w:sz="4" w:space="0"/>
              <w:left w:val="nil"/>
              <w:bottom w:val="single" w:color="000000" w:sz="4" w:space="0"/>
              <w:right w:val="single" w:color="000000" w:sz="4" w:space="0"/>
            </w:tcBorders>
            <w:vAlign w:val="center"/>
          </w:tcPr>
          <w:p w14:paraId="615606FA">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姓名</w:t>
            </w:r>
          </w:p>
        </w:tc>
        <w:tc>
          <w:tcPr>
            <w:tcW w:w="663" w:type="dxa"/>
            <w:tcBorders>
              <w:top w:val="single" w:color="000000" w:sz="4" w:space="0"/>
              <w:left w:val="nil"/>
              <w:bottom w:val="single" w:color="000000" w:sz="4" w:space="0"/>
              <w:right w:val="single" w:color="000000" w:sz="4" w:space="0"/>
            </w:tcBorders>
            <w:vAlign w:val="center"/>
          </w:tcPr>
          <w:p w14:paraId="770DF01E">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性别</w:t>
            </w:r>
          </w:p>
        </w:tc>
        <w:tc>
          <w:tcPr>
            <w:tcW w:w="709" w:type="dxa"/>
            <w:tcBorders>
              <w:top w:val="single" w:color="000000" w:sz="4" w:space="0"/>
              <w:left w:val="nil"/>
              <w:bottom w:val="single" w:color="000000" w:sz="4" w:space="0"/>
              <w:right w:val="single" w:color="000000" w:sz="4" w:space="0"/>
            </w:tcBorders>
            <w:vAlign w:val="center"/>
          </w:tcPr>
          <w:p w14:paraId="712678F3">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年龄</w:t>
            </w:r>
          </w:p>
        </w:tc>
        <w:tc>
          <w:tcPr>
            <w:tcW w:w="1134" w:type="dxa"/>
            <w:tcBorders>
              <w:top w:val="single" w:color="000000" w:sz="4" w:space="0"/>
              <w:left w:val="nil"/>
              <w:bottom w:val="single" w:color="000000" w:sz="4" w:space="0"/>
              <w:right w:val="single" w:color="000000" w:sz="4" w:space="0"/>
            </w:tcBorders>
            <w:vAlign w:val="center"/>
          </w:tcPr>
          <w:p w14:paraId="3A204CCA">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专业</w:t>
            </w:r>
          </w:p>
        </w:tc>
        <w:tc>
          <w:tcPr>
            <w:tcW w:w="931" w:type="dxa"/>
            <w:tcBorders>
              <w:top w:val="single" w:color="000000" w:sz="4" w:space="0"/>
              <w:left w:val="nil"/>
              <w:bottom w:val="single" w:color="000000" w:sz="4" w:space="0"/>
              <w:right w:val="single" w:color="000000" w:sz="4" w:space="0"/>
            </w:tcBorders>
            <w:vAlign w:val="center"/>
          </w:tcPr>
          <w:p w14:paraId="3CF76C6B">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学历</w:t>
            </w:r>
          </w:p>
        </w:tc>
        <w:tc>
          <w:tcPr>
            <w:tcW w:w="1020" w:type="dxa"/>
            <w:tcBorders>
              <w:top w:val="single" w:color="000000" w:sz="4" w:space="0"/>
              <w:left w:val="nil"/>
              <w:bottom w:val="single" w:color="000000" w:sz="4" w:space="0"/>
              <w:right w:val="single" w:color="000000" w:sz="4" w:space="0"/>
            </w:tcBorders>
            <w:vAlign w:val="center"/>
          </w:tcPr>
          <w:p w14:paraId="7157C3A8">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执业</w:t>
            </w:r>
          </w:p>
          <w:p w14:paraId="331340F6">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资格</w:t>
            </w:r>
          </w:p>
        </w:tc>
        <w:tc>
          <w:tcPr>
            <w:tcW w:w="994" w:type="dxa"/>
            <w:tcBorders>
              <w:top w:val="single" w:color="000000" w:sz="4" w:space="0"/>
              <w:left w:val="nil"/>
              <w:bottom w:val="single" w:color="000000" w:sz="4" w:space="0"/>
              <w:right w:val="single" w:color="000000" w:sz="4" w:space="0"/>
            </w:tcBorders>
            <w:vAlign w:val="center"/>
          </w:tcPr>
          <w:p w14:paraId="453DD46D">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证书号</w:t>
            </w:r>
          </w:p>
        </w:tc>
        <w:tc>
          <w:tcPr>
            <w:tcW w:w="882" w:type="dxa"/>
            <w:tcBorders>
              <w:top w:val="single" w:color="000000" w:sz="4" w:space="0"/>
              <w:left w:val="nil"/>
              <w:bottom w:val="single" w:color="000000" w:sz="4" w:space="0"/>
              <w:right w:val="single" w:color="000000" w:sz="4" w:space="0"/>
            </w:tcBorders>
            <w:vAlign w:val="center"/>
          </w:tcPr>
          <w:p w14:paraId="25422ED7">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技术职称</w:t>
            </w:r>
          </w:p>
        </w:tc>
        <w:tc>
          <w:tcPr>
            <w:tcW w:w="850" w:type="dxa"/>
            <w:tcBorders>
              <w:top w:val="single" w:color="000000" w:sz="4" w:space="0"/>
              <w:left w:val="nil"/>
              <w:bottom w:val="single" w:color="000000" w:sz="4" w:space="0"/>
              <w:right w:val="single" w:color="000000" w:sz="4" w:space="0"/>
            </w:tcBorders>
            <w:vAlign w:val="center"/>
          </w:tcPr>
          <w:p w14:paraId="58C43CB9">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相关工作年限</w:t>
            </w:r>
          </w:p>
        </w:tc>
        <w:tc>
          <w:tcPr>
            <w:tcW w:w="851" w:type="dxa"/>
            <w:tcBorders>
              <w:top w:val="single" w:color="000000" w:sz="4" w:space="0"/>
              <w:left w:val="nil"/>
              <w:bottom w:val="single" w:color="000000" w:sz="4" w:space="0"/>
              <w:right w:val="single" w:color="000000" w:sz="4" w:space="0"/>
            </w:tcBorders>
            <w:vAlign w:val="center"/>
          </w:tcPr>
          <w:p w14:paraId="17D05AE1">
            <w:pPr>
              <w:widowControl/>
              <w:adjustRightInd w:val="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备注</w:t>
            </w:r>
          </w:p>
        </w:tc>
      </w:tr>
      <w:tr w14:paraId="3495F04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2A83E5EC">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476ED38F">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27B7ADE9">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731FF05F">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633BBD0E">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60435AAA">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3888A61F">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2C999476">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6DC4C670">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54F85D98">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7D5EF599">
            <w:pPr>
              <w:widowControl/>
              <w:adjustRightInd w:val="0"/>
              <w:rPr>
                <w:rFonts w:hint="eastAsia" w:ascii="宋体" w:hAnsi="宋体" w:eastAsia="宋体" w:cs="宋体"/>
                <w:color w:val="auto"/>
                <w:kern w:val="0"/>
                <w:szCs w:val="21"/>
                <w:highlight w:val="none"/>
              </w:rPr>
            </w:pPr>
          </w:p>
        </w:tc>
      </w:tr>
      <w:tr w14:paraId="3A1B795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31391F8">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1365C483">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66228BF4">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5D18FB27">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EF98765">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2666BCDA">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1746BF1A">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67E5F8DD">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19EC1FA5">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74B6E771">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21FA8BB3">
            <w:pPr>
              <w:widowControl/>
              <w:adjustRightInd w:val="0"/>
              <w:rPr>
                <w:rFonts w:hint="eastAsia" w:ascii="宋体" w:hAnsi="宋体" w:eastAsia="宋体" w:cs="宋体"/>
                <w:color w:val="auto"/>
                <w:kern w:val="0"/>
                <w:szCs w:val="21"/>
                <w:highlight w:val="none"/>
              </w:rPr>
            </w:pPr>
          </w:p>
        </w:tc>
      </w:tr>
      <w:tr w14:paraId="36532BE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E0763B2">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7F4CC52C">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3C03C568">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36139A33">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52F63E5C">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6BCAAF79">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10DBF05B">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772B0B25">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58036A45">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06CFCCAD">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69197879">
            <w:pPr>
              <w:widowControl/>
              <w:adjustRightInd w:val="0"/>
              <w:rPr>
                <w:rFonts w:hint="eastAsia" w:ascii="宋体" w:hAnsi="宋体" w:eastAsia="宋体" w:cs="宋体"/>
                <w:color w:val="auto"/>
                <w:kern w:val="0"/>
                <w:szCs w:val="21"/>
                <w:highlight w:val="none"/>
              </w:rPr>
            </w:pPr>
          </w:p>
        </w:tc>
      </w:tr>
      <w:tr w14:paraId="6D9FD1BD">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62C0A25">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3FDA21D0">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1F75C129">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08331D25">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E7F4E1C">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4291147B">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1280D1CA">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401C3736">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36753BDD">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162C1DD8">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20D71713">
            <w:pPr>
              <w:widowControl/>
              <w:adjustRightInd w:val="0"/>
              <w:rPr>
                <w:rFonts w:hint="eastAsia" w:ascii="宋体" w:hAnsi="宋体" w:eastAsia="宋体" w:cs="宋体"/>
                <w:color w:val="auto"/>
                <w:kern w:val="0"/>
                <w:szCs w:val="21"/>
                <w:highlight w:val="none"/>
              </w:rPr>
            </w:pPr>
          </w:p>
        </w:tc>
      </w:tr>
      <w:tr w14:paraId="456919DA">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6046C538">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451DC704">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20E8EBF6">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09DFD90B">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4A3EF43">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39970B2B">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74DE163B">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1EA2B89E">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17E74B7F">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09957DDE">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5B1D42F9">
            <w:pPr>
              <w:widowControl/>
              <w:adjustRightInd w:val="0"/>
              <w:rPr>
                <w:rFonts w:hint="eastAsia" w:ascii="宋体" w:hAnsi="宋体" w:eastAsia="宋体" w:cs="宋体"/>
                <w:color w:val="auto"/>
                <w:kern w:val="0"/>
                <w:szCs w:val="21"/>
                <w:highlight w:val="none"/>
              </w:rPr>
            </w:pPr>
          </w:p>
        </w:tc>
      </w:tr>
      <w:tr w14:paraId="35C51CD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5658A01E">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031BE5DD">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39734D33">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13AA2044">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6911A8C2">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44CF98EB">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2F20E08C">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037F3CC9">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6B9BE963">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7E9D57AC">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6C85DA72">
            <w:pPr>
              <w:widowControl/>
              <w:adjustRightInd w:val="0"/>
              <w:rPr>
                <w:rFonts w:hint="eastAsia" w:ascii="宋体" w:hAnsi="宋体" w:eastAsia="宋体" w:cs="宋体"/>
                <w:color w:val="auto"/>
                <w:kern w:val="0"/>
                <w:szCs w:val="21"/>
                <w:highlight w:val="none"/>
              </w:rPr>
            </w:pPr>
          </w:p>
        </w:tc>
      </w:tr>
      <w:tr w14:paraId="68DC923F">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3173A7C3">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38051B07">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5B5C9440">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04E99008">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62C527AD">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4B298DC7">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1D250E73">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631A34D3">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139DB297">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650A1D40">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3D0FD48C">
            <w:pPr>
              <w:widowControl/>
              <w:adjustRightInd w:val="0"/>
              <w:rPr>
                <w:rFonts w:hint="eastAsia" w:ascii="宋体" w:hAnsi="宋体" w:eastAsia="宋体" w:cs="宋体"/>
                <w:color w:val="auto"/>
                <w:kern w:val="0"/>
                <w:szCs w:val="21"/>
                <w:highlight w:val="none"/>
              </w:rPr>
            </w:pPr>
          </w:p>
        </w:tc>
      </w:tr>
      <w:tr w14:paraId="0C95BC88">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4615D03">
            <w:pPr>
              <w:widowControl/>
              <w:adjustRightInd w:val="0"/>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tcPr>
          <w:p w14:paraId="28775B3C">
            <w:pPr>
              <w:widowControl/>
              <w:adjustRightInd w:val="0"/>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tcPr>
          <w:p w14:paraId="5A7CE2A7">
            <w:pPr>
              <w:widowControl/>
              <w:adjustRightInd w:val="0"/>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tcPr>
          <w:p w14:paraId="3702666F">
            <w:pPr>
              <w:widowControl/>
              <w:adjustRightInd w:val="0"/>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77E3895">
            <w:pPr>
              <w:widowControl/>
              <w:adjustRightInd w:val="0"/>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tcPr>
          <w:p w14:paraId="129065BC">
            <w:pPr>
              <w:widowControl/>
              <w:adjustRightInd w:val="0"/>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tcPr>
          <w:p w14:paraId="6CA3229A">
            <w:pPr>
              <w:widowControl/>
              <w:adjustRightInd w:val="0"/>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tcPr>
          <w:p w14:paraId="3029BFF4">
            <w:pPr>
              <w:widowControl/>
              <w:adjustRightInd w:val="0"/>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tcPr>
          <w:p w14:paraId="353B062F">
            <w:pPr>
              <w:widowControl/>
              <w:adjustRightInd w:val="0"/>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tcPr>
          <w:p w14:paraId="699FF714">
            <w:pPr>
              <w:widowControl/>
              <w:adjustRightInd w:val="0"/>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tcPr>
          <w:p w14:paraId="78962F99">
            <w:pPr>
              <w:widowControl/>
              <w:adjustRightInd w:val="0"/>
              <w:rPr>
                <w:rFonts w:hint="eastAsia" w:ascii="宋体" w:hAnsi="宋体" w:eastAsia="宋体" w:cs="宋体"/>
                <w:color w:val="auto"/>
                <w:kern w:val="0"/>
                <w:szCs w:val="21"/>
                <w:highlight w:val="none"/>
              </w:rPr>
            </w:pPr>
          </w:p>
        </w:tc>
      </w:tr>
    </w:tbl>
    <w:p w14:paraId="1468DF47">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166881A6">
      <w:pPr>
        <w:widowControl/>
        <w:shd w:val="clear" w:color="auto" w:fill="FFFFFF"/>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67298C68">
      <w:pPr>
        <w:widowControl/>
        <w:adjustRightInd w:val="0"/>
        <w:rPr>
          <w:rFonts w:hint="eastAsia" w:ascii="宋体" w:hAnsi="宋体" w:eastAsia="宋体" w:cs="宋体"/>
          <w:color w:val="auto"/>
          <w:kern w:val="0"/>
          <w:szCs w:val="21"/>
          <w:highlight w:val="none"/>
        </w:rPr>
      </w:pPr>
    </w:p>
    <w:p w14:paraId="5431F582">
      <w:pPr>
        <w:widowControl/>
        <w:adjustRightInd w:val="0"/>
        <w:rPr>
          <w:rFonts w:hint="eastAsia" w:ascii="宋体" w:hAnsi="宋体" w:eastAsia="宋体" w:cs="宋体"/>
          <w:b/>
          <w:bCs/>
          <w:color w:val="auto"/>
          <w:kern w:val="0"/>
          <w:szCs w:val="21"/>
          <w:highlight w:val="none"/>
        </w:rPr>
      </w:pPr>
    </w:p>
    <w:p w14:paraId="1F8681DB">
      <w:pPr>
        <w:widowControl/>
        <w:adjustRightInd w:val="0"/>
        <w:spacing w:line="360" w:lineRule="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br w:type="page"/>
      </w: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八</w:t>
      </w:r>
      <w:r>
        <w:rPr>
          <w:rFonts w:hint="eastAsia" w:ascii="宋体" w:hAnsi="宋体" w:eastAsia="宋体" w:cs="宋体"/>
          <w:b/>
          <w:bCs/>
          <w:color w:val="auto"/>
          <w:kern w:val="0"/>
          <w:sz w:val="24"/>
          <w:highlight w:val="none"/>
        </w:rPr>
        <w:t>、 投标人类似业绩情况表</w:t>
      </w:r>
    </w:p>
    <w:p w14:paraId="7EC8424D">
      <w:pPr>
        <w:widowControl/>
        <w:adjustRightInd w:val="0"/>
        <w:spacing w:line="360" w:lineRule="auto"/>
        <w:jc w:val="center"/>
        <w:rPr>
          <w:rFonts w:hint="eastAsia" w:ascii="宋体" w:hAnsi="宋体" w:eastAsia="宋体" w:cs="宋体"/>
          <w:b/>
          <w:bCs/>
          <w:color w:val="auto"/>
          <w:kern w:val="0"/>
          <w:sz w:val="24"/>
          <w:highlight w:val="none"/>
        </w:rPr>
      </w:pPr>
    </w:p>
    <w:p w14:paraId="5E591AA2">
      <w:pPr>
        <w:widowControl/>
        <w:adjustRightInd w:val="0"/>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投标人类似业绩情况表</w:t>
      </w:r>
    </w:p>
    <w:tbl>
      <w:tblPr>
        <w:tblStyle w:val="45"/>
        <w:tblW w:w="9470" w:type="dxa"/>
        <w:jc w:val="center"/>
        <w:tblLayout w:type="fixed"/>
        <w:tblCellMar>
          <w:top w:w="0" w:type="dxa"/>
          <w:left w:w="108" w:type="dxa"/>
          <w:bottom w:w="0" w:type="dxa"/>
          <w:right w:w="108" w:type="dxa"/>
        </w:tblCellMar>
      </w:tblPr>
      <w:tblGrid>
        <w:gridCol w:w="682"/>
        <w:gridCol w:w="1559"/>
        <w:gridCol w:w="1418"/>
        <w:gridCol w:w="992"/>
        <w:gridCol w:w="1034"/>
        <w:gridCol w:w="1517"/>
        <w:gridCol w:w="1134"/>
        <w:gridCol w:w="1134"/>
      </w:tblGrid>
      <w:tr w14:paraId="12453C0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0D08A502">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559" w:type="dxa"/>
            <w:tcBorders>
              <w:top w:val="single" w:color="000000" w:sz="4" w:space="0"/>
              <w:left w:val="nil"/>
              <w:bottom w:val="single" w:color="000000" w:sz="4" w:space="0"/>
              <w:right w:val="single" w:color="000000" w:sz="4" w:space="0"/>
            </w:tcBorders>
            <w:vAlign w:val="center"/>
          </w:tcPr>
          <w:p w14:paraId="294D3165">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1418" w:type="dxa"/>
            <w:tcBorders>
              <w:top w:val="single" w:color="000000" w:sz="4" w:space="0"/>
              <w:left w:val="nil"/>
              <w:bottom w:val="single" w:color="000000" w:sz="4" w:space="0"/>
              <w:right w:val="single" w:color="000000" w:sz="4" w:space="0"/>
            </w:tcBorders>
            <w:vAlign w:val="center"/>
          </w:tcPr>
          <w:p w14:paraId="04AA144E">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业主单位</w:t>
            </w:r>
          </w:p>
        </w:tc>
        <w:tc>
          <w:tcPr>
            <w:tcW w:w="992" w:type="dxa"/>
            <w:tcBorders>
              <w:top w:val="single" w:color="000000" w:sz="4" w:space="0"/>
              <w:left w:val="nil"/>
              <w:bottom w:val="single" w:color="000000" w:sz="4" w:space="0"/>
              <w:right w:val="single" w:color="000000" w:sz="4" w:space="0"/>
            </w:tcBorders>
            <w:vAlign w:val="center"/>
          </w:tcPr>
          <w:p w14:paraId="3A817FB0">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w:t>
            </w:r>
          </w:p>
          <w:p w14:paraId="37C19F65">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规模</w:t>
            </w:r>
          </w:p>
        </w:tc>
        <w:tc>
          <w:tcPr>
            <w:tcW w:w="1034" w:type="dxa"/>
            <w:tcBorders>
              <w:top w:val="single" w:color="000000" w:sz="4" w:space="0"/>
              <w:left w:val="nil"/>
              <w:bottom w:val="single" w:color="000000" w:sz="4" w:space="0"/>
              <w:right w:val="single" w:color="000000" w:sz="4" w:space="0"/>
            </w:tcBorders>
            <w:vAlign w:val="center"/>
          </w:tcPr>
          <w:p w14:paraId="30F6579B">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获奖</w:t>
            </w:r>
          </w:p>
          <w:p w14:paraId="173B9A84">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情况</w:t>
            </w:r>
          </w:p>
        </w:tc>
        <w:tc>
          <w:tcPr>
            <w:tcW w:w="1517" w:type="dxa"/>
            <w:tcBorders>
              <w:top w:val="single" w:color="000000" w:sz="4" w:space="0"/>
              <w:left w:val="nil"/>
              <w:bottom w:val="single" w:color="000000" w:sz="4" w:space="0"/>
              <w:right w:val="single" w:color="000000" w:sz="4" w:space="0"/>
            </w:tcBorders>
          </w:tcPr>
          <w:p w14:paraId="353909F3">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签约及服务</w:t>
            </w:r>
          </w:p>
          <w:p w14:paraId="7AB3AA2A">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时间</w:t>
            </w:r>
          </w:p>
        </w:tc>
        <w:tc>
          <w:tcPr>
            <w:tcW w:w="1134" w:type="dxa"/>
            <w:tcBorders>
              <w:top w:val="single" w:color="000000" w:sz="4" w:space="0"/>
              <w:left w:val="nil"/>
              <w:bottom w:val="single" w:color="000000" w:sz="4" w:space="0"/>
              <w:right w:val="single" w:color="000000" w:sz="4" w:space="0"/>
            </w:tcBorders>
          </w:tcPr>
          <w:p w14:paraId="0FE2104F">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w:t>
            </w:r>
          </w:p>
        </w:tc>
        <w:tc>
          <w:tcPr>
            <w:tcW w:w="1134" w:type="dxa"/>
            <w:tcBorders>
              <w:top w:val="single" w:color="000000" w:sz="4" w:space="0"/>
              <w:left w:val="nil"/>
              <w:bottom w:val="single" w:color="000000" w:sz="4" w:space="0"/>
              <w:right w:val="single" w:color="000000" w:sz="4" w:space="0"/>
            </w:tcBorders>
          </w:tcPr>
          <w:p w14:paraId="4B201439">
            <w:pPr>
              <w:widowControl/>
              <w:spacing w:line="40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08CC6E9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2A35028C">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52691D9E">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14C19F26">
            <w:pPr>
              <w:widowControl/>
              <w:spacing w:line="400" w:lineRule="atLeast"/>
              <w:ind w:firstLine="120"/>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129C5B42">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137DE76C">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11F15FC2">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57765E02">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20C7F3D2">
            <w:pPr>
              <w:widowControl/>
              <w:spacing w:line="400" w:lineRule="atLeast"/>
              <w:jc w:val="center"/>
              <w:rPr>
                <w:rFonts w:hint="eastAsia" w:ascii="宋体" w:hAnsi="宋体" w:eastAsia="宋体" w:cs="宋体"/>
                <w:color w:val="auto"/>
                <w:kern w:val="0"/>
                <w:szCs w:val="21"/>
                <w:highlight w:val="none"/>
              </w:rPr>
            </w:pPr>
          </w:p>
        </w:tc>
      </w:tr>
      <w:tr w14:paraId="5FE2342B">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109777EA">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5D23EFC7">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50E3D208">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28C733F0">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2123BED7">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00A6BAD4">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528D805D">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7E898164">
            <w:pPr>
              <w:widowControl/>
              <w:spacing w:line="400" w:lineRule="atLeast"/>
              <w:jc w:val="center"/>
              <w:rPr>
                <w:rFonts w:hint="eastAsia" w:ascii="宋体" w:hAnsi="宋体" w:eastAsia="宋体" w:cs="宋体"/>
                <w:color w:val="auto"/>
                <w:kern w:val="0"/>
                <w:szCs w:val="21"/>
                <w:highlight w:val="none"/>
              </w:rPr>
            </w:pPr>
          </w:p>
        </w:tc>
      </w:tr>
      <w:tr w14:paraId="67D2CF2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0E31B0C8">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32D3CA6D">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03D0DA50">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6C76993A">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18D8EC95">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67C99100">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8D6B564">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00B7C189">
            <w:pPr>
              <w:widowControl/>
              <w:spacing w:line="400" w:lineRule="atLeast"/>
              <w:jc w:val="center"/>
              <w:rPr>
                <w:rFonts w:hint="eastAsia" w:ascii="宋体" w:hAnsi="宋体" w:eastAsia="宋体" w:cs="宋体"/>
                <w:color w:val="auto"/>
                <w:kern w:val="0"/>
                <w:szCs w:val="21"/>
                <w:highlight w:val="none"/>
              </w:rPr>
            </w:pPr>
          </w:p>
        </w:tc>
      </w:tr>
      <w:tr w14:paraId="1F31E87A">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46A8129">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2A34C69D">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313F1C73">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3D1DE9E5">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03DA9CC8">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591DA389">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5D1A5F32">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23C7A9FD">
            <w:pPr>
              <w:widowControl/>
              <w:spacing w:line="400" w:lineRule="atLeast"/>
              <w:jc w:val="center"/>
              <w:rPr>
                <w:rFonts w:hint="eastAsia" w:ascii="宋体" w:hAnsi="宋体" w:eastAsia="宋体" w:cs="宋体"/>
                <w:color w:val="auto"/>
                <w:kern w:val="0"/>
                <w:szCs w:val="21"/>
                <w:highlight w:val="none"/>
              </w:rPr>
            </w:pPr>
          </w:p>
        </w:tc>
      </w:tr>
      <w:tr w14:paraId="76AB4D9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3B8FD9E3">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46126AD5">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00588CFE">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159F9AB0">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5B132117">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103D55EB">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48E8A81C">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70E04FB4">
            <w:pPr>
              <w:widowControl/>
              <w:spacing w:line="400" w:lineRule="atLeast"/>
              <w:jc w:val="center"/>
              <w:rPr>
                <w:rFonts w:hint="eastAsia" w:ascii="宋体" w:hAnsi="宋体" w:eastAsia="宋体" w:cs="宋体"/>
                <w:color w:val="auto"/>
                <w:kern w:val="0"/>
                <w:szCs w:val="21"/>
                <w:highlight w:val="none"/>
              </w:rPr>
            </w:pPr>
          </w:p>
        </w:tc>
      </w:tr>
      <w:tr w14:paraId="683FEE64">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4642D8A5">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39AF2138">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28EE3644">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0BD28A3B">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2052BA79">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5EB09518">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1C076155">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230411E1">
            <w:pPr>
              <w:widowControl/>
              <w:spacing w:line="400" w:lineRule="atLeast"/>
              <w:jc w:val="center"/>
              <w:rPr>
                <w:rFonts w:hint="eastAsia" w:ascii="宋体" w:hAnsi="宋体" w:eastAsia="宋体" w:cs="宋体"/>
                <w:color w:val="auto"/>
                <w:kern w:val="0"/>
                <w:szCs w:val="21"/>
                <w:highlight w:val="none"/>
              </w:rPr>
            </w:pPr>
          </w:p>
        </w:tc>
      </w:tr>
      <w:tr w14:paraId="1E54884B">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1C2A2DBC">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3872502B">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34B3747D">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10055AFE">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299D1B24">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56D91BA4">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5D1F8966">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25CCCA3E">
            <w:pPr>
              <w:widowControl/>
              <w:spacing w:line="400" w:lineRule="atLeast"/>
              <w:jc w:val="center"/>
              <w:rPr>
                <w:rFonts w:hint="eastAsia" w:ascii="宋体" w:hAnsi="宋体" w:eastAsia="宋体" w:cs="宋体"/>
                <w:color w:val="auto"/>
                <w:kern w:val="0"/>
                <w:szCs w:val="21"/>
                <w:highlight w:val="none"/>
              </w:rPr>
            </w:pPr>
          </w:p>
        </w:tc>
      </w:tr>
      <w:tr w14:paraId="0C3789DA">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6B0E7F5">
            <w:pPr>
              <w:widowControl/>
              <w:spacing w:line="400" w:lineRule="atLeas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tcPr>
          <w:p w14:paraId="27DC384A">
            <w:pPr>
              <w:widowControl/>
              <w:spacing w:line="400" w:lineRule="atLeas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tcPr>
          <w:p w14:paraId="5EEA5ED8">
            <w:pPr>
              <w:widowControl/>
              <w:spacing w:line="400" w:lineRule="atLeas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tcPr>
          <w:p w14:paraId="3AE6A65F">
            <w:pPr>
              <w:widowControl/>
              <w:spacing w:line="400" w:lineRule="atLeas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tcPr>
          <w:p w14:paraId="487BA1FF">
            <w:pPr>
              <w:widowControl/>
              <w:spacing w:line="400" w:lineRule="atLeas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tcPr>
          <w:p w14:paraId="37A39469">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3F625A70">
            <w:pPr>
              <w:widowControl/>
              <w:spacing w:line="400" w:lineRule="atLeas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tcPr>
          <w:p w14:paraId="3ED82B6E">
            <w:pPr>
              <w:widowControl/>
              <w:spacing w:line="400" w:lineRule="atLeast"/>
              <w:jc w:val="center"/>
              <w:rPr>
                <w:rFonts w:hint="eastAsia" w:ascii="宋体" w:hAnsi="宋体" w:eastAsia="宋体" w:cs="宋体"/>
                <w:color w:val="auto"/>
                <w:kern w:val="0"/>
                <w:szCs w:val="21"/>
                <w:highlight w:val="none"/>
              </w:rPr>
            </w:pPr>
          </w:p>
        </w:tc>
      </w:tr>
    </w:tbl>
    <w:p w14:paraId="0226E813">
      <w:pPr>
        <w:widowControl/>
        <w:shd w:val="clear" w:color="auto" w:fill="FFFFFF"/>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投标单位（盖章）：</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 xml:space="preserve"> </w:t>
      </w:r>
    </w:p>
    <w:p w14:paraId="1B699A32">
      <w:pPr>
        <w:widowControl/>
        <w:shd w:val="clear" w:color="auto" w:fill="FFFFFF"/>
        <w:spacing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lang w:val="en-US" w:eastAsia="zh-CN"/>
        </w:rPr>
        <w:t>或签章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72DB3AD3">
      <w:pPr>
        <w:widowControl/>
        <w:adjustRightInd w:val="0"/>
        <w:spacing w:line="360" w:lineRule="auto"/>
        <w:rPr>
          <w:rFonts w:hint="eastAsia" w:ascii="宋体" w:hAnsi="宋体" w:eastAsia="宋体" w:cs="宋体"/>
          <w:b/>
          <w:bCs/>
          <w:color w:val="auto"/>
          <w:kern w:val="0"/>
          <w:szCs w:val="21"/>
          <w:highlight w:val="none"/>
        </w:rPr>
      </w:pPr>
    </w:p>
    <w:p w14:paraId="503EC720">
      <w:pPr>
        <w:widowControl/>
        <w:adjustRightInd w:val="0"/>
        <w:spacing w:line="360" w:lineRule="auto"/>
        <w:rPr>
          <w:rFonts w:hint="eastAsia" w:ascii="宋体" w:hAnsi="宋体" w:eastAsia="宋体" w:cs="宋体"/>
          <w:b/>
          <w:bCs/>
          <w:color w:val="auto"/>
          <w:kern w:val="0"/>
          <w:szCs w:val="21"/>
          <w:highlight w:val="none"/>
        </w:rPr>
      </w:pPr>
    </w:p>
    <w:p w14:paraId="6F73FF70">
      <w:pPr>
        <w:spacing w:line="360" w:lineRule="auto"/>
        <w:rPr>
          <w:rFonts w:hint="eastAsia" w:ascii="宋体" w:hAnsi="宋体" w:eastAsia="宋体" w:cs="宋体"/>
          <w:color w:val="auto"/>
          <w:highlight w:val="none"/>
        </w:rPr>
      </w:pPr>
    </w:p>
    <w:p w14:paraId="0AC4C21E">
      <w:pPr>
        <w:autoSpaceDE w:val="0"/>
        <w:autoSpaceDN w:val="0"/>
        <w:adjustRightIn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br w:type="page"/>
      </w:r>
      <w:r>
        <w:rPr>
          <w:rFonts w:hint="eastAsia" w:ascii="宋体" w:hAnsi="宋体" w:eastAsia="宋体" w:cs="宋体"/>
          <w:b/>
          <w:color w:val="auto"/>
          <w:highlight w:val="none"/>
        </w:rPr>
        <w:t>附件</w:t>
      </w:r>
      <w:r>
        <w:rPr>
          <w:rFonts w:hint="eastAsia" w:ascii="宋体" w:hAnsi="宋体" w:eastAsia="宋体" w:cs="宋体"/>
          <w:b/>
          <w:color w:val="auto"/>
          <w:highlight w:val="none"/>
          <w:lang w:val="en-US" w:eastAsia="zh-CN"/>
        </w:rPr>
        <w:t>九</w:t>
      </w:r>
      <w:r>
        <w:rPr>
          <w:rFonts w:hint="eastAsia" w:ascii="宋体" w:hAnsi="宋体" w:cs="宋体"/>
          <w:b/>
          <w:color w:val="auto"/>
          <w:highlight w:val="none"/>
          <w:lang w:val="en-US" w:eastAsia="zh-CN"/>
        </w:rPr>
        <w:t>、</w:t>
      </w:r>
      <w:r>
        <w:rPr>
          <w:rFonts w:hint="eastAsia" w:ascii="宋体" w:hAnsi="宋体" w:eastAsia="宋体" w:cs="宋体"/>
          <w:b/>
          <w:color w:val="auto"/>
          <w:highlight w:val="none"/>
        </w:rPr>
        <w:t>无重大违法记录声明格式</w:t>
      </w:r>
    </w:p>
    <w:p w14:paraId="55086804">
      <w:pPr>
        <w:spacing w:line="240" w:lineRule="atLeast"/>
        <w:jc w:val="center"/>
        <w:rPr>
          <w:rFonts w:hint="eastAsia" w:ascii="宋体" w:hAnsi="宋体" w:eastAsia="宋体" w:cs="宋体"/>
          <w:color w:val="auto"/>
          <w:sz w:val="28"/>
          <w:szCs w:val="36"/>
          <w:highlight w:val="none"/>
        </w:rPr>
      </w:pPr>
    </w:p>
    <w:p w14:paraId="4F613702">
      <w:pPr>
        <w:spacing w:line="240" w:lineRule="atLeast"/>
        <w:jc w:val="center"/>
        <w:rPr>
          <w:rFonts w:hint="eastAsia" w:ascii="宋体" w:hAnsi="宋体" w:eastAsia="宋体" w:cs="宋体"/>
          <w:color w:val="auto"/>
          <w:sz w:val="28"/>
          <w:szCs w:val="36"/>
          <w:highlight w:val="none"/>
        </w:rPr>
      </w:pPr>
      <w:r>
        <w:rPr>
          <w:rFonts w:hint="eastAsia" w:ascii="宋体" w:hAnsi="宋体" w:eastAsia="宋体" w:cs="宋体"/>
          <w:color w:val="auto"/>
          <w:sz w:val="28"/>
          <w:szCs w:val="36"/>
          <w:highlight w:val="none"/>
        </w:rPr>
        <w:t>无重大违法记录声明</w:t>
      </w:r>
    </w:p>
    <w:p w14:paraId="1647BDB2">
      <w:pPr>
        <w:spacing w:line="360" w:lineRule="auto"/>
        <w:rPr>
          <w:rFonts w:hint="eastAsia" w:ascii="宋体" w:hAnsi="宋体" w:eastAsia="宋体" w:cs="宋体"/>
          <w:color w:val="auto"/>
          <w:szCs w:val="21"/>
          <w:highlight w:val="none"/>
        </w:rPr>
      </w:pPr>
    </w:p>
    <w:p w14:paraId="3D999CB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江苏省设备成套股份有限公司：</w:t>
      </w:r>
    </w:p>
    <w:p w14:paraId="17E63D21">
      <w:pPr>
        <w:spacing w:line="360" w:lineRule="auto"/>
        <w:rPr>
          <w:rFonts w:hint="eastAsia" w:ascii="宋体" w:hAnsi="宋体" w:eastAsia="宋体" w:cs="宋体"/>
          <w:color w:val="auto"/>
          <w:highlight w:val="none"/>
        </w:rPr>
      </w:pPr>
    </w:p>
    <w:p w14:paraId="13C0DB49">
      <w:pPr>
        <w:spacing w:line="360" w:lineRule="auto"/>
        <w:ind w:firstLine="336" w:firstLineChars="160"/>
        <w:rPr>
          <w:rFonts w:hint="eastAsia" w:ascii="宋体" w:hAnsi="宋体" w:eastAsia="宋体" w:cs="宋体"/>
          <w:color w:val="auto"/>
          <w:highlight w:val="none"/>
        </w:rPr>
      </w:pPr>
      <w:r>
        <w:rPr>
          <w:rFonts w:hint="eastAsia" w:ascii="宋体" w:hAnsi="宋体" w:eastAsia="宋体" w:cs="宋体"/>
          <w:color w:val="auto"/>
          <w:highlight w:val="none"/>
        </w:rPr>
        <w:t>我单位（供应商名称）郑重声明：</w:t>
      </w:r>
    </w:p>
    <w:p w14:paraId="6D667EBD">
      <w:pPr>
        <w:widowControl/>
        <w:shd w:val="clear" w:color="auto" w:fill="FFFFFF"/>
        <w:spacing w:line="360" w:lineRule="auto"/>
        <w:ind w:firstLine="308" w:firstLineChars="147"/>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我单位</w:t>
      </w:r>
      <w:r>
        <w:rPr>
          <w:rFonts w:hint="eastAsia" w:ascii="宋体" w:hAnsi="宋体" w:eastAsia="宋体" w:cs="宋体"/>
          <w:color w:val="auto"/>
          <w:highlight w:val="none"/>
        </w:rPr>
        <w:t>参加采购活动前3年内在经营活动中（</w:t>
      </w:r>
      <w:r>
        <w:rPr>
          <w:rFonts w:hint="eastAsia" w:ascii="宋体" w:hAnsi="宋体" w:eastAsia="宋体" w:cs="宋体"/>
          <w:b/>
          <w:i/>
          <w:color w:val="auto"/>
          <w:highlight w:val="none"/>
          <w:u w:val="single"/>
        </w:rPr>
        <w:t>在下划线上如实填写：有或没有</w:t>
      </w:r>
      <w:r>
        <w:rPr>
          <w:rFonts w:hint="eastAsia" w:ascii="宋体" w:hAnsi="宋体" w:eastAsia="宋体" w:cs="宋体"/>
          <w:color w:val="auto"/>
          <w:highlight w:val="none"/>
        </w:rPr>
        <w:t>）</w:t>
      </w:r>
      <w:r>
        <w:rPr>
          <w:rFonts w:hint="eastAsia" w:ascii="宋体" w:hAnsi="宋体" w:eastAsia="宋体" w:cs="宋体"/>
          <w:b/>
          <w:color w:val="auto"/>
          <w:highlight w:val="none"/>
        </w:rPr>
        <w:t>重大违法记录</w:t>
      </w:r>
      <w:r>
        <w:rPr>
          <w:rFonts w:hint="eastAsia" w:ascii="宋体" w:hAnsi="宋体" w:eastAsia="宋体" w:cs="宋体"/>
          <w:b/>
          <w:color w:val="auto"/>
          <w:kern w:val="0"/>
          <w:szCs w:val="21"/>
          <w:highlight w:val="none"/>
        </w:rPr>
        <w:t>，且不是失信被执行人、</w:t>
      </w:r>
      <w:r>
        <w:rPr>
          <w:rFonts w:hint="eastAsia" w:ascii="宋体" w:hAnsi="宋体" w:cs="宋体"/>
          <w:b/>
          <w:color w:val="auto"/>
          <w:kern w:val="0"/>
          <w:szCs w:val="21"/>
          <w:highlight w:val="none"/>
          <w:lang w:eastAsia="zh-CN"/>
        </w:rPr>
        <w:t>重大税收违法失信主体</w:t>
      </w:r>
      <w:r>
        <w:rPr>
          <w:rFonts w:hint="eastAsia" w:ascii="宋体" w:hAnsi="宋体" w:eastAsia="宋体" w:cs="宋体"/>
          <w:b/>
          <w:color w:val="auto"/>
          <w:kern w:val="0"/>
          <w:szCs w:val="21"/>
          <w:highlight w:val="none"/>
        </w:rPr>
        <w:t>、政府采购严重违法失信行为记录名单的供应商。</w:t>
      </w:r>
    </w:p>
    <w:p w14:paraId="0F6B721F">
      <w:pPr>
        <w:spacing w:line="360" w:lineRule="auto"/>
        <w:ind w:firstLine="420" w:firstLineChars="200"/>
        <w:rPr>
          <w:rFonts w:hint="eastAsia" w:ascii="宋体" w:hAnsi="宋体" w:eastAsia="宋体" w:cs="宋体"/>
          <w:color w:val="auto"/>
          <w:highlight w:val="none"/>
        </w:rPr>
      </w:pPr>
    </w:p>
    <w:p w14:paraId="645C6B11">
      <w:pPr>
        <w:spacing w:line="360" w:lineRule="auto"/>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（重大违法记录，是指供应商因违法经营受到刑事处罚或者责令停产停业、吊销许可证或者执照、较大数额罚款等行政处罚。）</w:t>
      </w:r>
    </w:p>
    <w:p w14:paraId="616BD46C">
      <w:pPr>
        <w:spacing w:line="360" w:lineRule="auto"/>
        <w:rPr>
          <w:rFonts w:hint="eastAsia" w:ascii="宋体" w:hAnsi="宋体" w:eastAsia="宋体" w:cs="宋体"/>
          <w:color w:val="auto"/>
          <w:highlight w:val="none"/>
        </w:rPr>
      </w:pPr>
    </w:p>
    <w:p w14:paraId="76450CC4">
      <w:pPr>
        <w:spacing w:line="360" w:lineRule="auto"/>
        <w:rPr>
          <w:rFonts w:hint="eastAsia" w:ascii="宋体" w:hAnsi="宋体" w:eastAsia="宋体" w:cs="宋体"/>
          <w:color w:val="auto"/>
          <w:highlight w:val="none"/>
        </w:rPr>
      </w:pPr>
    </w:p>
    <w:p w14:paraId="037BCA42">
      <w:pPr>
        <w:spacing w:line="360" w:lineRule="auto"/>
        <w:ind w:firstLine="5103" w:firstLineChars="2430"/>
        <w:rPr>
          <w:rFonts w:hint="eastAsia" w:ascii="宋体" w:hAnsi="宋体" w:eastAsia="宋体" w:cs="宋体"/>
          <w:color w:val="auto"/>
          <w:highlight w:val="none"/>
        </w:rPr>
      </w:pPr>
      <w:r>
        <w:rPr>
          <w:rFonts w:hint="eastAsia" w:ascii="宋体" w:hAnsi="宋体" w:eastAsia="宋体" w:cs="宋体"/>
          <w:color w:val="auto"/>
          <w:highlight w:val="none"/>
        </w:rPr>
        <w:t>声明人：（公章）</w:t>
      </w:r>
    </w:p>
    <w:p w14:paraId="3B080F7D">
      <w:pPr>
        <w:autoSpaceDE w:val="0"/>
        <w:autoSpaceDN w:val="0"/>
        <w:adjustRightInd w:val="0"/>
        <w:spacing w:line="360" w:lineRule="auto"/>
        <w:ind w:firstLine="5040" w:firstLineChars="2400"/>
        <w:rPr>
          <w:rFonts w:hint="eastAsia" w:ascii="宋体" w:hAnsi="宋体" w:eastAsia="宋体" w:cs="宋体"/>
          <w:b/>
          <w:color w:val="auto"/>
          <w:highlight w:val="none"/>
        </w:rPr>
      </w:pPr>
      <w:r>
        <w:rPr>
          <w:rFonts w:hint="eastAsia" w:ascii="宋体" w:hAnsi="宋体" w:eastAsia="宋体" w:cs="宋体"/>
          <w:color w:val="auto"/>
          <w:szCs w:val="21"/>
          <w:highlight w:val="none"/>
          <w:lang w:val="zh-CN"/>
        </w:rPr>
        <w:t>日期：</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年</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月</w:t>
      </w:r>
      <w:r>
        <w:rPr>
          <w:rFonts w:hint="eastAsia" w:ascii="宋体" w:hAnsi="宋体" w:eastAsia="宋体" w:cs="宋体"/>
          <w:b/>
          <w:color w:val="auto"/>
          <w:szCs w:val="21"/>
          <w:highlight w:val="none"/>
          <w:lang w:val="zh-CN"/>
        </w:rPr>
        <w:br w:type="page"/>
      </w:r>
    </w:p>
    <w:p w14:paraId="5C5D3467">
      <w:pPr>
        <w:autoSpaceDE w:val="0"/>
        <w:autoSpaceDN w:val="0"/>
        <w:adjustRightIn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附件十、 资格资信证明文件</w:t>
      </w:r>
    </w:p>
    <w:p w14:paraId="465CB084">
      <w:pPr>
        <w:autoSpaceDE w:val="0"/>
        <w:autoSpaceDN w:val="0"/>
        <w:adjustRightInd w:val="0"/>
        <w:spacing w:line="360" w:lineRule="auto"/>
        <w:rPr>
          <w:rFonts w:hint="eastAsia" w:ascii="宋体" w:hAnsi="宋体" w:eastAsia="宋体" w:cs="宋体"/>
          <w:b/>
          <w:color w:val="auto"/>
          <w:highlight w:val="none"/>
        </w:rPr>
      </w:pPr>
    </w:p>
    <w:p w14:paraId="24989324">
      <w:pPr>
        <w:autoSpaceDE w:val="0"/>
        <w:autoSpaceDN w:val="0"/>
        <w:adjustRightInd w:val="0"/>
        <w:spacing w:line="360" w:lineRule="auto"/>
        <w:rPr>
          <w:rFonts w:hint="eastAsia" w:ascii="宋体" w:hAnsi="宋体" w:eastAsia="宋体" w:cs="宋体"/>
          <w:b/>
          <w:color w:val="auto"/>
          <w:highlight w:val="none"/>
        </w:rPr>
      </w:pPr>
    </w:p>
    <w:p w14:paraId="7C87C2C6">
      <w:pPr>
        <w:autoSpaceDE w:val="0"/>
        <w:autoSpaceDN w:val="0"/>
        <w:adjustRightInd w:val="0"/>
        <w:spacing w:line="360" w:lineRule="auto"/>
        <w:rPr>
          <w:rFonts w:hint="eastAsia" w:ascii="宋体" w:hAnsi="宋体" w:eastAsia="宋体" w:cs="宋体"/>
          <w:b/>
          <w:color w:val="auto"/>
          <w:highlight w:val="none"/>
        </w:rPr>
      </w:pPr>
    </w:p>
    <w:p w14:paraId="78A06DDB">
      <w:pPr>
        <w:autoSpaceDE w:val="0"/>
        <w:autoSpaceDN w:val="0"/>
        <w:adjustRightInd w:val="0"/>
        <w:spacing w:line="360" w:lineRule="auto"/>
        <w:rPr>
          <w:rFonts w:hint="eastAsia" w:ascii="宋体" w:hAnsi="宋体" w:eastAsia="宋体" w:cs="宋体"/>
          <w:b/>
          <w:color w:val="auto"/>
          <w:highlight w:val="none"/>
        </w:rPr>
      </w:pPr>
    </w:p>
    <w:p w14:paraId="2B864416">
      <w:pPr>
        <w:autoSpaceDE w:val="0"/>
        <w:autoSpaceDN w:val="0"/>
        <w:adjustRightInd w:val="0"/>
        <w:spacing w:line="360" w:lineRule="auto"/>
        <w:rPr>
          <w:rFonts w:hint="eastAsia" w:ascii="宋体" w:hAnsi="宋体" w:eastAsia="宋体" w:cs="宋体"/>
          <w:b/>
          <w:color w:val="auto"/>
          <w:highlight w:val="none"/>
        </w:rPr>
      </w:pPr>
    </w:p>
    <w:p w14:paraId="6F2AA100">
      <w:pPr>
        <w:autoSpaceDE w:val="0"/>
        <w:autoSpaceDN w:val="0"/>
        <w:adjustRightIn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附件十</w:t>
      </w:r>
      <w:r>
        <w:rPr>
          <w:rFonts w:hint="eastAsia" w:ascii="宋体" w:hAnsi="宋体" w:cs="宋体"/>
          <w:b/>
          <w:color w:val="auto"/>
          <w:highlight w:val="none"/>
          <w:lang w:val="en-US" w:eastAsia="zh-CN"/>
        </w:rPr>
        <w:t>一</w:t>
      </w:r>
      <w:r>
        <w:rPr>
          <w:rFonts w:hint="eastAsia" w:ascii="宋体" w:hAnsi="宋体" w:eastAsia="宋体" w:cs="宋体"/>
          <w:b/>
          <w:color w:val="auto"/>
          <w:highlight w:val="none"/>
        </w:rPr>
        <w:t>、 联合体协议及联合体授权委托书（如允许联合体）</w:t>
      </w:r>
    </w:p>
    <w:p w14:paraId="37EA73AC">
      <w:pPr>
        <w:autoSpaceDE w:val="0"/>
        <w:autoSpaceDN w:val="0"/>
        <w:adjustRightInd w:val="0"/>
        <w:spacing w:line="360" w:lineRule="auto"/>
        <w:rPr>
          <w:rFonts w:hint="eastAsia" w:ascii="宋体" w:hAnsi="宋体" w:eastAsia="宋体" w:cs="宋体"/>
          <w:b/>
          <w:color w:val="auto"/>
          <w:highlight w:val="none"/>
        </w:rPr>
      </w:pPr>
    </w:p>
    <w:p w14:paraId="0D3D2A2A">
      <w:pPr>
        <w:autoSpaceDE w:val="0"/>
        <w:autoSpaceDN w:val="0"/>
        <w:adjustRightInd w:val="0"/>
        <w:spacing w:line="360" w:lineRule="auto"/>
        <w:rPr>
          <w:rFonts w:hint="eastAsia" w:ascii="宋体" w:hAnsi="宋体" w:eastAsia="宋体" w:cs="宋体"/>
          <w:b/>
          <w:color w:val="auto"/>
          <w:highlight w:val="none"/>
        </w:rPr>
      </w:pPr>
    </w:p>
    <w:p w14:paraId="69A802BF">
      <w:pPr>
        <w:autoSpaceDE w:val="0"/>
        <w:autoSpaceDN w:val="0"/>
        <w:adjustRightInd w:val="0"/>
        <w:spacing w:line="360" w:lineRule="auto"/>
        <w:rPr>
          <w:rFonts w:hint="eastAsia" w:ascii="宋体" w:hAnsi="宋体" w:eastAsia="宋体" w:cs="宋体"/>
          <w:b/>
          <w:color w:val="auto"/>
          <w:highlight w:val="none"/>
        </w:rPr>
      </w:pPr>
    </w:p>
    <w:p w14:paraId="15469F4A">
      <w:pPr>
        <w:autoSpaceDE w:val="0"/>
        <w:autoSpaceDN w:val="0"/>
        <w:adjustRightInd w:val="0"/>
        <w:spacing w:line="360" w:lineRule="auto"/>
        <w:rPr>
          <w:rFonts w:hint="eastAsia" w:ascii="宋体" w:hAnsi="宋体" w:eastAsia="宋体" w:cs="宋体"/>
          <w:b/>
          <w:color w:val="auto"/>
          <w:highlight w:val="none"/>
        </w:rPr>
      </w:pPr>
    </w:p>
    <w:p w14:paraId="0C048DDE">
      <w:pPr>
        <w:autoSpaceDE w:val="0"/>
        <w:autoSpaceDN w:val="0"/>
        <w:adjustRightInd w:val="0"/>
        <w:spacing w:line="360" w:lineRule="auto"/>
        <w:rPr>
          <w:rFonts w:hint="eastAsia" w:ascii="宋体" w:hAnsi="宋体" w:eastAsia="宋体" w:cs="宋体"/>
          <w:b/>
          <w:color w:val="auto"/>
          <w:highlight w:val="none"/>
          <w:lang w:val="en-US"/>
        </w:rPr>
      </w:pPr>
      <w:r>
        <w:rPr>
          <w:rFonts w:hint="eastAsia" w:ascii="宋体" w:hAnsi="宋体" w:eastAsia="宋体" w:cs="宋体"/>
          <w:b/>
          <w:color w:val="auto"/>
          <w:highlight w:val="none"/>
        </w:rPr>
        <w:t>附件十</w:t>
      </w:r>
      <w:r>
        <w:rPr>
          <w:rFonts w:hint="eastAsia" w:ascii="宋体" w:hAnsi="宋体" w:cs="宋体"/>
          <w:b/>
          <w:color w:val="auto"/>
          <w:highlight w:val="none"/>
          <w:lang w:val="en-US" w:eastAsia="zh-CN"/>
        </w:rPr>
        <w:t>二</w:t>
      </w:r>
      <w:r>
        <w:rPr>
          <w:rFonts w:hint="eastAsia" w:ascii="宋体" w:hAnsi="宋体" w:eastAsia="宋体" w:cs="宋体"/>
          <w:b/>
          <w:color w:val="auto"/>
          <w:highlight w:val="none"/>
        </w:rPr>
        <w:t>、</w:t>
      </w:r>
      <w:r>
        <w:rPr>
          <w:rFonts w:hint="eastAsia" w:ascii="宋体" w:hAnsi="宋体" w:eastAsia="宋体" w:cs="宋体"/>
          <w:b/>
          <w:color w:val="auto"/>
          <w:highlight w:val="none"/>
          <w:lang w:val="en-US" w:eastAsia="zh-CN"/>
        </w:rPr>
        <w:t>投标保证金缴纳凭证（如有）</w:t>
      </w:r>
    </w:p>
    <w:p w14:paraId="6DA0891B">
      <w:pPr>
        <w:autoSpaceDE w:val="0"/>
        <w:autoSpaceDN w:val="0"/>
        <w:adjustRightInd w:val="0"/>
        <w:spacing w:line="360" w:lineRule="auto"/>
        <w:rPr>
          <w:rFonts w:hint="eastAsia" w:ascii="宋体" w:hAnsi="宋体" w:eastAsia="宋体" w:cs="宋体"/>
          <w:b/>
          <w:color w:val="auto"/>
          <w:highlight w:val="none"/>
        </w:rPr>
      </w:pPr>
    </w:p>
    <w:p w14:paraId="0A62E152">
      <w:pPr>
        <w:autoSpaceDE w:val="0"/>
        <w:autoSpaceDN w:val="0"/>
        <w:adjustRightInd w:val="0"/>
        <w:spacing w:line="360" w:lineRule="auto"/>
        <w:rPr>
          <w:rFonts w:hint="eastAsia" w:ascii="宋体" w:hAnsi="宋体" w:eastAsia="宋体" w:cs="宋体"/>
          <w:b/>
          <w:color w:val="auto"/>
          <w:highlight w:val="none"/>
        </w:rPr>
      </w:pPr>
    </w:p>
    <w:p w14:paraId="0ED23BD8">
      <w:pPr>
        <w:autoSpaceDE w:val="0"/>
        <w:autoSpaceDN w:val="0"/>
        <w:adjustRightInd w:val="0"/>
        <w:spacing w:line="360" w:lineRule="auto"/>
        <w:rPr>
          <w:rFonts w:hint="eastAsia" w:ascii="宋体" w:hAnsi="宋体" w:eastAsia="宋体" w:cs="宋体"/>
          <w:b/>
          <w:color w:val="auto"/>
          <w:highlight w:val="none"/>
        </w:rPr>
      </w:pPr>
    </w:p>
    <w:p w14:paraId="008E43DA">
      <w:pPr>
        <w:autoSpaceDE w:val="0"/>
        <w:autoSpaceDN w:val="0"/>
        <w:adjustRightInd w:val="0"/>
        <w:spacing w:line="360" w:lineRule="auto"/>
        <w:rPr>
          <w:rFonts w:hint="eastAsia" w:ascii="宋体" w:hAnsi="宋体" w:eastAsia="宋体" w:cs="宋体"/>
          <w:b/>
          <w:color w:val="auto"/>
          <w:highlight w:val="none"/>
        </w:rPr>
      </w:pPr>
    </w:p>
    <w:p w14:paraId="4264961F">
      <w:pPr>
        <w:autoSpaceDE w:val="0"/>
        <w:autoSpaceDN w:val="0"/>
        <w:adjustRightInd w:val="0"/>
        <w:spacing w:line="360" w:lineRule="auto"/>
        <w:rPr>
          <w:rFonts w:hint="eastAsia" w:ascii="宋体" w:hAnsi="宋体" w:eastAsia="宋体" w:cs="宋体"/>
          <w:b/>
          <w:color w:val="auto"/>
          <w:highlight w:val="none"/>
        </w:rPr>
      </w:pPr>
    </w:p>
    <w:p w14:paraId="529F4C82">
      <w:pPr>
        <w:autoSpaceDE/>
        <w:autoSpaceDN/>
        <w:adjustRightInd/>
        <w:spacing w:line="240" w:lineRule="auto"/>
        <w:rPr>
          <w:rFonts w:hint="eastAsia" w:ascii="宋体" w:hAnsi="宋体" w:eastAsia="宋体" w:cs="宋体"/>
          <w:b/>
          <w:color w:val="auto"/>
          <w:highlight w:val="none"/>
        </w:rPr>
      </w:pPr>
      <w:r>
        <w:rPr>
          <w:rFonts w:hint="eastAsia" w:ascii="宋体" w:hAnsi="宋体" w:eastAsia="宋体" w:cs="宋体"/>
          <w:b/>
          <w:color w:val="auto"/>
          <w:highlight w:val="none"/>
        </w:rPr>
        <w:br w:type="page"/>
      </w:r>
    </w:p>
    <w:p w14:paraId="5C68B450">
      <w:pPr>
        <w:autoSpaceDE w:val="0"/>
        <w:autoSpaceDN w:val="0"/>
        <w:adjustRightInd w:val="0"/>
        <w:spacing w:line="360" w:lineRule="auto"/>
        <w:rPr>
          <w:rFonts w:hint="eastAsia" w:ascii="宋体" w:hAnsi="宋体" w:cs="宋体"/>
          <w:b/>
          <w:color w:val="auto"/>
          <w:highlight w:val="none"/>
          <w:lang w:val="en-US" w:eastAsia="zh-CN"/>
        </w:rPr>
      </w:pPr>
      <w:r>
        <w:rPr>
          <w:rFonts w:hint="eastAsia" w:ascii="宋体" w:hAnsi="宋体" w:eastAsia="宋体" w:cs="宋体"/>
          <w:b/>
          <w:color w:val="auto"/>
          <w:highlight w:val="none"/>
        </w:rPr>
        <w:t>附件十</w:t>
      </w:r>
      <w:r>
        <w:rPr>
          <w:rFonts w:hint="eastAsia" w:ascii="宋体" w:hAnsi="宋体" w:cs="宋体"/>
          <w:b/>
          <w:color w:val="auto"/>
          <w:highlight w:val="none"/>
          <w:lang w:val="en-US" w:eastAsia="zh-CN"/>
        </w:rPr>
        <w:t>三</w:t>
      </w:r>
      <w:r>
        <w:rPr>
          <w:rFonts w:hint="eastAsia" w:ascii="宋体" w:hAnsi="宋体" w:eastAsia="宋体" w:cs="宋体"/>
          <w:b/>
          <w:color w:val="auto"/>
          <w:highlight w:val="none"/>
        </w:rPr>
        <w:t>、</w:t>
      </w:r>
      <w:r>
        <w:rPr>
          <w:rFonts w:hint="eastAsia" w:ascii="宋体" w:hAnsi="宋体" w:cs="宋体"/>
          <w:b/>
          <w:color w:val="auto"/>
          <w:highlight w:val="none"/>
          <w:lang w:val="en-US" w:eastAsia="zh-CN"/>
        </w:rPr>
        <w:t>质保承诺书</w:t>
      </w:r>
    </w:p>
    <w:p w14:paraId="1BFC532F">
      <w:pPr>
        <w:keepNext w:val="0"/>
        <w:keepLines w:val="0"/>
        <w:pageBreakBefore w:val="0"/>
        <w:widowControl w:val="0"/>
        <w:kinsoku/>
        <w:wordWrap/>
        <w:overflowPunct/>
        <w:topLinePunct w:val="0"/>
        <w:autoSpaceDE/>
        <w:autoSpaceDN/>
        <w:bidi w:val="0"/>
        <w:adjustRightInd/>
        <w:snapToGrid/>
        <w:spacing w:line="360" w:lineRule="auto"/>
        <w:ind w:right="-510" w:firstLine="0" w:firstLineChars="0"/>
        <w:textAlignment w:val="auto"/>
        <w:rPr>
          <w:rFonts w:hint="eastAsia" w:ascii="宋体" w:hAnsi="宋体" w:cs="宋体"/>
          <w:color w:val="auto"/>
          <w:highlight w:val="none"/>
          <w:lang w:val="en-US" w:eastAsia="zh-CN"/>
        </w:rPr>
      </w:pPr>
    </w:p>
    <w:p w14:paraId="7EAB3BB8">
      <w:pPr>
        <w:keepNext w:val="0"/>
        <w:keepLines w:val="0"/>
        <w:pageBreakBefore w:val="0"/>
        <w:widowControl w:val="0"/>
        <w:kinsoku/>
        <w:wordWrap/>
        <w:overflowPunct/>
        <w:topLinePunct w:val="0"/>
        <w:autoSpaceDE/>
        <w:autoSpaceDN/>
        <w:bidi w:val="0"/>
        <w:adjustRightInd/>
        <w:snapToGrid/>
        <w:spacing w:line="360" w:lineRule="auto"/>
        <w:ind w:right="-510" w:firstLine="0" w:firstLineChars="0"/>
        <w:textAlignment w:val="auto"/>
        <w:rPr>
          <w:rFonts w:hint="eastAsia" w:ascii="宋体" w:hAnsi="宋体" w:cs="宋体"/>
          <w:color w:val="auto"/>
          <w:highlight w:val="none"/>
          <w:lang w:val="en-US" w:eastAsia="zh-CN"/>
        </w:rPr>
      </w:pPr>
    </w:p>
    <w:p w14:paraId="12AD9A5F">
      <w:pPr>
        <w:keepNext w:val="0"/>
        <w:keepLines w:val="0"/>
        <w:pageBreakBefore w:val="0"/>
        <w:widowControl w:val="0"/>
        <w:kinsoku/>
        <w:wordWrap/>
        <w:overflowPunct/>
        <w:topLinePunct w:val="0"/>
        <w:autoSpaceDE/>
        <w:autoSpaceDN/>
        <w:bidi w:val="0"/>
        <w:adjustRightInd/>
        <w:snapToGrid/>
        <w:spacing w:line="360" w:lineRule="auto"/>
        <w:ind w:right="-510" w:firstLine="0" w:firstLineChars="0"/>
        <w:textAlignment w:val="auto"/>
        <w:rPr>
          <w:rFonts w:hint="default"/>
          <w:color w:val="auto"/>
          <w:highlight w:val="none"/>
          <w:lang w:val="en-US" w:eastAsia="zh-CN"/>
        </w:rPr>
      </w:pPr>
      <w:r>
        <w:rPr>
          <w:rFonts w:hint="eastAsia" w:ascii="宋体" w:hAnsi="宋体" w:cs="宋体"/>
          <w:color w:val="auto"/>
          <w:highlight w:val="none"/>
          <w:lang w:val="en-US" w:eastAsia="zh-CN"/>
        </w:rPr>
        <w:t>致中国医学科学院皮肤病医院：</w:t>
      </w:r>
    </w:p>
    <w:p w14:paraId="6B01BF6A">
      <w:pPr>
        <w:widowControl w:val="0"/>
        <w:spacing w:line="360" w:lineRule="auto"/>
        <w:ind w:right="-510"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根据招标文件的要求，我司承诺所提供的间苯二酚原辅料及供货服务、质保服务满足贵单位的要求。</w:t>
      </w:r>
    </w:p>
    <w:p w14:paraId="15BF9B39">
      <w:pPr>
        <w:keepNext w:val="0"/>
        <w:keepLines w:val="0"/>
        <w:pageBreakBefore w:val="0"/>
        <w:widowControl w:val="0"/>
        <w:kinsoku/>
        <w:wordWrap/>
        <w:overflowPunct/>
        <w:topLinePunct w:val="0"/>
        <w:autoSpaceDE/>
        <w:autoSpaceDN/>
        <w:bidi w:val="0"/>
        <w:adjustRightInd/>
        <w:snapToGrid/>
        <w:spacing w:line="360" w:lineRule="auto"/>
        <w:ind w:right="-51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如发现我单位不满足上述情形，我方无条件接受被否决投标。如</w:t>
      </w:r>
      <w:r>
        <w:rPr>
          <w:rFonts w:hint="eastAsia" w:ascii="宋体" w:hAnsi="宋体" w:cs="宋体"/>
          <w:color w:val="auto"/>
          <w:highlight w:val="none"/>
          <w:lang w:val="en-US" w:eastAsia="zh-CN"/>
        </w:rPr>
        <w:t>中标后</w:t>
      </w:r>
      <w:r>
        <w:rPr>
          <w:rFonts w:hint="eastAsia" w:ascii="宋体" w:hAnsi="宋体" w:eastAsia="宋体" w:cs="宋体"/>
          <w:color w:val="auto"/>
          <w:highlight w:val="none"/>
        </w:rPr>
        <w:t>发现我单位不满足上述情形，招标人可无条件取消我单位中标资格</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无条件解除合同</w:t>
      </w:r>
      <w:r>
        <w:rPr>
          <w:rFonts w:hint="eastAsia" w:ascii="宋体" w:hAnsi="宋体" w:eastAsia="宋体" w:cs="宋体"/>
          <w:color w:val="auto"/>
          <w:highlight w:val="none"/>
        </w:rPr>
        <w:t>。</w:t>
      </w:r>
    </w:p>
    <w:p w14:paraId="3CC9FB7B">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color w:val="auto"/>
          <w:highlight w:val="none"/>
          <w:lang w:val="en-US" w:eastAsia="zh-CN"/>
        </w:rPr>
      </w:pPr>
    </w:p>
    <w:p w14:paraId="32BD3D17">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color w:val="auto"/>
          <w:highlight w:val="none"/>
          <w:lang w:val="en-US" w:eastAsia="zh-CN"/>
        </w:rPr>
      </w:pPr>
    </w:p>
    <w:p w14:paraId="61E8A070">
      <w:pPr>
        <w:keepNext w:val="0"/>
        <w:keepLines w:val="0"/>
        <w:pageBreakBefore w:val="0"/>
        <w:widowControl w:val="0"/>
        <w:kinsoku/>
        <w:wordWrap/>
        <w:overflowPunct/>
        <w:topLinePunct w:val="0"/>
        <w:autoSpaceDE/>
        <w:autoSpaceDN/>
        <w:bidi w:val="0"/>
        <w:adjustRightInd/>
        <w:snapToGrid/>
        <w:spacing w:line="360" w:lineRule="auto"/>
        <w:ind w:firstLine="5103" w:firstLineChars="2430"/>
        <w:jc w:val="right"/>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承诺</w:t>
      </w:r>
      <w:r>
        <w:rPr>
          <w:rFonts w:hint="eastAsia" w:ascii="宋体" w:hAnsi="宋体" w:eastAsia="宋体" w:cs="宋体"/>
          <w:color w:val="auto"/>
          <w:highlight w:val="none"/>
        </w:rPr>
        <w:t>人：（公章）</w:t>
      </w:r>
    </w:p>
    <w:p w14:paraId="457AFD44">
      <w:pPr>
        <w:keepNext w:val="0"/>
        <w:keepLines w:val="0"/>
        <w:pageBreakBefore w:val="0"/>
        <w:widowControl w:val="0"/>
        <w:kinsoku/>
        <w:wordWrap/>
        <w:overflowPunct/>
        <w:topLinePunct w:val="0"/>
        <w:autoSpaceDE/>
        <w:autoSpaceDN/>
        <w:bidi w:val="0"/>
        <w:adjustRightInd/>
        <w:snapToGrid/>
        <w:spacing w:line="360" w:lineRule="auto"/>
        <w:ind w:firstLine="5103" w:firstLineChars="2430"/>
        <w:jc w:val="right"/>
        <w:textAlignment w:val="auto"/>
        <w:rPr>
          <w:rFonts w:hint="eastAsia" w:ascii="宋体" w:hAnsi="宋体" w:cs="宋体"/>
          <w:b w:val="0"/>
          <w:color w:val="auto"/>
          <w:highlight w:val="none"/>
          <w:lang w:val="en-US" w:eastAsia="zh-CN"/>
        </w:rPr>
      </w:pPr>
      <w:r>
        <w:rPr>
          <w:rFonts w:hint="eastAsia" w:ascii="宋体" w:hAnsi="宋体" w:eastAsia="宋体" w:cs="宋体"/>
          <w:color w:val="auto"/>
          <w:szCs w:val="24"/>
          <w:highlight w:val="none"/>
          <w:lang w:val="zh-CN"/>
        </w:rPr>
        <w:t>日期：</w:t>
      </w:r>
      <w:r>
        <w:rPr>
          <w:rFonts w:hint="eastAsia" w:ascii="宋体" w:hAnsi="宋体" w:eastAsia="宋体" w:cs="宋体"/>
          <w:color w:val="auto"/>
          <w:szCs w:val="24"/>
          <w:highlight w:val="none"/>
        </w:rPr>
        <w:t xml:space="preserve">    </w:t>
      </w:r>
      <w:r>
        <w:rPr>
          <w:rFonts w:hint="eastAsia" w:ascii="宋体" w:hAnsi="宋体" w:eastAsia="宋体" w:cs="宋体"/>
          <w:color w:val="auto"/>
          <w:szCs w:val="24"/>
          <w:highlight w:val="none"/>
          <w:lang w:val="zh-CN"/>
        </w:rPr>
        <w:t>年</w:t>
      </w:r>
      <w:r>
        <w:rPr>
          <w:rFonts w:hint="eastAsia" w:ascii="宋体" w:hAnsi="宋体" w:eastAsia="宋体" w:cs="宋体"/>
          <w:color w:val="auto"/>
          <w:szCs w:val="24"/>
          <w:highlight w:val="none"/>
        </w:rPr>
        <w:t xml:space="preserve">   </w:t>
      </w:r>
      <w:r>
        <w:rPr>
          <w:rFonts w:hint="eastAsia" w:ascii="宋体" w:hAnsi="宋体" w:eastAsia="宋体" w:cs="宋体"/>
          <w:color w:val="auto"/>
          <w:szCs w:val="24"/>
          <w:highlight w:val="none"/>
          <w:lang w:val="zh-CN"/>
        </w:rPr>
        <w:t>月</w:t>
      </w:r>
    </w:p>
    <w:p w14:paraId="1CFD51A1">
      <w:pPr>
        <w:rPr>
          <w:rFonts w:hint="default" w:ascii="宋体" w:hAnsi="宋体" w:cs="宋体"/>
          <w:b/>
          <w:color w:val="auto"/>
          <w:highlight w:val="none"/>
          <w:lang w:val="en-US" w:eastAsia="zh-CN"/>
        </w:rPr>
      </w:pPr>
      <w:r>
        <w:rPr>
          <w:rFonts w:hint="default" w:ascii="宋体" w:hAnsi="宋体" w:cs="宋体"/>
          <w:b/>
          <w:color w:val="auto"/>
          <w:highlight w:val="none"/>
          <w:lang w:val="en-US" w:eastAsia="zh-CN"/>
        </w:rPr>
        <w:br w:type="page"/>
      </w:r>
    </w:p>
    <w:p w14:paraId="31BC59A5">
      <w:pPr>
        <w:autoSpaceDE w:val="0"/>
        <w:autoSpaceDN w:val="0"/>
        <w:adjustRightInd w:val="0"/>
        <w:spacing w:line="360" w:lineRule="auto"/>
        <w:rPr>
          <w:rFonts w:hint="eastAsia" w:ascii="宋体" w:hAnsi="宋体" w:eastAsia="宋体" w:cs="宋体"/>
          <w:color w:val="auto"/>
          <w:highlight w:val="none"/>
        </w:rPr>
      </w:pPr>
      <w:r>
        <w:rPr>
          <w:rFonts w:hint="eastAsia" w:ascii="宋体" w:hAnsi="宋体" w:eastAsia="宋体" w:cs="宋体"/>
          <w:b/>
          <w:color w:val="auto"/>
          <w:highlight w:val="none"/>
        </w:rPr>
        <w:t>附件十</w:t>
      </w:r>
      <w:r>
        <w:rPr>
          <w:rFonts w:hint="eastAsia" w:ascii="宋体" w:hAnsi="宋体" w:cs="宋体"/>
          <w:b/>
          <w:color w:val="auto"/>
          <w:highlight w:val="none"/>
          <w:lang w:val="en-US" w:eastAsia="zh-CN"/>
        </w:rPr>
        <w:t>四</w:t>
      </w:r>
      <w:r>
        <w:rPr>
          <w:rFonts w:hint="eastAsia" w:ascii="宋体" w:hAnsi="宋体" w:eastAsia="宋体" w:cs="宋体"/>
          <w:b/>
          <w:color w:val="auto"/>
          <w:highlight w:val="none"/>
        </w:rPr>
        <w:t>、</w:t>
      </w:r>
      <w:r>
        <w:rPr>
          <w:rFonts w:hint="eastAsia" w:ascii="宋体" w:hAnsi="宋体" w:cs="宋体"/>
          <w:b/>
          <w:color w:val="auto"/>
          <w:highlight w:val="none"/>
          <w:lang w:val="en-US" w:eastAsia="zh-CN"/>
        </w:rPr>
        <w:t>供货量承诺书</w:t>
      </w:r>
    </w:p>
    <w:p w14:paraId="3C4D4928">
      <w:pPr>
        <w:widowControl w:val="0"/>
        <w:spacing w:line="360" w:lineRule="auto"/>
        <w:ind w:right="-510" w:firstLine="0" w:firstLineChars="0"/>
        <w:rPr>
          <w:rFonts w:hint="eastAsia" w:ascii="宋体" w:hAnsi="宋体" w:cs="宋体"/>
          <w:color w:val="auto"/>
          <w:highlight w:val="none"/>
          <w:lang w:val="en-US" w:eastAsia="zh-CN"/>
        </w:rPr>
      </w:pPr>
    </w:p>
    <w:p w14:paraId="46C73A81">
      <w:pPr>
        <w:widowControl w:val="0"/>
        <w:spacing w:line="360" w:lineRule="auto"/>
        <w:ind w:right="-510" w:firstLine="0" w:firstLineChars="0"/>
        <w:rPr>
          <w:rFonts w:hint="eastAsia" w:ascii="宋体" w:hAnsi="宋体" w:cs="宋体"/>
          <w:color w:val="auto"/>
          <w:highlight w:val="none"/>
          <w:lang w:val="en-US" w:eastAsia="zh-CN"/>
        </w:rPr>
      </w:pPr>
    </w:p>
    <w:p w14:paraId="392FAB47">
      <w:pPr>
        <w:widowControl w:val="0"/>
        <w:spacing w:line="360" w:lineRule="auto"/>
        <w:ind w:right="-510" w:firstLine="0" w:firstLineChars="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致中国医学科学院皮肤病医院：</w:t>
      </w:r>
    </w:p>
    <w:p w14:paraId="51CCE15F">
      <w:pPr>
        <w:widowControl w:val="0"/>
        <w:spacing w:line="360" w:lineRule="auto"/>
        <w:ind w:right="-510"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根据招标文件的要求，我司承诺具备向贵单位提供80kg/年间苯二酚原辅料的能力。</w:t>
      </w:r>
    </w:p>
    <w:p w14:paraId="0C6A0E2A">
      <w:pPr>
        <w:keepNext w:val="0"/>
        <w:keepLines w:val="0"/>
        <w:pageBreakBefore w:val="0"/>
        <w:widowControl w:val="0"/>
        <w:kinsoku/>
        <w:wordWrap/>
        <w:overflowPunct/>
        <w:topLinePunct w:val="0"/>
        <w:autoSpaceDE/>
        <w:autoSpaceDN/>
        <w:bidi w:val="0"/>
        <w:adjustRightInd/>
        <w:snapToGrid/>
        <w:spacing w:line="360" w:lineRule="auto"/>
        <w:ind w:right="-51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如发现我单位不满足上述情形，我方无条件接受被否决投标。如</w:t>
      </w:r>
      <w:r>
        <w:rPr>
          <w:rFonts w:hint="eastAsia" w:ascii="宋体" w:hAnsi="宋体" w:cs="宋体"/>
          <w:color w:val="auto"/>
          <w:highlight w:val="none"/>
          <w:lang w:val="en-US" w:eastAsia="zh-CN"/>
        </w:rPr>
        <w:t>中标后</w:t>
      </w:r>
      <w:r>
        <w:rPr>
          <w:rFonts w:hint="eastAsia" w:ascii="宋体" w:hAnsi="宋体" w:eastAsia="宋体" w:cs="宋体"/>
          <w:color w:val="auto"/>
          <w:highlight w:val="none"/>
        </w:rPr>
        <w:t>发现我单位不满足上述情形，招标人可无条件取消我单位中标资格</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无条件解除合同</w:t>
      </w:r>
      <w:r>
        <w:rPr>
          <w:rFonts w:hint="eastAsia" w:ascii="宋体" w:hAnsi="宋体" w:eastAsia="宋体" w:cs="宋体"/>
          <w:color w:val="auto"/>
          <w:highlight w:val="none"/>
        </w:rPr>
        <w:t>。</w:t>
      </w:r>
    </w:p>
    <w:p w14:paraId="472E71F5">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color w:val="auto"/>
          <w:highlight w:val="none"/>
          <w:lang w:val="en-US" w:eastAsia="zh-CN"/>
        </w:rPr>
      </w:pPr>
    </w:p>
    <w:p w14:paraId="53930576">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color w:val="auto"/>
          <w:highlight w:val="none"/>
          <w:lang w:val="en-US" w:eastAsia="zh-CN"/>
        </w:rPr>
      </w:pPr>
    </w:p>
    <w:p w14:paraId="1BA83F3F">
      <w:pPr>
        <w:keepNext w:val="0"/>
        <w:keepLines w:val="0"/>
        <w:pageBreakBefore w:val="0"/>
        <w:widowControl w:val="0"/>
        <w:kinsoku/>
        <w:wordWrap/>
        <w:overflowPunct/>
        <w:topLinePunct w:val="0"/>
        <w:autoSpaceDE/>
        <w:autoSpaceDN/>
        <w:bidi w:val="0"/>
        <w:adjustRightInd/>
        <w:snapToGrid/>
        <w:spacing w:line="360" w:lineRule="auto"/>
        <w:ind w:firstLine="5103" w:firstLineChars="2430"/>
        <w:jc w:val="right"/>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承诺</w:t>
      </w:r>
      <w:r>
        <w:rPr>
          <w:rFonts w:hint="eastAsia" w:ascii="宋体" w:hAnsi="宋体" w:eastAsia="宋体" w:cs="宋体"/>
          <w:color w:val="auto"/>
          <w:highlight w:val="none"/>
        </w:rPr>
        <w:t>人：（公章）</w:t>
      </w:r>
    </w:p>
    <w:p w14:paraId="51F1CD06">
      <w:pPr>
        <w:spacing w:line="360" w:lineRule="auto"/>
        <w:ind w:firstLine="5103" w:firstLineChars="2430"/>
        <w:jc w:val="right"/>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t>日期：</w:t>
      </w:r>
      <w:r>
        <w:rPr>
          <w:rFonts w:hint="eastAsia" w:ascii="宋体" w:hAnsi="宋体" w:eastAsia="宋体" w:cs="宋体"/>
          <w:color w:val="auto"/>
          <w:szCs w:val="24"/>
          <w:highlight w:val="none"/>
        </w:rPr>
        <w:t xml:space="preserve">    </w:t>
      </w:r>
      <w:r>
        <w:rPr>
          <w:rFonts w:hint="eastAsia" w:ascii="宋体" w:hAnsi="宋体" w:eastAsia="宋体" w:cs="宋体"/>
          <w:color w:val="auto"/>
          <w:szCs w:val="24"/>
          <w:highlight w:val="none"/>
          <w:lang w:val="zh-CN"/>
        </w:rPr>
        <w:t>年</w:t>
      </w:r>
      <w:r>
        <w:rPr>
          <w:rFonts w:hint="eastAsia" w:ascii="宋体" w:hAnsi="宋体" w:eastAsia="宋体" w:cs="宋体"/>
          <w:color w:val="auto"/>
          <w:szCs w:val="24"/>
          <w:highlight w:val="none"/>
        </w:rPr>
        <w:t xml:space="preserve">   </w:t>
      </w:r>
      <w:r>
        <w:rPr>
          <w:rFonts w:hint="eastAsia" w:ascii="宋体" w:hAnsi="宋体" w:eastAsia="宋体" w:cs="宋体"/>
          <w:color w:val="auto"/>
          <w:szCs w:val="24"/>
          <w:highlight w:val="none"/>
          <w:lang w:val="zh-CN"/>
        </w:rPr>
        <w:t>月</w:t>
      </w:r>
    </w:p>
    <w:p w14:paraId="6F8F92EA">
      <w:pPr>
        <w:rPr>
          <w:rFonts w:hint="eastAsia" w:ascii="宋体" w:hAnsi="宋体" w:eastAsia="宋体" w:cs="宋体"/>
          <w:color w:val="auto"/>
          <w:szCs w:val="24"/>
          <w:highlight w:val="none"/>
          <w:lang w:val="zh-CN"/>
        </w:rPr>
      </w:pPr>
      <w:r>
        <w:rPr>
          <w:rFonts w:hint="eastAsia" w:ascii="宋体" w:hAnsi="宋体" w:eastAsia="宋体" w:cs="宋体"/>
          <w:color w:val="auto"/>
          <w:szCs w:val="24"/>
          <w:highlight w:val="none"/>
          <w:lang w:val="zh-CN"/>
        </w:rPr>
        <w:br w:type="page"/>
      </w:r>
    </w:p>
    <w:p w14:paraId="04EB7E06">
      <w:pPr>
        <w:autoSpaceDE w:val="0"/>
        <w:autoSpaceDN w:val="0"/>
        <w:adjustRightInd w:val="0"/>
        <w:spacing w:line="360" w:lineRule="auto"/>
        <w:rPr>
          <w:rFonts w:hint="eastAsia" w:ascii="宋体" w:hAnsi="宋体" w:eastAsia="宋体" w:cs="宋体"/>
          <w:color w:val="auto"/>
          <w:highlight w:val="none"/>
        </w:rPr>
      </w:pPr>
      <w:r>
        <w:rPr>
          <w:rFonts w:hint="eastAsia" w:ascii="宋体" w:hAnsi="宋体" w:eastAsia="宋体" w:cs="宋体"/>
          <w:b/>
          <w:color w:val="auto"/>
          <w:highlight w:val="none"/>
        </w:rPr>
        <w:t>附件十</w:t>
      </w:r>
      <w:r>
        <w:rPr>
          <w:rFonts w:hint="eastAsia" w:ascii="宋体" w:hAnsi="宋体" w:cs="宋体"/>
          <w:b/>
          <w:color w:val="auto"/>
          <w:highlight w:val="none"/>
          <w:lang w:val="en-US" w:eastAsia="zh-CN"/>
        </w:rPr>
        <w:t>五</w:t>
      </w:r>
      <w:r>
        <w:rPr>
          <w:rFonts w:hint="eastAsia" w:ascii="宋体" w:hAnsi="宋体" w:eastAsia="宋体" w:cs="宋体"/>
          <w:b/>
          <w:color w:val="auto"/>
          <w:highlight w:val="none"/>
        </w:rPr>
        <w:t>、</w:t>
      </w:r>
      <w:r>
        <w:rPr>
          <w:rFonts w:hint="eastAsia" w:ascii="宋体" w:hAnsi="宋体" w:cs="宋体"/>
          <w:b/>
          <w:color w:val="auto"/>
          <w:highlight w:val="none"/>
          <w:lang w:val="en-US" w:eastAsia="zh-CN"/>
        </w:rPr>
        <w:t>其他</w:t>
      </w:r>
    </w:p>
    <w:p w14:paraId="1AADC998">
      <w:pPr>
        <w:pStyle w:val="3"/>
        <w:rPr>
          <w:rFonts w:hint="eastAsia" w:ascii="Times New Roman" w:hAnsi="Times New Roman" w:cs="Times New Roman"/>
          <w:b/>
          <w:color w:val="auto"/>
          <w:highlight w:val="none"/>
          <w:lang w:val="en-US" w:eastAsia="zh-CN"/>
        </w:rPr>
      </w:pPr>
    </w:p>
    <w:sectPr>
      <w:footerReference r:id="rId9" w:type="default"/>
      <w:pgSz w:w="11906" w:h="16838"/>
      <w:pgMar w:top="1440" w:right="1800" w:bottom="1440" w:left="1600"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NLe">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8C04B">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ABD77">
    <w:pPr>
      <w:pStyle w:val="3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638807">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4C638807">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1A13B">
    <w:pPr>
      <w:pStyle w:val="3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17003">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49E17003">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4766A">
    <w:pPr>
      <w:pStyle w:val="3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17892E">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14:paraId="2117892E">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AEDC9">
    <w:pPr>
      <w:pStyle w:val="3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FEFDE4">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ITyRccBAACaAwAADgAAAGRycy9lMm9Eb2MueG1srVNNrtMwEN4jcQfL&#10;e+q0Eq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Lylx3OLAL9+/XX78uvz8SpZF&#10;nz5AjWkPARPT8MYPuDVZt+wHdGbag4o2f5EQwTiqe76qK4dERH60Xq3XFYYExuYL4rDb8xAhvZXe&#10;kmw0NOL4iqr89B7SmDqn5GrO32tjygiN+8uBmNnDbj1mKw37YWp879sz8ulx8g11uOiUmHcOhc1L&#10;MhtxNvazcQxRH7qyRbkehNfHhE2U3nKFEXYqjCMr7Kb1yjvx571k3X6p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zITyRccBAACaAwAADgAAAAAAAAABACAAAAAeAQAAZHJzL2Uyb0RvYy54&#10;bWxQSwUGAAAAAAYABgBZAQAAVwUAAAAA&#10;">
              <v:fill on="f" focussize="0,0"/>
              <v:stroke on="f"/>
              <v:imagedata o:title=""/>
              <o:lock v:ext="edit" aspectratio="f"/>
              <v:textbox inset="0mm,0mm,0mm,0mm" style="mso-fit-shape-to-text:t;">
                <w:txbxContent>
                  <w:p w14:paraId="46FEFDE4">
                    <w:pPr>
                      <w:pStyle w:val="3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57F89">
    <w:pPr>
      <w:pStyle w:val="3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4A709">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4"/>
      <w:suff w:val="nothing"/>
      <w:lvlText w:val="第%1章"/>
      <w:lvlJc w:val="left"/>
      <w:pPr>
        <w:ind w:left="0" w:firstLine="0"/>
      </w:pPr>
    </w:lvl>
    <w:lvl w:ilvl="1" w:tentative="0">
      <w:start w:val="1"/>
      <w:numFmt w:val="none"/>
      <w:pStyle w:val="5"/>
      <w:suff w:val="nothing"/>
      <w:lvlText w:val=""/>
      <w:lvlJc w:val="left"/>
      <w:pPr>
        <w:ind w:left="0" w:firstLine="0"/>
      </w:pPr>
    </w:lvl>
    <w:lvl w:ilvl="2" w:tentative="0">
      <w:start w:val="1"/>
      <w:numFmt w:val="none"/>
      <w:pStyle w:val="6"/>
      <w:suff w:val="nothing"/>
      <w:lvlText w:val=""/>
      <w:lvlJc w:val="left"/>
      <w:pPr>
        <w:ind w:left="0" w:firstLine="0"/>
      </w:pPr>
    </w:lvl>
    <w:lvl w:ilvl="3" w:tentative="0">
      <w:start w:val="1"/>
      <w:numFmt w:val="none"/>
      <w:pStyle w:val="7"/>
      <w:suff w:val="nothing"/>
      <w:lvlText w:val=""/>
      <w:lvlJc w:val="left"/>
      <w:pPr>
        <w:ind w:left="0" w:firstLine="0"/>
      </w:pPr>
    </w:lvl>
    <w:lvl w:ilvl="4" w:tentative="0">
      <w:start w:val="1"/>
      <w:numFmt w:val="none"/>
      <w:pStyle w:val="8"/>
      <w:suff w:val="nothing"/>
      <w:lvlText w:val=""/>
      <w:lvlJc w:val="left"/>
      <w:pPr>
        <w:ind w:left="0" w:firstLine="0"/>
      </w:pPr>
    </w:lvl>
    <w:lvl w:ilvl="5" w:tentative="0">
      <w:start w:val="1"/>
      <w:numFmt w:val="none"/>
      <w:pStyle w:val="9"/>
      <w:suff w:val="nothing"/>
      <w:lvlText w:val=""/>
      <w:lvlJc w:val="left"/>
      <w:pPr>
        <w:ind w:left="0" w:firstLine="0"/>
      </w:pPr>
    </w:lvl>
    <w:lvl w:ilvl="6" w:tentative="0">
      <w:start w:val="1"/>
      <w:numFmt w:val="none"/>
      <w:pStyle w:val="10"/>
      <w:suff w:val="nothing"/>
      <w:lvlText w:val=""/>
      <w:lvlJc w:val="left"/>
      <w:pPr>
        <w:ind w:left="0" w:firstLine="0"/>
      </w:pPr>
    </w:lvl>
    <w:lvl w:ilvl="7" w:tentative="0">
      <w:start w:val="1"/>
      <w:numFmt w:val="none"/>
      <w:pStyle w:val="11"/>
      <w:suff w:val="nothing"/>
      <w:lvlText w:val=""/>
      <w:lvlJc w:val="left"/>
      <w:pPr>
        <w:ind w:left="0" w:firstLine="0"/>
      </w:pPr>
    </w:lvl>
    <w:lvl w:ilvl="8" w:tentative="0">
      <w:start w:val="1"/>
      <w:numFmt w:val="none"/>
      <w:pStyle w:val="12"/>
      <w:suff w:val="nothing"/>
      <w:lvlText w:val=""/>
      <w:lvlJc w:val="left"/>
      <w:pPr>
        <w:ind w:left="0" w:firstLine="0"/>
      </w:pPr>
    </w:lvl>
  </w:abstractNum>
  <w:abstractNum w:abstractNumId="1">
    <w:nsid w:val="085007CF"/>
    <w:multiLevelType w:val="multilevel"/>
    <w:tmpl w:val="085007CF"/>
    <w:lvl w:ilvl="0" w:tentative="0">
      <w:start w:val="1"/>
      <w:numFmt w:val="decimal"/>
      <w:lvlText w:val="%1."/>
      <w:lvlJc w:val="left"/>
      <w:pPr>
        <w:tabs>
          <w:tab w:val="left" w:pos="630"/>
        </w:tabs>
        <w:ind w:left="630" w:hanging="420"/>
      </w:pPr>
      <w:rPr>
        <w:rFonts w:cs="Times New Roman"/>
      </w:rPr>
    </w:lvl>
    <w:lvl w:ilvl="1" w:tentative="0">
      <w:start w:val="1"/>
      <w:numFmt w:val="decimal"/>
      <w:lvlText w:val="%2)"/>
      <w:lvlJc w:val="left"/>
      <w:pPr>
        <w:tabs>
          <w:tab w:val="left" w:pos="990"/>
        </w:tabs>
        <w:ind w:left="990" w:hanging="360"/>
      </w:pPr>
      <w:rPr>
        <w:color w:val="auto"/>
      </w:rPr>
    </w:lvl>
    <w:lvl w:ilvl="2" w:tentative="0">
      <w:start w:val="1"/>
      <w:numFmt w:val="lowerRoman"/>
      <w:lvlText w:val="%3."/>
      <w:lvlJc w:val="right"/>
      <w:pPr>
        <w:tabs>
          <w:tab w:val="left" w:pos="1470"/>
        </w:tabs>
        <w:ind w:left="1470" w:hanging="420"/>
      </w:pPr>
      <w:rPr>
        <w:rFonts w:cs="Times New Roman"/>
      </w:rPr>
    </w:lvl>
    <w:lvl w:ilvl="3" w:tentative="0">
      <w:start w:val="1"/>
      <w:numFmt w:val="decimal"/>
      <w:lvlText w:val="%4."/>
      <w:lvlJc w:val="left"/>
      <w:pPr>
        <w:tabs>
          <w:tab w:val="left" w:pos="1890"/>
        </w:tabs>
        <w:ind w:left="1890" w:hanging="420"/>
      </w:pPr>
      <w:rPr>
        <w:rFonts w:cs="Times New Roman"/>
      </w:rPr>
    </w:lvl>
    <w:lvl w:ilvl="4" w:tentative="0">
      <w:start w:val="1"/>
      <w:numFmt w:val="lowerLetter"/>
      <w:lvlText w:val="%5)"/>
      <w:lvlJc w:val="left"/>
      <w:pPr>
        <w:tabs>
          <w:tab w:val="left" w:pos="2310"/>
        </w:tabs>
        <w:ind w:left="2310" w:hanging="420"/>
      </w:pPr>
      <w:rPr>
        <w:rFonts w:cs="Times New Roman"/>
      </w:rPr>
    </w:lvl>
    <w:lvl w:ilvl="5" w:tentative="0">
      <w:start w:val="1"/>
      <w:numFmt w:val="lowerRoman"/>
      <w:lvlText w:val="%6."/>
      <w:lvlJc w:val="right"/>
      <w:pPr>
        <w:tabs>
          <w:tab w:val="left" w:pos="2730"/>
        </w:tabs>
        <w:ind w:left="2730" w:hanging="420"/>
      </w:pPr>
      <w:rPr>
        <w:rFonts w:cs="Times New Roman"/>
      </w:rPr>
    </w:lvl>
    <w:lvl w:ilvl="6" w:tentative="0">
      <w:start w:val="1"/>
      <w:numFmt w:val="decimal"/>
      <w:lvlText w:val="%7."/>
      <w:lvlJc w:val="left"/>
      <w:pPr>
        <w:tabs>
          <w:tab w:val="left" w:pos="3150"/>
        </w:tabs>
        <w:ind w:left="3150" w:hanging="420"/>
      </w:pPr>
      <w:rPr>
        <w:rFonts w:cs="Times New Roman"/>
      </w:rPr>
    </w:lvl>
    <w:lvl w:ilvl="7" w:tentative="0">
      <w:start w:val="1"/>
      <w:numFmt w:val="lowerLetter"/>
      <w:lvlText w:val="%8)"/>
      <w:lvlJc w:val="left"/>
      <w:pPr>
        <w:tabs>
          <w:tab w:val="left" w:pos="3570"/>
        </w:tabs>
        <w:ind w:left="3570" w:hanging="420"/>
      </w:pPr>
      <w:rPr>
        <w:rFonts w:cs="Times New Roman"/>
      </w:rPr>
    </w:lvl>
    <w:lvl w:ilvl="8" w:tentative="0">
      <w:start w:val="1"/>
      <w:numFmt w:val="lowerRoman"/>
      <w:lvlText w:val="%9."/>
      <w:lvlJc w:val="right"/>
      <w:pPr>
        <w:tabs>
          <w:tab w:val="left" w:pos="3990"/>
        </w:tabs>
        <w:ind w:left="3990" w:hanging="420"/>
      </w:pPr>
      <w:rPr>
        <w:rFonts w:cs="Times New Roman"/>
      </w:rPr>
    </w:lvl>
  </w:abstractNum>
  <w:abstractNum w:abstractNumId="2">
    <w:nsid w:val="130A2188"/>
    <w:multiLevelType w:val="multilevel"/>
    <w:tmpl w:val="130A2188"/>
    <w:lvl w:ilvl="0" w:tentative="0">
      <w:start w:val="1"/>
      <w:numFmt w:val="chineseCountingThousand"/>
      <w:pStyle w:val="147"/>
      <w:lvlText w:val="%1"/>
      <w:lvlJc w:val="left"/>
      <w:pPr>
        <w:ind w:left="425" w:hanging="425"/>
      </w:pPr>
      <w:rPr>
        <w:rFonts w:hint="eastAsia" w:ascii="Arial Unicode MS" w:hAnsi="Arial Unicode MS" w:eastAsia="微软雅黑"/>
        <w:b/>
        <w:i w:val="0"/>
        <w:lang w:val="en-US"/>
      </w:rPr>
    </w:lvl>
    <w:lvl w:ilvl="1" w:tentative="0">
      <w:start w:val="1"/>
      <w:numFmt w:val="decimal"/>
      <w:pStyle w:val="166"/>
      <w:isLgl/>
      <w:lvlText w:val="%1.%2"/>
      <w:lvlJc w:val="left"/>
      <w:pPr>
        <w:ind w:left="425" w:hanging="425"/>
      </w:pPr>
      <w:rPr>
        <w:rFonts w:hint="eastAsia" w:ascii="Arial Unicode MS" w:hAnsi="Arial Unicode MS" w:eastAsia="微软雅黑"/>
        <w:b/>
        <w:i w:val="0"/>
      </w:rPr>
    </w:lvl>
    <w:lvl w:ilvl="2" w:tentative="0">
      <w:start w:val="1"/>
      <w:numFmt w:val="decimal"/>
      <w:pStyle w:val="180"/>
      <w:isLgl/>
      <w:lvlText w:val="%1.%2.%3"/>
      <w:lvlJc w:val="left"/>
      <w:pPr>
        <w:ind w:left="425" w:hanging="425"/>
      </w:pPr>
      <w:rPr>
        <w:rFonts w:hint="eastAsia" w:ascii="Arial Unicode MS" w:hAnsi="Arial Unicode MS" w:eastAsia="微软雅黑"/>
        <w:b/>
        <w:i w:val="0"/>
      </w:rPr>
    </w:lvl>
    <w:lvl w:ilvl="3" w:tentative="0">
      <w:start w:val="1"/>
      <w:numFmt w:val="decimal"/>
      <w:isLgl/>
      <w:lvlText w:val="%1.%2.%3.%4"/>
      <w:lvlJc w:val="left"/>
      <w:pPr>
        <w:ind w:left="425" w:hanging="425"/>
      </w:pPr>
      <w:rPr>
        <w:rFonts w:hint="eastAsia" w:ascii="Arial Unicode MS" w:hAnsi="Arial Unicode MS" w:eastAsia="微软雅黑"/>
        <w:b/>
        <w:i w:val="0"/>
      </w:rPr>
    </w:lvl>
    <w:lvl w:ilvl="4" w:tentative="0">
      <w:start w:val="1"/>
      <w:numFmt w:val="decimal"/>
      <w:isLgl/>
      <w:lvlText w:val="%1.%2.%3.%4.%5"/>
      <w:lvlJc w:val="left"/>
      <w:pPr>
        <w:ind w:left="425" w:hanging="425"/>
      </w:pPr>
      <w:rPr>
        <w:rFonts w:hint="eastAsia" w:ascii="Arial Unicode MS" w:hAnsi="Arial Unicode MS" w:eastAsia="微软雅黑"/>
        <w:b/>
        <w:i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3">
    <w:nsid w:val="5915610C"/>
    <w:multiLevelType w:val="singleLevel"/>
    <w:tmpl w:val="5915610C"/>
    <w:lvl w:ilvl="0" w:tentative="0">
      <w:start w:val="1"/>
      <w:numFmt w:val="decimal"/>
      <w:suff w:val="nothing"/>
      <w:lvlText w:val="%1、"/>
      <w:lvlJc w:val="left"/>
    </w:lvl>
  </w:abstractNum>
  <w:abstractNum w:abstractNumId="4">
    <w:nsid w:val="6598ECDF"/>
    <w:multiLevelType w:val="singleLevel"/>
    <w:tmpl w:val="6598ECDF"/>
    <w:lvl w:ilvl="0" w:tentative="0">
      <w:start w:val="1"/>
      <w:numFmt w:val="decimal"/>
      <w:suff w:val="nothing"/>
      <w:lvlText w:val="%1、"/>
      <w:lvlJc w:val="left"/>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NjI1Y2VkNzRkZDE4NzBjYTAzMDUzMmMwZjNhYWIifQ=="/>
  </w:docVars>
  <w:rsids>
    <w:rsidRoot w:val="00172A27"/>
    <w:rsid w:val="000033BC"/>
    <w:rsid w:val="000037BA"/>
    <w:rsid w:val="00003E09"/>
    <w:rsid w:val="00004ADD"/>
    <w:rsid w:val="00013EE1"/>
    <w:rsid w:val="00016168"/>
    <w:rsid w:val="000207B3"/>
    <w:rsid w:val="00020AA1"/>
    <w:rsid w:val="00020F19"/>
    <w:rsid w:val="000240F2"/>
    <w:rsid w:val="00024385"/>
    <w:rsid w:val="0002464E"/>
    <w:rsid w:val="00026D12"/>
    <w:rsid w:val="00031EC9"/>
    <w:rsid w:val="00032B4A"/>
    <w:rsid w:val="00032EB2"/>
    <w:rsid w:val="00033F13"/>
    <w:rsid w:val="00035A5A"/>
    <w:rsid w:val="00037558"/>
    <w:rsid w:val="0004062C"/>
    <w:rsid w:val="000427E1"/>
    <w:rsid w:val="00042948"/>
    <w:rsid w:val="00043A61"/>
    <w:rsid w:val="00044757"/>
    <w:rsid w:val="00044FB9"/>
    <w:rsid w:val="000458DD"/>
    <w:rsid w:val="000473B7"/>
    <w:rsid w:val="00047F5E"/>
    <w:rsid w:val="00051706"/>
    <w:rsid w:val="00051ABD"/>
    <w:rsid w:val="00051BCC"/>
    <w:rsid w:val="00051EB2"/>
    <w:rsid w:val="000527C8"/>
    <w:rsid w:val="00054F7D"/>
    <w:rsid w:val="00056E6B"/>
    <w:rsid w:val="0006006F"/>
    <w:rsid w:val="00060B89"/>
    <w:rsid w:val="00062472"/>
    <w:rsid w:val="000640E2"/>
    <w:rsid w:val="0006476D"/>
    <w:rsid w:val="00064BCC"/>
    <w:rsid w:val="00067D84"/>
    <w:rsid w:val="00072185"/>
    <w:rsid w:val="00081250"/>
    <w:rsid w:val="000851FF"/>
    <w:rsid w:val="0008631F"/>
    <w:rsid w:val="000963C4"/>
    <w:rsid w:val="00096BB7"/>
    <w:rsid w:val="00097207"/>
    <w:rsid w:val="00097293"/>
    <w:rsid w:val="00097411"/>
    <w:rsid w:val="000978F6"/>
    <w:rsid w:val="00097C5F"/>
    <w:rsid w:val="000A45A0"/>
    <w:rsid w:val="000A573E"/>
    <w:rsid w:val="000A7DA8"/>
    <w:rsid w:val="000B086C"/>
    <w:rsid w:val="000B21A6"/>
    <w:rsid w:val="000B4AC4"/>
    <w:rsid w:val="000B5EB0"/>
    <w:rsid w:val="000B6FEE"/>
    <w:rsid w:val="000C3C47"/>
    <w:rsid w:val="000D18A2"/>
    <w:rsid w:val="000D4CDD"/>
    <w:rsid w:val="000E0528"/>
    <w:rsid w:val="000E513A"/>
    <w:rsid w:val="000E5792"/>
    <w:rsid w:val="000E595A"/>
    <w:rsid w:val="000E6BE6"/>
    <w:rsid w:val="000E70D0"/>
    <w:rsid w:val="000E7AEC"/>
    <w:rsid w:val="000F353A"/>
    <w:rsid w:val="000F3911"/>
    <w:rsid w:val="000F64B8"/>
    <w:rsid w:val="00100C2D"/>
    <w:rsid w:val="00102973"/>
    <w:rsid w:val="00106DF5"/>
    <w:rsid w:val="00107AD2"/>
    <w:rsid w:val="001152DD"/>
    <w:rsid w:val="00115C20"/>
    <w:rsid w:val="0011699D"/>
    <w:rsid w:val="00116AB7"/>
    <w:rsid w:val="00121249"/>
    <w:rsid w:val="00123A13"/>
    <w:rsid w:val="00124DDA"/>
    <w:rsid w:val="00125FE2"/>
    <w:rsid w:val="0013061E"/>
    <w:rsid w:val="00130C01"/>
    <w:rsid w:val="001315EC"/>
    <w:rsid w:val="00132750"/>
    <w:rsid w:val="00132D0F"/>
    <w:rsid w:val="00133C84"/>
    <w:rsid w:val="0013431C"/>
    <w:rsid w:val="0014045A"/>
    <w:rsid w:val="0014108C"/>
    <w:rsid w:val="00142258"/>
    <w:rsid w:val="00145CD4"/>
    <w:rsid w:val="00153691"/>
    <w:rsid w:val="00156B27"/>
    <w:rsid w:val="00156C22"/>
    <w:rsid w:val="001620DA"/>
    <w:rsid w:val="00163D70"/>
    <w:rsid w:val="00165899"/>
    <w:rsid w:val="001709AF"/>
    <w:rsid w:val="00172A27"/>
    <w:rsid w:val="00172BB0"/>
    <w:rsid w:val="00173F2B"/>
    <w:rsid w:val="00176ACB"/>
    <w:rsid w:val="00180512"/>
    <w:rsid w:val="00184409"/>
    <w:rsid w:val="00190367"/>
    <w:rsid w:val="00190B4C"/>
    <w:rsid w:val="0019168F"/>
    <w:rsid w:val="00193455"/>
    <w:rsid w:val="00197E0F"/>
    <w:rsid w:val="001A38B9"/>
    <w:rsid w:val="001A7DAF"/>
    <w:rsid w:val="001B0329"/>
    <w:rsid w:val="001B4A81"/>
    <w:rsid w:val="001B77CB"/>
    <w:rsid w:val="001C158D"/>
    <w:rsid w:val="001C226C"/>
    <w:rsid w:val="001C29EE"/>
    <w:rsid w:val="001C34CC"/>
    <w:rsid w:val="001C6D1C"/>
    <w:rsid w:val="001D3678"/>
    <w:rsid w:val="001D4C43"/>
    <w:rsid w:val="001D56B2"/>
    <w:rsid w:val="001E4541"/>
    <w:rsid w:val="001E566C"/>
    <w:rsid w:val="001E6506"/>
    <w:rsid w:val="001F2EB7"/>
    <w:rsid w:val="001F3EF6"/>
    <w:rsid w:val="00201CD1"/>
    <w:rsid w:val="00201D97"/>
    <w:rsid w:val="00202386"/>
    <w:rsid w:val="002035A8"/>
    <w:rsid w:val="00206E55"/>
    <w:rsid w:val="00207739"/>
    <w:rsid w:val="002079EB"/>
    <w:rsid w:val="00210C2B"/>
    <w:rsid w:val="00213F8B"/>
    <w:rsid w:val="00215B16"/>
    <w:rsid w:val="0021753F"/>
    <w:rsid w:val="002179DE"/>
    <w:rsid w:val="002215ED"/>
    <w:rsid w:val="00226A2F"/>
    <w:rsid w:val="00227213"/>
    <w:rsid w:val="00235A36"/>
    <w:rsid w:val="002368B0"/>
    <w:rsid w:val="0023761F"/>
    <w:rsid w:val="00241C7D"/>
    <w:rsid w:val="0024462B"/>
    <w:rsid w:val="0025013B"/>
    <w:rsid w:val="00250EDD"/>
    <w:rsid w:val="00253197"/>
    <w:rsid w:val="002570EE"/>
    <w:rsid w:val="002604F0"/>
    <w:rsid w:val="00263349"/>
    <w:rsid w:val="002708AF"/>
    <w:rsid w:val="002740C3"/>
    <w:rsid w:val="0027735C"/>
    <w:rsid w:val="0027753E"/>
    <w:rsid w:val="002810AC"/>
    <w:rsid w:val="002812CC"/>
    <w:rsid w:val="002867C5"/>
    <w:rsid w:val="00293EC3"/>
    <w:rsid w:val="00295A7F"/>
    <w:rsid w:val="002A3AF4"/>
    <w:rsid w:val="002A74F1"/>
    <w:rsid w:val="002A7B32"/>
    <w:rsid w:val="002B7B7D"/>
    <w:rsid w:val="002C084A"/>
    <w:rsid w:val="002C24AF"/>
    <w:rsid w:val="002C4A64"/>
    <w:rsid w:val="002C6711"/>
    <w:rsid w:val="002D2894"/>
    <w:rsid w:val="002D696C"/>
    <w:rsid w:val="002D7BA2"/>
    <w:rsid w:val="002E0562"/>
    <w:rsid w:val="002E0FD5"/>
    <w:rsid w:val="002E35B5"/>
    <w:rsid w:val="002E3BC8"/>
    <w:rsid w:val="002E585D"/>
    <w:rsid w:val="002E5CD7"/>
    <w:rsid w:val="002E67FB"/>
    <w:rsid w:val="002E6D7C"/>
    <w:rsid w:val="002F0C61"/>
    <w:rsid w:val="002F4462"/>
    <w:rsid w:val="002F5066"/>
    <w:rsid w:val="002F5D82"/>
    <w:rsid w:val="002F6084"/>
    <w:rsid w:val="0030167A"/>
    <w:rsid w:val="00304E56"/>
    <w:rsid w:val="003120B1"/>
    <w:rsid w:val="003129FD"/>
    <w:rsid w:val="00312B26"/>
    <w:rsid w:val="00313484"/>
    <w:rsid w:val="00313AEF"/>
    <w:rsid w:val="00313BF3"/>
    <w:rsid w:val="003141CA"/>
    <w:rsid w:val="003154A3"/>
    <w:rsid w:val="003203E5"/>
    <w:rsid w:val="003246D4"/>
    <w:rsid w:val="00326C8C"/>
    <w:rsid w:val="00327533"/>
    <w:rsid w:val="003309C5"/>
    <w:rsid w:val="003335D3"/>
    <w:rsid w:val="00334124"/>
    <w:rsid w:val="00340850"/>
    <w:rsid w:val="0034418A"/>
    <w:rsid w:val="00345DB5"/>
    <w:rsid w:val="00346E30"/>
    <w:rsid w:val="0034735E"/>
    <w:rsid w:val="00351AFA"/>
    <w:rsid w:val="003527FB"/>
    <w:rsid w:val="00352E13"/>
    <w:rsid w:val="00357CF7"/>
    <w:rsid w:val="003600F4"/>
    <w:rsid w:val="003651BD"/>
    <w:rsid w:val="00367044"/>
    <w:rsid w:val="00367B81"/>
    <w:rsid w:val="0037007A"/>
    <w:rsid w:val="00372366"/>
    <w:rsid w:val="00372537"/>
    <w:rsid w:val="00374628"/>
    <w:rsid w:val="003762DA"/>
    <w:rsid w:val="003767C0"/>
    <w:rsid w:val="00381242"/>
    <w:rsid w:val="0038766E"/>
    <w:rsid w:val="00393EC0"/>
    <w:rsid w:val="003969C7"/>
    <w:rsid w:val="003A12C6"/>
    <w:rsid w:val="003A1936"/>
    <w:rsid w:val="003A2501"/>
    <w:rsid w:val="003A2F14"/>
    <w:rsid w:val="003A3E1F"/>
    <w:rsid w:val="003A477C"/>
    <w:rsid w:val="003A565F"/>
    <w:rsid w:val="003B1470"/>
    <w:rsid w:val="003B57AF"/>
    <w:rsid w:val="003B5E57"/>
    <w:rsid w:val="003B6BFB"/>
    <w:rsid w:val="003B6DB0"/>
    <w:rsid w:val="003C5B1B"/>
    <w:rsid w:val="003D11A8"/>
    <w:rsid w:val="003E1379"/>
    <w:rsid w:val="003E582E"/>
    <w:rsid w:val="003F22CE"/>
    <w:rsid w:val="003F2F8E"/>
    <w:rsid w:val="003F2FB9"/>
    <w:rsid w:val="003F374E"/>
    <w:rsid w:val="003F49F0"/>
    <w:rsid w:val="003F604B"/>
    <w:rsid w:val="00400EF4"/>
    <w:rsid w:val="00401780"/>
    <w:rsid w:val="00403E2E"/>
    <w:rsid w:val="0040420E"/>
    <w:rsid w:val="00407F04"/>
    <w:rsid w:val="004112F7"/>
    <w:rsid w:val="004119C7"/>
    <w:rsid w:val="00413B7E"/>
    <w:rsid w:val="00413DA2"/>
    <w:rsid w:val="004157AF"/>
    <w:rsid w:val="00420A4C"/>
    <w:rsid w:val="00434F67"/>
    <w:rsid w:val="00435AEC"/>
    <w:rsid w:val="004361EB"/>
    <w:rsid w:val="0043707B"/>
    <w:rsid w:val="00440CD0"/>
    <w:rsid w:val="0044226E"/>
    <w:rsid w:val="00443704"/>
    <w:rsid w:val="00447E6A"/>
    <w:rsid w:val="004506CC"/>
    <w:rsid w:val="0045464A"/>
    <w:rsid w:val="0045557D"/>
    <w:rsid w:val="00455F44"/>
    <w:rsid w:val="0046330A"/>
    <w:rsid w:val="00463ACA"/>
    <w:rsid w:val="00463CB4"/>
    <w:rsid w:val="004642FE"/>
    <w:rsid w:val="00470C69"/>
    <w:rsid w:val="004726C8"/>
    <w:rsid w:val="00476ECA"/>
    <w:rsid w:val="00477B1A"/>
    <w:rsid w:val="00483480"/>
    <w:rsid w:val="00484798"/>
    <w:rsid w:val="00484BCF"/>
    <w:rsid w:val="004860C3"/>
    <w:rsid w:val="00492FA1"/>
    <w:rsid w:val="00497549"/>
    <w:rsid w:val="004A24F0"/>
    <w:rsid w:val="004A5E41"/>
    <w:rsid w:val="004C1F95"/>
    <w:rsid w:val="004C4DBA"/>
    <w:rsid w:val="004C5EAB"/>
    <w:rsid w:val="004C6150"/>
    <w:rsid w:val="004C6A6C"/>
    <w:rsid w:val="004C6F0B"/>
    <w:rsid w:val="004C6F22"/>
    <w:rsid w:val="004C7623"/>
    <w:rsid w:val="004D07DF"/>
    <w:rsid w:val="004D611F"/>
    <w:rsid w:val="004D7D51"/>
    <w:rsid w:val="004E3F50"/>
    <w:rsid w:val="004E58AB"/>
    <w:rsid w:val="004E6188"/>
    <w:rsid w:val="004F0BBC"/>
    <w:rsid w:val="00501DC6"/>
    <w:rsid w:val="00502239"/>
    <w:rsid w:val="00502CFD"/>
    <w:rsid w:val="00502FF2"/>
    <w:rsid w:val="00507FE8"/>
    <w:rsid w:val="00512D9D"/>
    <w:rsid w:val="00517586"/>
    <w:rsid w:val="00520554"/>
    <w:rsid w:val="0052251E"/>
    <w:rsid w:val="005278AA"/>
    <w:rsid w:val="005334EE"/>
    <w:rsid w:val="0053471D"/>
    <w:rsid w:val="005358FA"/>
    <w:rsid w:val="00535C12"/>
    <w:rsid w:val="00542510"/>
    <w:rsid w:val="005430D6"/>
    <w:rsid w:val="0054652E"/>
    <w:rsid w:val="0054703C"/>
    <w:rsid w:val="00550D42"/>
    <w:rsid w:val="00550DC4"/>
    <w:rsid w:val="005514AF"/>
    <w:rsid w:val="00551B4A"/>
    <w:rsid w:val="00552394"/>
    <w:rsid w:val="005525C3"/>
    <w:rsid w:val="00552860"/>
    <w:rsid w:val="00554AFE"/>
    <w:rsid w:val="00557436"/>
    <w:rsid w:val="005627DD"/>
    <w:rsid w:val="0056374A"/>
    <w:rsid w:val="00566375"/>
    <w:rsid w:val="00567F95"/>
    <w:rsid w:val="00572476"/>
    <w:rsid w:val="00573C88"/>
    <w:rsid w:val="005759AF"/>
    <w:rsid w:val="005770BB"/>
    <w:rsid w:val="00580AB2"/>
    <w:rsid w:val="00582092"/>
    <w:rsid w:val="005852C9"/>
    <w:rsid w:val="00585A68"/>
    <w:rsid w:val="005868C9"/>
    <w:rsid w:val="00586A03"/>
    <w:rsid w:val="00586B6F"/>
    <w:rsid w:val="00586E84"/>
    <w:rsid w:val="005877F6"/>
    <w:rsid w:val="00592F71"/>
    <w:rsid w:val="00592FF1"/>
    <w:rsid w:val="005A495B"/>
    <w:rsid w:val="005A56EA"/>
    <w:rsid w:val="005A61D7"/>
    <w:rsid w:val="005B7896"/>
    <w:rsid w:val="005C0FD4"/>
    <w:rsid w:val="005C31E6"/>
    <w:rsid w:val="005C3479"/>
    <w:rsid w:val="005C4816"/>
    <w:rsid w:val="005C5E8D"/>
    <w:rsid w:val="005D00AF"/>
    <w:rsid w:val="005D3E66"/>
    <w:rsid w:val="005D5118"/>
    <w:rsid w:val="005E04C9"/>
    <w:rsid w:val="005E0A69"/>
    <w:rsid w:val="005E5029"/>
    <w:rsid w:val="005E58CC"/>
    <w:rsid w:val="005E6299"/>
    <w:rsid w:val="005F35E4"/>
    <w:rsid w:val="005F46BB"/>
    <w:rsid w:val="005F5E49"/>
    <w:rsid w:val="00600CEF"/>
    <w:rsid w:val="00601094"/>
    <w:rsid w:val="00601B4B"/>
    <w:rsid w:val="00603813"/>
    <w:rsid w:val="00606EDF"/>
    <w:rsid w:val="006128AC"/>
    <w:rsid w:val="0061542D"/>
    <w:rsid w:val="00620715"/>
    <w:rsid w:val="00624187"/>
    <w:rsid w:val="006252AF"/>
    <w:rsid w:val="006304CC"/>
    <w:rsid w:val="00631DEC"/>
    <w:rsid w:val="0063310F"/>
    <w:rsid w:val="0063400A"/>
    <w:rsid w:val="00634CC2"/>
    <w:rsid w:val="00635435"/>
    <w:rsid w:val="00636109"/>
    <w:rsid w:val="00637F2B"/>
    <w:rsid w:val="00646FBB"/>
    <w:rsid w:val="006476CE"/>
    <w:rsid w:val="006503D3"/>
    <w:rsid w:val="00654CF6"/>
    <w:rsid w:val="00655583"/>
    <w:rsid w:val="00656945"/>
    <w:rsid w:val="00661BA3"/>
    <w:rsid w:val="0066223F"/>
    <w:rsid w:val="00663C55"/>
    <w:rsid w:val="0067483E"/>
    <w:rsid w:val="0067674F"/>
    <w:rsid w:val="00676AA0"/>
    <w:rsid w:val="00676B2B"/>
    <w:rsid w:val="00681700"/>
    <w:rsid w:val="006935CB"/>
    <w:rsid w:val="0069514B"/>
    <w:rsid w:val="00697D38"/>
    <w:rsid w:val="006A0450"/>
    <w:rsid w:val="006A2FA2"/>
    <w:rsid w:val="006A6A77"/>
    <w:rsid w:val="006A76FC"/>
    <w:rsid w:val="006B10BA"/>
    <w:rsid w:val="006B21F9"/>
    <w:rsid w:val="006B4C50"/>
    <w:rsid w:val="006B690E"/>
    <w:rsid w:val="006B70FF"/>
    <w:rsid w:val="006B7FF7"/>
    <w:rsid w:val="006C01BE"/>
    <w:rsid w:val="006D0719"/>
    <w:rsid w:val="006D09F2"/>
    <w:rsid w:val="006D1409"/>
    <w:rsid w:val="006D3D8B"/>
    <w:rsid w:val="006E1B8C"/>
    <w:rsid w:val="006E7D40"/>
    <w:rsid w:val="006F0FCE"/>
    <w:rsid w:val="006F31BB"/>
    <w:rsid w:val="006F36D3"/>
    <w:rsid w:val="006F6030"/>
    <w:rsid w:val="006F62A0"/>
    <w:rsid w:val="006F75D1"/>
    <w:rsid w:val="006F7B4F"/>
    <w:rsid w:val="00703446"/>
    <w:rsid w:val="007045EC"/>
    <w:rsid w:val="007118A7"/>
    <w:rsid w:val="00711B4E"/>
    <w:rsid w:val="0071236C"/>
    <w:rsid w:val="007139E4"/>
    <w:rsid w:val="007177BB"/>
    <w:rsid w:val="00720E8A"/>
    <w:rsid w:val="007213DC"/>
    <w:rsid w:val="0072184F"/>
    <w:rsid w:val="007221B0"/>
    <w:rsid w:val="00727891"/>
    <w:rsid w:val="007305AB"/>
    <w:rsid w:val="0073090C"/>
    <w:rsid w:val="00731C48"/>
    <w:rsid w:val="0073200D"/>
    <w:rsid w:val="00732750"/>
    <w:rsid w:val="007341A1"/>
    <w:rsid w:val="00735E4B"/>
    <w:rsid w:val="007364B5"/>
    <w:rsid w:val="007422E5"/>
    <w:rsid w:val="00742ACC"/>
    <w:rsid w:val="007458B4"/>
    <w:rsid w:val="00746717"/>
    <w:rsid w:val="007467DE"/>
    <w:rsid w:val="007503CF"/>
    <w:rsid w:val="00753361"/>
    <w:rsid w:val="007571EB"/>
    <w:rsid w:val="00761F7A"/>
    <w:rsid w:val="007639EB"/>
    <w:rsid w:val="00764437"/>
    <w:rsid w:val="00764D39"/>
    <w:rsid w:val="00767F86"/>
    <w:rsid w:val="00772B9E"/>
    <w:rsid w:val="00773D1C"/>
    <w:rsid w:val="00774A96"/>
    <w:rsid w:val="007752BE"/>
    <w:rsid w:val="00775C02"/>
    <w:rsid w:val="007763D4"/>
    <w:rsid w:val="00777BF5"/>
    <w:rsid w:val="00781498"/>
    <w:rsid w:val="00784A5B"/>
    <w:rsid w:val="0079007B"/>
    <w:rsid w:val="007903B1"/>
    <w:rsid w:val="00791A2F"/>
    <w:rsid w:val="00793211"/>
    <w:rsid w:val="0079589E"/>
    <w:rsid w:val="00795DE4"/>
    <w:rsid w:val="007A5697"/>
    <w:rsid w:val="007A6D30"/>
    <w:rsid w:val="007A7822"/>
    <w:rsid w:val="007B00C4"/>
    <w:rsid w:val="007B0587"/>
    <w:rsid w:val="007B2825"/>
    <w:rsid w:val="007B4D43"/>
    <w:rsid w:val="007B4D6A"/>
    <w:rsid w:val="007B6685"/>
    <w:rsid w:val="007C0C37"/>
    <w:rsid w:val="007C1804"/>
    <w:rsid w:val="007C3478"/>
    <w:rsid w:val="007C701D"/>
    <w:rsid w:val="007D23BF"/>
    <w:rsid w:val="007D60DB"/>
    <w:rsid w:val="007D615F"/>
    <w:rsid w:val="007E05FE"/>
    <w:rsid w:val="007E0C57"/>
    <w:rsid w:val="007E5512"/>
    <w:rsid w:val="007F403B"/>
    <w:rsid w:val="00800176"/>
    <w:rsid w:val="00801882"/>
    <w:rsid w:val="00802408"/>
    <w:rsid w:val="008100C8"/>
    <w:rsid w:val="00813ACF"/>
    <w:rsid w:val="00825B11"/>
    <w:rsid w:val="0082761A"/>
    <w:rsid w:val="00830124"/>
    <w:rsid w:val="00831A1E"/>
    <w:rsid w:val="00832600"/>
    <w:rsid w:val="0083386A"/>
    <w:rsid w:val="00833C7A"/>
    <w:rsid w:val="00835672"/>
    <w:rsid w:val="00836244"/>
    <w:rsid w:val="0084216B"/>
    <w:rsid w:val="0084342C"/>
    <w:rsid w:val="00845109"/>
    <w:rsid w:val="00846FB4"/>
    <w:rsid w:val="00861FDD"/>
    <w:rsid w:val="0086227A"/>
    <w:rsid w:val="0086783C"/>
    <w:rsid w:val="00870D02"/>
    <w:rsid w:val="00870D28"/>
    <w:rsid w:val="00872E0F"/>
    <w:rsid w:val="00874336"/>
    <w:rsid w:val="008763EA"/>
    <w:rsid w:val="00876475"/>
    <w:rsid w:val="00880F39"/>
    <w:rsid w:val="00881BD6"/>
    <w:rsid w:val="00882AB7"/>
    <w:rsid w:val="0088575E"/>
    <w:rsid w:val="00885CAF"/>
    <w:rsid w:val="00892ACF"/>
    <w:rsid w:val="0089353F"/>
    <w:rsid w:val="00896EAB"/>
    <w:rsid w:val="008A3C15"/>
    <w:rsid w:val="008A53D0"/>
    <w:rsid w:val="008B0795"/>
    <w:rsid w:val="008B0C0F"/>
    <w:rsid w:val="008B30E9"/>
    <w:rsid w:val="008B558C"/>
    <w:rsid w:val="008B6C7E"/>
    <w:rsid w:val="008B7A42"/>
    <w:rsid w:val="008C113C"/>
    <w:rsid w:val="008C1984"/>
    <w:rsid w:val="008C30C4"/>
    <w:rsid w:val="008C3BF5"/>
    <w:rsid w:val="008C502A"/>
    <w:rsid w:val="008D0BF3"/>
    <w:rsid w:val="008D2503"/>
    <w:rsid w:val="008D556A"/>
    <w:rsid w:val="008E411E"/>
    <w:rsid w:val="008E4653"/>
    <w:rsid w:val="008E6170"/>
    <w:rsid w:val="008E7A24"/>
    <w:rsid w:val="008F1C48"/>
    <w:rsid w:val="008F5667"/>
    <w:rsid w:val="008F57E9"/>
    <w:rsid w:val="008F67CB"/>
    <w:rsid w:val="009003BF"/>
    <w:rsid w:val="009108B8"/>
    <w:rsid w:val="00910F76"/>
    <w:rsid w:val="00915A2F"/>
    <w:rsid w:val="00917E2A"/>
    <w:rsid w:val="00923223"/>
    <w:rsid w:val="009238FC"/>
    <w:rsid w:val="00927BA0"/>
    <w:rsid w:val="00927E3C"/>
    <w:rsid w:val="009300DD"/>
    <w:rsid w:val="00930CF2"/>
    <w:rsid w:val="00930FF5"/>
    <w:rsid w:val="00931DEC"/>
    <w:rsid w:val="00935B11"/>
    <w:rsid w:val="009361D3"/>
    <w:rsid w:val="00936F46"/>
    <w:rsid w:val="0094375E"/>
    <w:rsid w:val="00953CE9"/>
    <w:rsid w:val="00954C60"/>
    <w:rsid w:val="00955A1E"/>
    <w:rsid w:val="00960ACF"/>
    <w:rsid w:val="00961017"/>
    <w:rsid w:val="00961335"/>
    <w:rsid w:val="009627DA"/>
    <w:rsid w:val="00964046"/>
    <w:rsid w:val="00964EE9"/>
    <w:rsid w:val="00965C05"/>
    <w:rsid w:val="009723B1"/>
    <w:rsid w:val="00976721"/>
    <w:rsid w:val="00981166"/>
    <w:rsid w:val="00985AC0"/>
    <w:rsid w:val="009867A9"/>
    <w:rsid w:val="00987D75"/>
    <w:rsid w:val="009914FD"/>
    <w:rsid w:val="00991DED"/>
    <w:rsid w:val="00992892"/>
    <w:rsid w:val="00995208"/>
    <w:rsid w:val="009B4BC4"/>
    <w:rsid w:val="009B6F6E"/>
    <w:rsid w:val="009C052A"/>
    <w:rsid w:val="009C273F"/>
    <w:rsid w:val="009C2E52"/>
    <w:rsid w:val="009C5742"/>
    <w:rsid w:val="009C634D"/>
    <w:rsid w:val="009D09B2"/>
    <w:rsid w:val="009D1894"/>
    <w:rsid w:val="009D7A62"/>
    <w:rsid w:val="009D7E3A"/>
    <w:rsid w:val="009E5EE5"/>
    <w:rsid w:val="009E793F"/>
    <w:rsid w:val="009F005A"/>
    <w:rsid w:val="009F060E"/>
    <w:rsid w:val="009F4A60"/>
    <w:rsid w:val="009F62C3"/>
    <w:rsid w:val="00A009E1"/>
    <w:rsid w:val="00A04CAD"/>
    <w:rsid w:val="00A05EBA"/>
    <w:rsid w:val="00A06538"/>
    <w:rsid w:val="00A15221"/>
    <w:rsid w:val="00A174BA"/>
    <w:rsid w:val="00A17910"/>
    <w:rsid w:val="00A17E00"/>
    <w:rsid w:val="00A21FEB"/>
    <w:rsid w:val="00A23187"/>
    <w:rsid w:val="00A23AA3"/>
    <w:rsid w:val="00A23B5F"/>
    <w:rsid w:val="00A31791"/>
    <w:rsid w:val="00A33A06"/>
    <w:rsid w:val="00A3443B"/>
    <w:rsid w:val="00A358EB"/>
    <w:rsid w:val="00A37343"/>
    <w:rsid w:val="00A4388C"/>
    <w:rsid w:val="00A448BE"/>
    <w:rsid w:val="00A451A3"/>
    <w:rsid w:val="00A4567F"/>
    <w:rsid w:val="00A45F50"/>
    <w:rsid w:val="00A46714"/>
    <w:rsid w:val="00A54843"/>
    <w:rsid w:val="00A5593E"/>
    <w:rsid w:val="00A64CCC"/>
    <w:rsid w:val="00A64FA1"/>
    <w:rsid w:val="00A70562"/>
    <w:rsid w:val="00A70DAE"/>
    <w:rsid w:val="00A722F2"/>
    <w:rsid w:val="00A76434"/>
    <w:rsid w:val="00A87993"/>
    <w:rsid w:val="00A9111A"/>
    <w:rsid w:val="00A939FC"/>
    <w:rsid w:val="00A96D7B"/>
    <w:rsid w:val="00AA0DFF"/>
    <w:rsid w:val="00AA48DB"/>
    <w:rsid w:val="00AA6D6C"/>
    <w:rsid w:val="00AA7036"/>
    <w:rsid w:val="00AA76E0"/>
    <w:rsid w:val="00AB4B93"/>
    <w:rsid w:val="00AB7BC7"/>
    <w:rsid w:val="00AC0555"/>
    <w:rsid w:val="00AC3CE1"/>
    <w:rsid w:val="00AD2779"/>
    <w:rsid w:val="00AD5827"/>
    <w:rsid w:val="00AD5D52"/>
    <w:rsid w:val="00AD6419"/>
    <w:rsid w:val="00AD664C"/>
    <w:rsid w:val="00AE1C40"/>
    <w:rsid w:val="00AE1CDC"/>
    <w:rsid w:val="00AF4078"/>
    <w:rsid w:val="00AF4596"/>
    <w:rsid w:val="00AF62B4"/>
    <w:rsid w:val="00B04924"/>
    <w:rsid w:val="00B0516F"/>
    <w:rsid w:val="00B0648B"/>
    <w:rsid w:val="00B0788D"/>
    <w:rsid w:val="00B128F3"/>
    <w:rsid w:val="00B12E42"/>
    <w:rsid w:val="00B14156"/>
    <w:rsid w:val="00B147A7"/>
    <w:rsid w:val="00B174A4"/>
    <w:rsid w:val="00B208FC"/>
    <w:rsid w:val="00B21CD1"/>
    <w:rsid w:val="00B26A86"/>
    <w:rsid w:val="00B3135E"/>
    <w:rsid w:val="00B35BA3"/>
    <w:rsid w:val="00B40276"/>
    <w:rsid w:val="00B40CB7"/>
    <w:rsid w:val="00B41B5C"/>
    <w:rsid w:val="00B41E08"/>
    <w:rsid w:val="00B4362D"/>
    <w:rsid w:val="00B43F73"/>
    <w:rsid w:val="00B45AEE"/>
    <w:rsid w:val="00B52ABC"/>
    <w:rsid w:val="00B52BCB"/>
    <w:rsid w:val="00B53034"/>
    <w:rsid w:val="00B60C6E"/>
    <w:rsid w:val="00B62C19"/>
    <w:rsid w:val="00B6458E"/>
    <w:rsid w:val="00B646E8"/>
    <w:rsid w:val="00B70D16"/>
    <w:rsid w:val="00B73B6F"/>
    <w:rsid w:val="00B74BB5"/>
    <w:rsid w:val="00B83525"/>
    <w:rsid w:val="00B847F1"/>
    <w:rsid w:val="00B852CF"/>
    <w:rsid w:val="00B86BF1"/>
    <w:rsid w:val="00B871C6"/>
    <w:rsid w:val="00B908D5"/>
    <w:rsid w:val="00B9567F"/>
    <w:rsid w:val="00B96B13"/>
    <w:rsid w:val="00BA5931"/>
    <w:rsid w:val="00BA643D"/>
    <w:rsid w:val="00BA77B1"/>
    <w:rsid w:val="00BB5965"/>
    <w:rsid w:val="00BB6E73"/>
    <w:rsid w:val="00BC1FEC"/>
    <w:rsid w:val="00BC4002"/>
    <w:rsid w:val="00BC4039"/>
    <w:rsid w:val="00BC4788"/>
    <w:rsid w:val="00BD1BFA"/>
    <w:rsid w:val="00BD239B"/>
    <w:rsid w:val="00BD2CBA"/>
    <w:rsid w:val="00BD424B"/>
    <w:rsid w:val="00BD75C8"/>
    <w:rsid w:val="00BD7A67"/>
    <w:rsid w:val="00BE14FC"/>
    <w:rsid w:val="00BE18B2"/>
    <w:rsid w:val="00BE3415"/>
    <w:rsid w:val="00BE47A9"/>
    <w:rsid w:val="00BE73AA"/>
    <w:rsid w:val="00BF2DEB"/>
    <w:rsid w:val="00BF3BDE"/>
    <w:rsid w:val="00BF53AE"/>
    <w:rsid w:val="00BF58A6"/>
    <w:rsid w:val="00C0020E"/>
    <w:rsid w:val="00C00D89"/>
    <w:rsid w:val="00C063BE"/>
    <w:rsid w:val="00C07CE5"/>
    <w:rsid w:val="00C17EE9"/>
    <w:rsid w:val="00C20199"/>
    <w:rsid w:val="00C34E2D"/>
    <w:rsid w:val="00C368A2"/>
    <w:rsid w:val="00C42190"/>
    <w:rsid w:val="00C44F54"/>
    <w:rsid w:val="00C45F02"/>
    <w:rsid w:val="00C5138C"/>
    <w:rsid w:val="00C51FE2"/>
    <w:rsid w:val="00C52F0D"/>
    <w:rsid w:val="00C536D8"/>
    <w:rsid w:val="00C55E63"/>
    <w:rsid w:val="00C55F5D"/>
    <w:rsid w:val="00C60C03"/>
    <w:rsid w:val="00C61906"/>
    <w:rsid w:val="00C65A0F"/>
    <w:rsid w:val="00C66416"/>
    <w:rsid w:val="00C6720B"/>
    <w:rsid w:val="00C72249"/>
    <w:rsid w:val="00C74F5D"/>
    <w:rsid w:val="00C777EC"/>
    <w:rsid w:val="00C7784E"/>
    <w:rsid w:val="00C80836"/>
    <w:rsid w:val="00C85FB7"/>
    <w:rsid w:val="00C86EF1"/>
    <w:rsid w:val="00C87051"/>
    <w:rsid w:val="00CA0C53"/>
    <w:rsid w:val="00CA138A"/>
    <w:rsid w:val="00CA17E5"/>
    <w:rsid w:val="00CA2B62"/>
    <w:rsid w:val="00CA3030"/>
    <w:rsid w:val="00CA3CD3"/>
    <w:rsid w:val="00CA5876"/>
    <w:rsid w:val="00CB0495"/>
    <w:rsid w:val="00CB0CCF"/>
    <w:rsid w:val="00CB3E3D"/>
    <w:rsid w:val="00CC3FAB"/>
    <w:rsid w:val="00CC4D44"/>
    <w:rsid w:val="00CD15B3"/>
    <w:rsid w:val="00CD345C"/>
    <w:rsid w:val="00CD76FF"/>
    <w:rsid w:val="00CE03A7"/>
    <w:rsid w:val="00CE64EF"/>
    <w:rsid w:val="00CF07A6"/>
    <w:rsid w:val="00CF0FFE"/>
    <w:rsid w:val="00CF52B0"/>
    <w:rsid w:val="00CF586B"/>
    <w:rsid w:val="00CF7CF7"/>
    <w:rsid w:val="00D03886"/>
    <w:rsid w:val="00D04600"/>
    <w:rsid w:val="00D1163E"/>
    <w:rsid w:val="00D13DFA"/>
    <w:rsid w:val="00D15918"/>
    <w:rsid w:val="00D1596B"/>
    <w:rsid w:val="00D23B2E"/>
    <w:rsid w:val="00D27127"/>
    <w:rsid w:val="00D34579"/>
    <w:rsid w:val="00D351D3"/>
    <w:rsid w:val="00D36535"/>
    <w:rsid w:val="00D4423F"/>
    <w:rsid w:val="00D4737E"/>
    <w:rsid w:val="00D473B7"/>
    <w:rsid w:val="00D47A8B"/>
    <w:rsid w:val="00D5050A"/>
    <w:rsid w:val="00D52F4C"/>
    <w:rsid w:val="00D53374"/>
    <w:rsid w:val="00D613DA"/>
    <w:rsid w:val="00D65CE2"/>
    <w:rsid w:val="00D674CF"/>
    <w:rsid w:val="00D67AB8"/>
    <w:rsid w:val="00D72480"/>
    <w:rsid w:val="00D7295D"/>
    <w:rsid w:val="00D76010"/>
    <w:rsid w:val="00D80DD9"/>
    <w:rsid w:val="00D90426"/>
    <w:rsid w:val="00D922E2"/>
    <w:rsid w:val="00D95BAC"/>
    <w:rsid w:val="00D97D9D"/>
    <w:rsid w:val="00DA79FF"/>
    <w:rsid w:val="00DB02DB"/>
    <w:rsid w:val="00DB1E2B"/>
    <w:rsid w:val="00DB2E4F"/>
    <w:rsid w:val="00DC360B"/>
    <w:rsid w:val="00DC426A"/>
    <w:rsid w:val="00DD3430"/>
    <w:rsid w:val="00DD4DEB"/>
    <w:rsid w:val="00DD5BAF"/>
    <w:rsid w:val="00DD5D0F"/>
    <w:rsid w:val="00DD7056"/>
    <w:rsid w:val="00DD763F"/>
    <w:rsid w:val="00DD7900"/>
    <w:rsid w:val="00DE1CA0"/>
    <w:rsid w:val="00DE7E64"/>
    <w:rsid w:val="00DF05DB"/>
    <w:rsid w:val="00E00F42"/>
    <w:rsid w:val="00E014A6"/>
    <w:rsid w:val="00E02CEA"/>
    <w:rsid w:val="00E0387F"/>
    <w:rsid w:val="00E04D4B"/>
    <w:rsid w:val="00E070B5"/>
    <w:rsid w:val="00E12A33"/>
    <w:rsid w:val="00E13411"/>
    <w:rsid w:val="00E1366E"/>
    <w:rsid w:val="00E13CF7"/>
    <w:rsid w:val="00E17DAE"/>
    <w:rsid w:val="00E26533"/>
    <w:rsid w:val="00E303F7"/>
    <w:rsid w:val="00E30714"/>
    <w:rsid w:val="00E32B6F"/>
    <w:rsid w:val="00E334F0"/>
    <w:rsid w:val="00E369B3"/>
    <w:rsid w:val="00E374F0"/>
    <w:rsid w:val="00E41763"/>
    <w:rsid w:val="00E503A3"/>
    <w:rsid w:val="00E53B1C"/>
    <w:rsid w:val="00E56503"/>
    <w:rsid w:val="00E607AB"/>
    <w:rsid w:val="00E607E2"/>
    <w:rsid w:val="00E61798"/>
    <w:rsid w:val="00E63D31"/>
    <w:rsid w:val="00E658BE"/>
    <w:rsid w:val="00E7091A"/>
    <w:rsid w:val="00E7122E"/>
    <w:rsid w:val="00E71259"/>
    <w:rsid w:val="00E774AE"/>
    <w:rsid w:val="00E82156"/>
    <w:rsid w:val="00E85579"/>
    <w:rsid w:val="00E871F1"/>
    <w:rsid w:val="00E876F5"/>
    <w:rsid w:val="00E909B3"/>
    <w:rsid w:val="00E968CF"/>
    <w:rsid w:val="00EA152B"/>
    <w:rsid w:val="00EA3DFF"/>
    <w:rsid w:val="00EB226C"/>
    <w:rsid w:val="00EB4048"/>
    <w:rsid w:val="00EB5814"/>
    <w:rsid w:val="00EB6B3F"/>
    <w:rsid w:val="00EB77BA"/>
    <w:rsid w:val="00EB7F9C"/>
    <w:rsid w:val="00EC0994"/>
    <w:rsid w:val="00EC6044"/>
    <w:rsid w:val="00EC68FF"/>
    <w:rsid w:val="00EC6982"/>
    <w:rsid w:val="00ED016E"/>
    <w:rsid w:val="00ED113C"/>
    <w:rsid w:val="00ED2A85"/>
    <w:rsid w:val="00EE59C9"/>
    <w:rsid w:val="00EE78B2"/>
    <w:rsid w:val="00EF4558"/>
    <w:rsid w:val="00EF52AB"/>
    <w:rsid w:val="00F00286"/>
    <w:rsid w:val="00F03651"/>
    <w:rsid w:val="00F036C9"/>
    <w:rsid w:val="00F060AA"/>
    <w:rsid w:val="00F06B84"/>
    <w:rsid w:val="00F10C97"/>
    <w:rsid w:val="00F12552"/>
    <w:rsid w:val="00F135DB"/>
    <w:rsid w:val="00F137C2"/>
    <w:rsid w:val="00F144BB"/>
    <w:rsid w:val="00F15B03"/>
    <w:rsid w:val="00F163AE"/>
    <w:rsid w:val="00F20F9C"/>
    <w:rsid w:val="00F23C2B"/>
    <w:rsid w:val="00F300F7"/>
    <w:rsid w:val="00F305F9"/>
    <w:rsid w:val="00F3169A"/>
    <w:rsid w:val="00F31E88"/>
    <w:rsid w:val="00F40680"/>
    <w:rsid w:val="00F4340B"/>
    <w:rsid w:val="00F44E1D"/>
    <w:rsid w:val="00F45A1A"/>
    <w:rsid w:val="00F50BA2"/>
    <w:rsid w:val="00F52175"/>
    <w:rsid w:val="00F52A69"/>
    <w:rsid w:val="00F56683"/>
    <w:rsid w:val="00F602A9"/>
    <w:rsid w:val="00F60E76"/>
    <w:rsid w:val="00F72186"/>
    <w:rsid w:val="00F73A04"/>
    <w:rsid w:val="00F757A6"/>
    <w:rsid w:val="00F84879"/>
    <w:rsid w:val="00F8613C"/>
    <w:rsid w:val="00F90B71"/>
    <w:rsid w:val="00F925CB"/>
    <w:rsid w:val="00F92FA8"/>
    <w:rsid w:val="00F93B98"/>
    <w:rsid w:val="00F94557"/>
    <w:rsid w:val="00FA088D"/>
    <w:rsid w:val="00FA138F"/>
    <w:rsid w:val="00FA13CB"/>
    <w:rsid w:val="00FA180A"/>
    <w:rsid w:val="00FA6257"/>
    <w:rsid w:val="00FA62AE"/>
    <w:rsid w:val="00FA63F1"/>
    <w:rsid w:val="00FA65FB"/>
    <w:rsid w:val="00FB1C45"/>
    <w:rsid w:val="00FB1D95"/>
    <w:rsid w:val="00FB2707"/>
    <w:rsid w:val="00FB2C77"/>
    <w:rsid w:val="00FB433B"/>
    <w:rsid w:val="00FC0121"/>
    <w:rsid w:val="00FC1F29"/>
    <w:rsid w:val="00FC36B9"/>
    <w:rsid w:val="00FC4D67"/>
    <w:rsid w:val="00FC4F35"/>
    <w:rsid w:val="00FD6875"/>
    <w:rsid w:val="00FE0272"/>
    <w:rsid w:val="00FE04CE"/>
    <w:rsid w:val="00FE152C"/>
    <w:rsid w:val="00FE2D29"/>
    <w:rsid w:val="00FE3CC9"/>
    <w:rsid w:val="00FE4057"/>
    <w:rsid w:val="00FE42F7"/>
    <w:rsid w:val="00FE675C"/>
    <w:rsid w:val="00FF04AB"/>
    <w:rsid w:val="00FF0DB2"/>
    <w:rsid w:val="00FF2F69"/>
    <w:rsid w:val="00FF617C"/>
    <w:rsid w:val="01214A1E"/>
    <w:rsid w:val="014F1B49"/>
    <w:rsid w:val="0161201C"/>
    <w:rsid w:val="01674AD8"/>
    <w:rsid w:val="017B15F7"/>
    <w:rsid w:val="019B2A51"/>
    <w:rsid w:val="01BB069A"/>
    <w:rsid w:val="01D83F2D"/>
    <w:rsid w:val="01EE6DBE"/>
    <w:rsid w:val="020E7F3F"/>
    <w:rsid w:val="02102EA5"/>
    <w:rsid w:val="021A6004"/>
    <w:rsid w:val="022E08B9"/>
    <w:rsid w:val="02320216"/>
    <w:rsid w:val="023A07E4"/>
    <w:rsid w:val="02423E6A"/>
    <w:rsid w:val="0248346E"/>
    <w:rsid w:val="025D291A"/>
    <w:rsid w:val="027202B1"/>
    <w:rsid w:val="02721F48"/>
    <w:rsid w:val="02805163"/>
    <w:rsid w:val="02815E8D"/>
    <w:rsid w:val="02987B74"/>
    <w:rsid w:val="02D978BB"/>
    <w:rsid w:val="02E41BF4"/>
    <w:rsid w:val="02F07CB0"/>
    <w:rsid w:val="030D75EF"/>
    <w:rsid w:val="031168BC"/>
    <w:rsid w:val="03426C59"/>
    <w:rsid w:val="03433AF1"/>
    <w:rsid w:val="03501AE4"/>
    <w:rsid w:val="03716722"/>
    <w:rsid w:val="037B4D37"/>
    <w:rsid w:val="037D1BEA"/>
    <w:rsid w:val="038C028C"/>
    <w:rsid w:val="038F0DD1"/>
    <w:rsid w:val="039744EC"/>
    <w:rsid w:val="039B623A"/>
    <w:rsid w:val="03AE1140"/>
    <w:rsid w:val="03B44AA5"/>
    <w:rsid w:val="03FE786C"/>
    <w:rsid w:val="040020A7"/>
    <w:rsid w:val="04157BCF"/>
    <w:rsid w:val="042E6475"/>
    <w:rsid w:val="04473247"/>
    <w:rsid w:val="044D2B93"/>
    <w:rsid w:val="047F3707"/>
    <w:rsid w:val="04833676"/>
    <w:rsid w:val="04930DBB"/>
    <w:rsid w:val="04A2371F"/>
    <w:rsid w:val="04A53BA4"/>
    <w:rsid w:val="04AA1834"/>
    <w:rsid w:val="04B75BFB"/>
    <w:rsid w:val="04D17C83"/>
    <w:rsid w:val="04DF3F87"/>
    <w:rsid w:val="04E15319"/>
    <w:rsid w:val="04E374DE"/>
    <w:rsid w:val="04FF00EB"/>
    <w:rsid w:val="04FF42BF"/>
    <w:rsid w:val="0501459E"/>
    <w:rsid w:val="050A590B"/>
    <w:rsid w:val="05175FCF"/>
    <w:rsid w:val="052263A0"/>
    <w:rsid w:val="05332A3A"/>
    <w:rsid w:val="05350D05"/>
    <w:rsid w:val="054E23E8"/>
    <w:rsid w:val="05586075"/>
    <w:rsid w:val="056669E9"/>
    <w:rsid w:val="058E5789"/>
    <w:rsid w:val="059C5E7A"/>
    <w:rsid w:val="059F3F35"/>
    <w:rsid w:val="05AB2DB2"/>
    <w:rsid w:val="05C127AF"/>
    <w:rsid w:val="05C342DE"/>
    <w:rsid w:val="05D56659"/>
    <w:rsid w:val="05E84783"/>
    <w:rsid w:val="05EB76F4"/>
    <w:rsid w:val="05EC3943"/>
    <w:rsid w:val="05EC4B85"/>
    <w:rsid w:val="05F56B6A"/>
    <w:rsid w:val="05F7106C"/>
    <w:rsid w:val="06027766"/>
    <w:rsid w:val="06305727"/>
    <w:rsid w:val="06322461"/>
    <w:rsid w:val="063475AA"/>
    <w:rsid w:val="06647C6C"/>
    <w:rsid w:val="06665E33"/>
    <w:rsid w:val="06936D88"/>
    <w:rsid w:val="06A31CA0"/>
    <w:rsid w:val="06D31947"/>
    <w:rsid w:val="06D9153A"/>
    <w:rsid w:val="06D92562"/>
    <w:rsid w:val="06E760D7"/>
    <w:rsid w:val="06EA54F3"/>
    <w:rsid w:val="06F174FD"/>
    <w:rsid w:val="06F650AE"/>
    <w:rsid w:val="070457D8"/>
    <w:rsid w:val="07075B45"/>
    <w:rsid w:val="070A76BD"/>
    <w:rsid w:val="072E5643"/>
    <w:rsid w:val="073D0D18"/>
    <w:rsid w:val="073D7196"/>
    <w:rsid w:val="074F4FC6"/>
    <w:rsid w:val="07504429"/>
    <w:rsid w:val="07612720"/>
    <w:rsid w:val="076A60B4"/>
    <w:rsid w:val="07792B42"/>
    <w:rsid w:val="077C2846"/>
    <w:rsid w:val="077E3D0B"/>
    <w:rsid w:val="078410D1"/>
    <w:rsid w:val="078C511B"/>
    <w:rsid w:val="078D2D8A"/>
    <w:rsid w:val="07B6742A"/>
    <w:rsid w:val="07BE2A34"/>
    <w:rsid w:val="07C14048"/>
    <w:rsid w:val="07D43E3E"/>
    <w:rsid w:val="07DF1893"/>
    <w:rsid w:val="07E53F70"/>
    <w:rsid w:val="07F03CBF"/>
    <w:rsid w:val="07F42B67"/>
    <w:rsid w:val="080D0CE3"/>
    <w:rsid w:val="08595E78"/>
    <w:rsid w:val="086626CB"/>
    <w:rsid w:val="08790814"/>
    <w:rsid w:val="08817F9A"/>
    <w:rsid w:val="08933F38"/>
    <w:rsid w:val="089E56D2"/>
    <w:rsid w:val="08B472FE"/>
    <w:rsid w:val="08B614BD"/>
    <w:rsid w:val="08B937A7"/>
    <w:rsid w:val="08C15F16"/>
    <w:rsid w:val="08CD671D"/>
    <w:rsid w:val="08D83875"/>
    <w:rsid w:val="08F56067"/>
    <w:rsid w:val="08F56798"/>
    <w:rsid w:val="08FA3336"/>
    <w:rsid w:val="09072AF5"/>
    <w:rsid w:val="090D78C9"/>
    <w:rsid w:val="09101FB3"/>
    <w:rsid w:val="09296C06"/>
    <w:rsid w:val="09501A0A"/>
    <w:rsid w:val="09611413"/>
    <w:rsid w:val="098274FD"/>
    <w:rsid w:val="098502A8"/>
    <w:rsid w:val="09F8752F"/>
    <w:rsid w:val="0A0D439F"/>
    <w:rsid w:val="0A0F0D09"/>
    <w:rsid w:val="0A1D4600"/>
    <w:rsid w:val="0A1F68B2"/>
    <w:rsid w:val="0A210F95"/>
    <w:rsid w:val="0A2836E0"/>
    <w:rsid w:val="0A29194C"/>
    <w:rsid w:val="0A593073"/>
    <w:rsid w:val="0A8E5529"/>
    <w:rsid w:val="0AB44EF5"/>
    <w:rsid w:val="0ABF5F59"/>
    <w:rsid w:val="0AC159A6"/>
    <w:rsid w:val="0ADE169A"/>
    <w:rsid w:val="0AE34BB1"/>
    <w:rsid w:val="0AED0B6E"/>
    <w:rsid w:val="0B301291"/>
    <w:rsid w:val="0B4B7099"/>
    <w:rsid w:val="0B747542"/>
    <w:rsid w:val="0B9E1A60"/>
    <w:rsid w:val="0BAD70EA"/>
    <w:rsid w:val="0BE60C5C"/>
    <w:rsid w:val="0BEA4D62"/>
    <w:rsid w:val="0BEF49D1"/>
    <w:rsid w:val="0C296CAE"/>
    <w:rsid w:val="0C3367BD"/>
    <w:rsid w:val="0C365370"/>
    <w:rsid w:val="0C437410"/>
    <w:rsid w:val="0C442C80"/>
    <w:rsid w:val="0C4B30F1"/>
    <w:rsid w:val="0C507D32"/>
    <w:rsid w:val="0C7376A8"/>
    <w:rsid w:val="0C801F53"/>
    <w:rsid w:val="0C8076E1"/>
    <w:rsid w:val="0CA97841"/>
    <w:rsid w:val="0CC35D7B"/>
    <w:rsid w:val="0CF22F65"/>
    <w:rsid w:val="0CFD3771"/>
    <w:rsid w:val="0D001BEA"/>
    <w:rsid w:val="0D0A7F77"/>
    <w:rsid w:val="0D141A4E"/>
    <w:rsid w:val="0D4D0748"/>
    <w:rsid w:val="0D5F5515"/>
    <w:rsid w:val="0D7D1E20"/>
    <w:rsid w:val="0D8943DC"/>
    <w:rsid w:val="0D8A04E4"/>
    <w:rsid w:val="0D932BB8"/>
    <w:rsid w:val="0D98461B"/>
    <w:rsid w:val="0DAA4593"/>
    <w:rsid w:val="0DB904D9"/>
    <w:rsid w:val="0DBB0918"/>
    <w:rsid w:val="0DDF797E"/>
    <w:rsid w:val="0DE25782"/>
    <w:rsid w:val="0DEE271A"/>
    <w:rsid w:val="0DF148E8"/>
    <w:rsid w:val="0E210D90"/>
    <w:rsid w:val="0E280BF1"/>
    <w:rsid w:val="0E2A2732"/>
    <w:rsid w:val="0E2E40B0"/>
    <w:rsid w:val="0E2F7B01"/>
    <w:rsid w:val="0E4B5699"/>
    <w:rsid w:val="0E512E80"/>
    <w:rsid w:val="0E6E1A32"/>
    <w:rsid w:val="0E915BD0"/>
    <w:rsid w:val="0ECB3A00"/>
    <w:rsid w:val="0ECD4128"/>
    <w:rsid w:val="0EF05635"/>
    <w:rsid w:val="0F0913A4"/>
    <w:rsid w:val="0F360DD3"/>
    <w:rsid w:val="0F3B1568"/>
    <w:rsid w:val="0F6B1793"/>
    <w:rsid w:val="0F7B4AA5"/>
    <w:rsid w:val="0F7B5DFB"/>
    <w:rsid w:val="0FF37EF3"/>
    <w:rsid w:val="0FFE4C46"/>
    <w:rsid w:val="10003697"/>
    <w:rsid w:val="10064480"/>
    <w:rsid w:val="100930B7"/>
    <w:rsid w:val="10156FD1"/>
    <w:rsid w:val="10371F2F"/>
    <w:rsid w:val="1057473E"/>
    <w:rsid w:val="105A6D80"/>
    <w:rsid w:val="107B23CF"/>
    <w:rsid w:val="107E1871"/>
    <w:rsid w:val="10824E25"/>
    <w:rsid w:val="109C495A"/>
    <w:rsid w:val="10BD5626"/>
    <w:rsid w:val="10C85301"/>
    <w:rsid w:val="10F5099F"/>
    <w:rsid w:val="11046680"/>
    <w:rsid w:val="11302F10"/>
    <w:rsid w:val="11342DC2"/>
    <w:rsid w:val="11423CF0"/>
    <w:rsid w:val="11443554"/>
    <w:rsid w:val="1159255C"/>
    <w:rsid w:val="115D038D"/>
    <w:rsid w:val="116741A8"/>
    <w:rsid w:val="116A7F34"/>
    <w:rsid w:val="11887A9E"/>
    <w:rsid w:val="119E030F"/>
    <w:rsid w:val="11AC3296"/>
    <w:rsid w:val="11BF3764"/>
    <w:rsid w:val="11BF5D6D"/>
    <w:rsid w:val="11CD7E08"/>
    <w:rsid w:val="11D24BE4"/>
    <w:rsid w:val="11EF6486"/>
    <w:rsid w:val="11F74F54"/>
    <w:rsid w:val="11F75962"/>
    <w:rsid w:val="11FC0451"/>
    <w:rsid w:val="11FC37F3"/>
    <w:rsid w:val="12046187"/>
    <w:rsid w:val="120C4EB8"/>
    <w:rsid w:val="122D760A"/>
    <w:rsid w:val="12311F5A"/>
    <w:rsid w:val="12427601"/>
    <w:rsid w:val="125944FB"/>
    <w:rsid w:val="12624EB7"/>
    <w:rsid w:val="1282388F"/>
    <w:rsid w:val="128572E6"/>
    <w:rsid w:val="128A0F8B"/>
    <w:rsid w:val="129139EE"/>
    <w:rsid w:val="12B26461"/>
    <w:rsid w:val="12C7072D"/>
    <w:rsid w:val="12CC2A5C"/>
    <w:rsid w:val="12D228CA"/>
    <w:rsid w:val="12E17A72"/>
    <w:rsid w:val="12F36759"/>
    <w:rsid w:val="1300045E"/>
    <w:rsid w:val="130A6921"/>
    <w:rsid w:val="133D024F"/>
    <w:rsid w:val="133D6D87"/>
    <w:rsid w:val="135074B9"/>
    <w:rsid w:val="13716BB4"/>
    <w:rsid w:val="13821EE1"/>
    <w:rsid w:val="13890B9C"/>
    <w:rsid w:val="13CB4137"/>
    <w:rsid w:val="13D11AEC"/>
    <w:rsid w:val="13E67F96"/>
    <w:rsid w:val="13F27FD8"/>
    <w:rsid w:val="13F74970"/>
    <w:rsid w:val="13FA3C10"/>
    <w:rsid w:val="14197590"/>
    <w:rsid w:val="141C7AF8"/>
    <w:rsid w:val="142D5867"/>
    <w:rsid w:val="14311C3C"/>
    <w:rsid w:val="1435596B"/>
    <w:rsid w:val="14A05CEA"/>
    <w:rsid w:val="14BA7BD0"/>
    <w:rsid w:val="14BE0DA8"/>
    <w:rsid w:val="14DF2DE8"/>
    <w:rsid w:val="14E20E88"/>
    <w:rsid w:val="14E71B9C"/>
    <w:rsid w:val="14ED24C4"/>
    <w:rsid w:val="14EE3B40"/>
    <w:rsid w:val="14FE6E45"/>
    <w:rsid w:val="15030DD2"/>
    <w:rsid w:val="150E2439"/>
    <w:rsid w:val="151246C1"/>
    <w:rsid w:val="15300534"/>
    <w:rsid w:val="15430081"/>
    <w:rsid w:val="1549179A"/>
    <w:rsid w:val="155855A0"/>
    <w:rsid w:val="15760A82"/>
    <w:rsid w:val="15885993"/>
    <w:rsid w:val="15943580"/>
    <w:rsid w:val="159B4BEC"/>
    <w:rsid w:val="159F71E4"/>
    <w:rsid w:val="15AD5F70"/>
    <w:rsid w:val="15DA54BE"/>
    <w:rsid w:val="15DE1A29"/>
    <w:rsid w:val="1683774E"/>
    <w:rsid w:val="16883ABF"/>
    <w:rsid w:val="169E756C"/>
    <w:rsid w:val="16AA3EEF"/>
    <w:rsid w:val="16BB65F1"/>
    <w:rsid w:val="16C30E50"/>
    <w:rsid w:val="16DF70C3"/>
    <w:rsid w:val="16E36A8E"/>
    <w:rsid w:val="170B2138"/>
    <w:rsid w:val="170F2067"/>
    <w:rsid w:val="17141A67"/>
    <w:rsid w:val="17174321"/>
    <w:rsid w:val="172D5F9D"/>
    <w:rsid w:val="17382C6C"/>
    <w:rsid w:val="17441AAD"/>
    <w:rsid w:val="174F3343"/>
    <w:rsid w:val="179B6B26"/>
    <w:rsid w:val="17B07A9D"/>
    <w:rsid w:val="17B2733D"/>
    <w:rsid w:val="17D32110"/>
    <w:rsid w:val="17E241A7"/>
    <w:rsid w:val="17EF333D"/>
    <w:rsid w:val="17F736BA"/>
    <w:rsid w:val="18076558"/>
    <w:rsid w:val="180B1C8C"/>
    <w:rsid w:val="180C4A61"/>
    <w:rsid w:val="18113E0B"/>
    <w:rsid w:val="1856228A"/>
    <w:rsid w:val="18655549"/>
    <w:rsid w:val="186F3B06"/>
    <w:rsid w:val="189D5730"/>
    <w:rsid w:val="18AE6BDF"/>
    <w:rsid w:val="18BC41FE"/>
    <w:rsid w:val="18C33D65"/>
    <w:rsid w:val="18CC72FE"/>
    <w:rsid w:val="18D255E8"/>
    <w:rsid w:val="18E73115"/>
    <w:rsid w:val="190A6030"/>
    <w:rsid w:val="190F04DE"/>
    <w:rsid w:val="191206D3"/>
    <w:rsid w:val="192E2BD3"/>
    <w:rsid w:val="19346194"/>
    <w:rsid w:val="19362545"/>
    <w:rsid w:val="197B5636"/>
    <w:rsid w:val="198D30EC"/>
    <w:rsid w:val="19E72D0D"/>
    <w:rsid w:val="19E82D37"/>
    <w:rsid w:val="1A1018EC"/>
    <w:rsid w:val="1A200C49"/>
    <w:rsid w:val="1A2C7C12"/>
    <w:rsid w:val="1A382E26"/>
    <w:rsid w:val="1A5C16D9"/>
    <w:rsid w:val="1A5C6D63"/>
    <w:rsid w:val="1A7636B6"/>
    <w:rsid w:val="1A7B17BE"/>
    <w:rsid w:val="1A967D95"/>
    <w:rsid w:val="1A9F1BD5"/>
    <w:rsid w:val="1ACF237A"/>
    <w:rsid w:val="1AD25EC1"/>
    <w:rsid w:val="1AE133EF"/>
    <w:rsid w:val="1AE16104"/>
    <w:rsid w:val="1AEF4DAE"/>
    <w:rsid w:val="1AF77FAB"/>
    <w:rsid w:val="1AFB020E"/>
    <w:rsid w:val="1B233981"/>
    <w:rsid w:val="1B3A1E57"/>
    <w:rsid w:val="1B492FF3"/>
    <w:rsid w:val="1B4950A4"/>
    <w:rsid w:val="1B4978E9"/>
    <w:rsid w:val="1B556620"/>
    <w:rsid w:val="1B9B2757"/>
    <w:rsid w:val="1BA324C2"/>
    <w:rsid w:val="1BA61267"/>
    <w:rsid w:val="1BAF2B44"/>
    <w:rsid w:val="1BF34488"/>
    <w:rsid w:val="1BFB746E"/>
    <w:rsid w:val="1C1C144E"/>
    <w:rsid w:val="1C2663BF"/>
    <w:rsid w:val="1C36433C"/>
    <w:rsid w:val="1C376E21"/>
    <w:rsid w:val="1C607E4F"/>
    <w:rsid w:val="1C721035"/>
    <w:rsid w:val="1C887DF5"/>
    <w:rsid w:val="1C89288A"/>
    <w:rsid w:val="1C9B1370"/>
    <w:rsid w:val="1CA47846"/>
    <w:rsid w:val="1CCF4A59"/>
    <w:rsid w:val="1CD565D5"/>
    <w:rsid w:val="1CD94A2B"/>
    <w:rsid w:val="1CDF6675"/>
    <w:rsid w:val="1CEF14EF"/>
    <w:rsid w:val="1CF43006"/>
    <w:rsid w:val="1D077570"/>
    <w:rsid w:val="1D2077D5"/>
    <w:rsid w:val="1D325942"/>
    <w:rsid w:val="1D3E15B7"/>
    <w:rsid w:val="1D672B1F"/>
    <w:rsid w:val="1D8B3670"/>
    <w:rsid w:val="1DA73124"/>
    <w:rsid w:val="1DAE0556"/>
    <w:rsid w:val="1DB1270C"/>
    <w:rsid w:val="1DB67C12"/>
    <w:rsid w:val="1DBF66B6"/>
    <w:rsid w:val="1DD36D46"/>
    <w:rsid w:val="1DD50B1E"/>
    <w:rsid w:val="1E060554"/>
    <w:rsid w:val="1E0F6E32"/>
    <w:rsid w:val="1E10660A"/>
    <w:rsid w:val="1E415560"/>
    <w:rsid w:val="1E534E56"/>
    <w:rsid w:val="1E5D18EA"/>
    <w:rsid w:val="1E604A81"/>
    <w:rsid w:val="1E706AC5"/>
    <w:rsid w:val="1E706D9C"/>
    <w:rsid w:val="1E71495E"/>
    <w:rsid w:val="1E7567C4"/>
    <w:rsid w:val="1E841A5F"/>
    <w:rsid w:val="1EA33881"/>
    <w:rsid w:val="1EA40105"/>
    <w:rsid w:val="1EA972F9"/>
    <w:rsid w:val="1EAC07D7"/>
    <w:rsid w:val="1EBC7CC4"/>
    <w:rsid w:val="1EC665E8"/>
    <w:rsid w:val="1EDC6093"/>
    <w:rsid w:val="1F14468F"/>
    <w:rsid w:val="1F1704FD"/>
    <w:rsid w:val="1F3C1B5B"/>
    <w:rsid w:val="1F524DE1"/>
    <w:rsid w:val="1F69585D"/>
    <w:rsid w:val="1F6B38B0"/>
    <w:rsid w:val="1F6C4503"/>
    <w:rsid w:val="1FA33D3F"/>
    <w:rsid w:val="1FCE727B"/>
    <w:rsid w:val="1FD0749B"/>
    <w:rsid w:val="1FD63D54"/>
    <w:rsid w:val="1FE35ADC"/>
    <w:rsid w:val="1FF87B76"/>
    <w:rsid w:val="201F4E21"/>
    <w:rsid w:val="2028225A"/>
    <w:rsid w:val="203A5CDB"/>
    <w:rsid w:val="206823A1"/>
    <w:rsid w:val="207A43DF"/>
    <w:rsid w:val="207F6629"/>
    <w:rsid w:val="208E4973"/>
    <w:rsid w:val="20952E68"/>
    <w:rsid w:val="20B24112"/>
    <w:rsid w:val="20CB4F5C"/>
    <w:rsid w:val="20D91DD8"/>
    <w:rsid w:val="20DD5762"/>
    <w:rsid w:val="20EE43F2"/>
    <w:rsid w:val="20F301B2"/>
    <w:rsid w:val="20F716A2"/>
    <w:rsid w:val="20F903BB"/>
    <w:rsid w:val="20FF3E96"/>
    <w:rsid w:val="21011A51"/>
    <w:rsid w:val="21096B24"/>
    <w:rsid w:val="210B25F8"/>
    <w:rsid w:val="210E02D9"/>
    <w:rsid w:val="211E2099"/>
    <w:rsid w:val="211F2F47"/>
    <w:rsid w:val="2123675E"/>
    <w:rsid w:val="215E04F7"/>
    <w:rsid w:val="21637A27"/>
    <w:rsid w:val="216C08BA"/>
    <w:rsid w:val="219648AF"/>
    <w:rsid w:val="21A665AD"/>
    <w:rsid w:val="21B33C19"/>
    <w:rsid w:val="21BB34D8"/>
    <w:rsid w:val="21CA2EF1"/>
    <w:rsid w:val="21D722C1"/>
    <w:rsid w:val="21DF24FF"/>
    <w:rsid w:val="21EC4C94"/>
    <w:rsid w:val="22136A87"/>
    <w:rsid w:val="222C0C93"/>
    <w:rsid w:val="223F60D8"/>
    <w:rsid w:val="224B3D5F"/>
    <w:rsid w:val="2258252F"/>
    <w:rsid w:val="225E4F1E"/>
    <w:rsid w:val="2270301C"/>
    <w:rsid w:val="228F63A9"/>
    <w:rsid w:val="22A177E6"/>
    <w:rsid w:val="22E6677E"/>
    <w:rsid w:val="231D3794"/>
    <w:rsid w:val="233236E3"/>
    <w:rsid w:val="233B768D"/>
    <w:rsid w:val="2346752C"/>
    <w:rsid w:val="234D4FF2"/>
    <w:rsid w:val="23585DD8"/>
    <w:rsid w:val="235B4AD3"/>
    <w:rsid w:val="237B7BA7"/>
    <w:rsid w:val="237D05D8"/>
    <w:rsid w:val="239B1C02"/>
    <w:rsid w:val="23AB3963"/>
    <w:rsid w:val="23BA793E"/>
    <w:rsid w:val="23C50E05"/>
    <w:rsid w:val="23D05256"/>
    <w:rsid w:val="23D17044"/>
    <w:rsid w:val="23D172B3"/>
    <w:rsid w:val="23E40684"/>
    <w:rsid w:val="23F23381"/>
    <w:rsid w:val="2411563C"/>
    <w:rsid w:val="242447AF"/>
    <w:rsid w:val="242C2C58"/>
    <w:rsid w:val="24334C53"/>
    <w:rsid w:val="24771FAD"/>
    <w:rsid w:val="24C15DE7"/>
    <w:rsid w:val="24D75451"/>
    <w:rsid w:val="24DC47FF"/>
    <w:rsid w:val="24FC2E7A"/>
    <w:rsid w:val="25005256"/>
    <w:rsid w:val="250439EF"/>
    <w:rsid w:val="25427059"/>
    <w:rsid w:val="2557729C"/>
    <w:rsid w:val="255A6A4F"/>
    <w:rsid w:val="25627E42"/>
    <w:rsid w:val="257239B5"/>
    <w:rsid w:val="25760CE3"/>
    <w:rsid w:val="257A3E03"/>
    <w:rsid w:val="258C3DF5"/>
    <w:rsid w:val="25A3545C"/>
    <w:rsid w:val="25E1786F"/>
    <w:rsid w:val="25EB11E1"/>
    <w:rsid w:val="25F252DE"/>
    <w:rsid w:val="25F453F1"/>
    <w:rsid w:val="25F574EA"/>
    <w:rsid w:val="260B280F"/>
    <w:rsid w:val="263F3EBB"/>
    <w:rsid w:val="265B4E97"/>
    <w:rsid w:val="266E1364"/>
    <w:rsid w:val="26857A6A"/>
    <w:rsid w:val="268E2249"/>
    <w:rsid w:val="268E3ECA"/>
    <w:rsid w:val="26995566"/>
    <w:rsid w:val="26A67D94"/>
    <w:rsid w:val="26C52C94"/>
    <w:rsid w:val="26E51871"/>
    <w:rsid w:val="26EC52C4"/>
    <w:rsid w:val="26FD1062"/>
    <w:rsid w:val="27092AF8"/>
    <w:rsid w:val="27224B0F"/>
    <w:rsid w:val="272F1E9F"/>
    <w:rsid w:val="274E1A68"/>
    <w:rsid w:val="2764417B"/>
    <w:rsid w:val="27795A37"/>
    <w:rsid w:val="278476CC"/>
    <w:rsid w:val="27965B02"/>
    <w:rsid w:val="27F710A0"/>
    <w:rsid w:val="28192E5C"/>
    <w:rsid w:val="282E0D0A"/>
    <w:rsid w:val="282E409A"/>
    <w:rsid w:val="283659E1"/>
    <w:rsid w:val="284F7247"/>
    <w:rsid w:val="2854115A"/>
    <w:rsid w:val="286744CD"/>
    <w:rsid w:val="28710C17"/>
    <w:rsid w:val="287B2854"/>
    <w:rsid w:val="2887096F"/>
    <w:rsid w:val="2888005B"/>
    <w:rsid w:val="28891A68"/>
    <w:rsid w:val="28B0142C"/>
    <w:rsid w:val="28B031C4"/>
    <w:rsid w:val="28B813D8"/>
    <w:rsid w:val="28B94D54"/>
    <w:rsid w:val="28C05393"/>
    <w:rsid w:val="28C15F16"/>
    <w:rsid w:val="28C8217E"/>
    <w:rsid w:val="28C917EF"/>
    <w:rsid w:val="28D13A25"/>
    <w:rsid w:val="28E23AA6"/>
    <w:rsid w:val="28FE2577"/>
    <w:rsid w:val="291433AE"/>
    <w:rsid w:val="292274D8"/>
    <w:rsid w:val="29432A42"/>
    <w:rsid w:val="294F62D4"/>
    <w:rsid w:val="2976043F"/>
    <w:rsid w:val="29834CA6"/>
    <w:rsid w:val="298429E5"/>
    <w:rsid w:val="29AA7F26"/>
    <w:rsid w:val="29B710E8"/>
    <w:rsid w:val="29CC2562"/>
    <w:rsid w:val="29D250A3"/>
    <w:rsid w:val="29D257CF"/>
    <w:rsid w:val="29D97152"/>
    <w:rsid w:val="29EA6773"/>
    <w:rsid w:val="2A126DCC"/>
    <w:rsid w:val="2A2622F9"/>
    <w:rsid w:val="2A2E7A7E"/>
    <w:rsid w:val="2A4735A8"/>
    <w:rsid w:val="2A5F40B6"/>
    <w:rsid w:val="2A714859"/>
    <w:rsid w:val="2A843301"/>
    <w:rsid w:val="2B1A174A"/>
    <w:rsid w:val="2B262B75"/>
    <w:rsid w:val="2B332625"/>
    <w:rsid w:val="2B565E56"/>
    <w:rsid w:val="2B7865F9"/>
    <w:rsid w:val="2B8C374E"/>
    <w:rsid w:val="2B8F46B6"/>
    <w:rsid w:val="2B991DFF"/>
    <w:rsid w:val="2BF24C23"/>
    <w:rsid w:val="2BFC6B25"/>
    <w:rsid w:val="2C421FD2"/>
    <w:rsid w:val="2C51043B"/>
    <w:rsid w:val="2C6B4093"/>
    <w:rsid w:val="2C997AF3"/>
    <w:rsid w:val="2C997CDE"/>
    <w:rsid w:val="2C9E14E5"/>
    <w:rsid w:val="2CD25FF8"/>
    <w:rsid w:val="2CF2002C"/>
    <w:rsid w:val="2CF3392B"/>
    <w:rsid w:val="2D377655"/>
    <w:rsid w:val="2D403484"/>
    <w:rsid w:val="2D651E34"/>
    <w:rsid w:val="2D7245D7"/>
    <w:rsid w:val="2DAB5DC1"/>
    <w:rsid w:val="2DC2191C"/>
    <w:rsid w:val="2DF14475"/>
    <w:rsid w:val="2DF83CAE"/>
    <w:rsid w:val="2E1036F7"/>
    <w:rsid w:val="2E2F76FC"/>
    <w:rsid w:val="2E3B3187"/>
    <w:rsid w:val="2E422DCC"/>
    <w:rsid w:val="2E574698"/>
    <w:rsid w:val="2E66613F"/>
    <w:rsid w:val="2E732342"/>
    <w:rsid w:val="2E754540"/>
    <w:rsid w:val="2E872FD6"/>
    <w:rsid w:val="2E905186"/>
    <w:rsid w:val="2EAD021A"/>
    <w:rsid w:val="2ED2330B"/>
    <w:rsid w:val="2EDC447A"/>
    <w:rsid w:val="2EE12E53"/>
    <w:rsid w:val="2EE5733A"/>
    <w:rsid w:val="2EEE11AC"/>
    <w:rsid w:val="2EFE35E8"/>
    <w:rsid w:val="2F245612"/>
    <w:rsid w:val="2F315682"/>
    <w:rsid w:val="2F4E6128"/>
    <w:rsid w:val="2F593497"/>
    <w:rsid w:val="2F80221D"/>
    <w:rsid w:val="2FA6202F"/>
    <w:rsid w:val="2FCD2BD2"/>
    <w:rsid w:val="2FDB47FA"/>
    <w:rsid w:val="300B4C55"/>
    <w:rsid w:val="300F05FB"/>
    <w:rsid w:val="303F08C7"/>
    <w:rsid w:val="30412492"/>
    <w:rsid w:val="304704C5"/>
    <w:rsid w:val="30615FED"/>
    <w:rsid w:val="30654876"/>
    <w:rsid w:val="308C1183"/>
    <w:rsid w:val="309713C6"/>
    <w:rsid w:val="30A232E4"/>
    <w:rsid w:val="30C50C66"/>
    <w:rsid w:val="30D836AE"/>
    <w:rsid w:val="30ED1711"/>
    <w:rsid w:val="31167200"/>
    <w:rsid w:val="312C69BA"/>
    <w:rsid w:val="31393DCB"/>
    <w:rsid w:val="314D5E4A"/>
    <w:rsid w:val="31636DC3"/>
    <w:rsid w:val="316A224B"/>
    <w:rsid w:val="316D2854"/>
    <w:rsid w:val="31712EBC"/>
    <w:rsid w:val="317D5FB6"/>
    <w:rsid w:val="318C7F04"/>
    <w:rsid w:val="319C5AA7"/>
    <w:rsid w:val="319F465C"/>
    <w:rsid w:val="31A8132A"/>
    <w:rsid w:val="31C32FA3"/>
    <w:rsid w:val="31CD468B"/>
    <w:rsid w:val="31D91BE1"/>
    <w:rsid w:val="31E60856"/>
    <w:rsid w:val="31EA35E8"/>
    <w:rsid w:val="321E3342"/>
    <w:rsid w:val="322C0610"/>
    <w:rsid w:val="322E1BFD"/>
    <w:rsid w:val="323A3E96"/>
    <w:rsid w:val="323E22F7"/>
    <w:rsid w:val="327228D0"/>
    <w:rsid w:val="327C01BB"/>
    <w:rsid w:val="32A5173A"/>
    <w:rsid w:val="32BB148C"/>
    <w:rsid w:val="32BB6217"/>
    <w:rsid w:val="32C17F68"/>
    <w:rsid w:val="32C75788"/>
    <w:rsid w:val="32F12144"/>
    <w:rsid w:val="331003ED"/>
    <w:rsid w:val="33291ACF"/>
    <w:rsid w:val="333D7CDA"/>
    <w:rsid w:val="33486333"/>
    <w:rsid w:val="336C20F6"/>
    <w:rsid w:val="337D6DD6"/>
    <w:rsid w:val="339670C9"/>
    <w:rsid w:val="339B1966"/>
    <w:rsid w:val="33A23507"/>
    <w:rsid w:val="33C1178D"/>
    <w:rsid w:val="33CD5CBF"/>
    <w:rsid w:val="33CF6A93"/>
    <w:rsid w:val="33D52CF0"/>
    <w:rsid w:val="33E3198C"/>
    <w:rsid w:val="33F352AE"/>
    <w:rsid w:val="341663D8"/>
    <w:rsid w:val="34491953"/>
    <w:rsid w:val="344F1FA8"/>
    <w:rsid w:val="345721E6"/>
    <w:rsid w:val="347051BF"/>
    <w:rsid w:val="34734EFD"/>
    <w:rsid w:val="34751483"/>
    <w:rsid w:val="34792BAE"/>
    <w:rsid w:val="34B44B7E"/>
    <w:rsid w:val="34D80322"/>
    <w:rsid w:val="34E8726F"/>
    <w:rsid w:val="34F64668"/>
    <w:rsid w:val="35056F41"/>
    <w:rsid w:val="350A4AD0"/>
    <w:rsid w:val="350F0702"/>
    <w:rsid w:val="35537C83"/>
    <w:rsid w:val="35A873D1"/>
    <w:rsid w:val="35C0308E"/>
    <w:rsid w:val="35C40F36"/>
    <w:rsid w:val="35C76FEA"/>
    <w:rsid w:val="361B520F"/>
    <w:rsid w:val="36312097"/>
    <w:rsid w:val="36460B81"/>
    <w:rsid w:val="36495886"/>
    <w:rsid w:val="36511F4E"/>
    <w:rsid w:val="365D14F2"/>
    <w:rsid w:val="36637A63"/>
    <w:rsid w:val="367F4F73"/>
    <w:rsid w:val="36A67A80"/>
    <w:rsid w:val="36DF1B09"/>
    <w:rsid w:val="36F5558D"/>
    <w:rsid w:val="36FA75CB"/>
    <w:rsid w:val="36FE69CC"/>
    <w:rsid w:val="37077031"/>
    <w:rsid w:val="370A446C"/>
    <w:rsid w:val="37186290"/>
    <w:rsid w:val="371F5514"/>
    <w:rsid w:val="37236D14"/>
    <w:rsid w:val="3748158D"/>
    <w:rsid w:val="374A1271"/>
    <w:rsid w:val="376806DB"/>
    <w:rsid w:val="37794836"/>
    <w:rsid w:val="37846EE5"/>
    <w:rsid w:val="379461DF"/>
    <w:rsid w:val="379C5527"/>
    <w:rsid w:val="379F25AA"/>
    <w:rsid w:val="37B7331B"/>
    <w:rsid w:val="37BE432D"/>
    <w:rsid w:val="37C0269B"/>
    <w:rsid w:val="37C20289"/>
    <w:rsid w:val="37CC113C"/>
    <w:rsid w:val="37D93D9B"/>
    <w:rsid w:val="37DD3769"/>
    <w:rsid w:val="37EA256E"/>
    <w:rsid w:val="37FE4685"/>
    <w:rsid w:val="37FF2D35"/>
    <w:rsid w:val="38316343"/>
    <w:rsid w:val="38352DED"/>
    <w:rsid w:val="383B72EF"/>
    <w:rsid w:val="38526A72"/>
    <w:rsid w:val="38540962"/>
    <w:rsid w:val="38727B02"/>
    <w:rsid w:val="38812AD7"/>
    <w:rsid w:val="388B2F81"/>
    <w:rsid w:val="389F5CD8"/>
    <w:rsid w:val="38AA6BDA"/>
    <w:rsid w:val="38B279EB"/>
    <w:rsid w:val="38B82AF5"/>
    <w:rsid w:val="38C7204D"/>
    <w:rsid w:val="38EA6C83"/>
    <w:rsid w:val="38EE22D7"/>
    <w:rsid w:val="392B1828"/>
    <w:rsid w:val="394D58E5"/>
    <w:rsid w:val="3969249D"/>
    <w:rsid w:val="39846488"/>
    <w:rsid w:val="39933B19"/>
    <w:rsid w:val="39A33CED"/>
    <w:rsid w:val="39B16FCF"/>
    <w:rsid w:val="39B63F14"/>
    <w:rsid w:val="39BB11C0"/>
    <w:rsid w:val="39CE52D4"/>
    <w:rsid w:val="39D03EEA"/>
    <w:rsid w:val="39ED5AEC"/>
    <w:rsid w:val="39F25C1A"/>
    <w:rsid w:val="3A2B463D"/>
    <w:rsid w:val="3A386A14"/>
    <w:rsid w:val="3A3C0A2C"/>
    <w:rsid w:val="3A453174"/>
    <w:rsid w:val="3A5133D0"/>
    <w:rsid w:val="3A52381C"/>
    <w:rsid w:val="3A58654F"/>
    <w:rsid w:val="3A687E26"/>
    <w:rsid w:val="3A8322BE"/>
    <w:rsid w:val="3ABA070B"/>
    <w:rsid w:val="3ABC52C8"/>
    <w:rsid w:val="3AC7728A"/>
    <w:rsid w:val="3ACB380C"/>
    <w:rsid w:val="3AD35719"/>
    <w:rsid w:val="3ADA3E24"/>
    <w:rsid w:val="3ADF199C"/>
    <w:rsid w:val="3AF6205F"/>
    <w:rsid w:val="3B050D2B"/>
    <w:rsid w:val="3B1D2FE9"/>
    <w:rsid w:val="3B1F566C"/>
    <w:rsid w:val="3B265D2B"/>
    <w:rsid w:val="3B421D79"/>
    <w:rsid w:val="3B497D60"/>
    <w:rsid w:val="3B4D0406"/>
    <w:rsid w:val="3B4F3729"/>
    <w:rsid w:val="3B5C1C29"/>
    <w:rsid w:val="3B716F78"/>
    <w:rsid w:val="3B8725C8"/>
    <w:rsid w:val="3B8C3A12"/>
    <w:rsid w:val="3BB54638"/>
    <w:rsid w:val="3BD62991"/>
    <w:rsid w:val="3BD95935"/>
    <w:rsid w:val="3BE22FA7"/>
    <w:rsid w:val="3BEA7705"/>
    <w:rsid w:val="3BF34A5A"/>
    <w:rsid w:val="3BF75334"/>
    <w:rsid w:val="3C2A50F0"/>
    <w:rsid w:val="3C2B11E4"/>
    <w:rsid w:val="3C40286C"/>
    <w:rsid w:val="3C4373C4"/>
    <w:rsid w:val="3C907713"/>
    <w:rsid w:val="3C9508B9"/>
    <w:rsid w:val="3C9C2C3A"/>
    <w:rsid w:val="3CA7605F"/>
    <w:rsid w:val="3CBE1861"/>
    <w:rsid w:val="3CD06F1D"/>
    <w:rsid w:val="3CD9405C"/>
    <w:rsid w:val="3CDB019A"/>
    <w:rsid w:val="3CE83CA8"/>
    <w:rsid w:val="3CF672F5"/>
    <w:rsid w:val="3D11065F"/>
    <w:rsid w:val="3D14219F"/>
    <w:rsid w:val="3D32517E"/>
    <w:rsid w:val="3D5B4B1B"/>
    <w:rsid w:val="3D7778E1"/>
    <w:rsid w:val="3D977BB0"/>
    <w:rsid w:val="3DD64A42"/>
    <w:rsid w:val="3DEB135E"/>
    <w:rsid w:val="3DFF7691"/>
    <w:rsid w:val="3E21293C"/>
    <w:rsid w:val="3E587566"/>
    <w:rsid w:val="3E6A644A"/>
    <w:rsid w:val="3E711D4C"/>
    <w:rsid w:val="3E77541F"/>
    <w:rsid w:val="3E861F2A"/>
    <w:rsid w:val="3E865C72"/>
    <w:rsid w:val="3E920965"/>
    <w:rsid w:val="3E92378D"/>
    <w:rsid w:val="3E964D8C"/>
    <w:rsid w:val="3EC57D85"/>
    <w:rsid w:val="3ED81093"/>
    <w:rsid w:val="3EF4702B"/>
    <w:rsid w:val="3EF76DEB"/>
    <w:rsid w:val="3EF933BE"/>
    <w:rsid w:val="3F147322"/>
    <w:rsid w:val="3F1B7BDA"/>
    <w:rsid w:val="3F4F53D8"/>
    <w:rsid w:val="3F5958DC"/>
    <w:rsid w:val="3F7561FB"/>
    <w:rsid w:val="3F7D0C9C"/>
    <w:rsid w:val="3F8175A9"/>
    <w:rsid w:val="3F9110FB"/>
    <w:rsid w:val="3F970AC9"/>
    <w:rsid w:val="3F983970"/>
    <w:rsid w:val="3FA04C1F"/>
    <w:rsid w:val="3FAB3EF2"/>
    <w:rsid w:val="3FB74B79"/>
    <w:rsid w:val="3FB97FE1"/>
    <w:rsid w:val="3FBF1507"/>
    <w:rsid w:val="3FC62C11"/>
    <w:rsid w:val="3FE10133"/>
    <w:rsid w:val="3FED1312"/>
    <w:rsid w:val="3FF03FC2"/>
    <w:rsid w:val="3FFC75C0"/>
    <w:rsid w:val="400259CE"/>
    <w:rsid w:val="400D08A4"/>
    <w:rsid w:val="400F586A"/>
    <w:rsid w:val="40105F46"/>
    <w:rsid w:val="40225FCC"/>
    <w:rsid w:val="402C43AB"/>
    <w:rsid w:val="402D0F85"/>
    <w:rsid w:val="4031573F"/>
    <w:rsid w:val="403645F3"/>
    <w:rsid w:val="4037788F"/>
    <w:rsid w:val="40491F46"/>
    <w:rsid w:val="406A5FB3"/>
    <w:rsid w:val="40A86353"/>
    <w:rsid w:val="40CC47B9"/>
    <w:rsid w:val="40E41DEF"/>
    <w:rsid w:val="40F17FA1"/>
    <w:rsid w:val="40F2485A"/>
    <w:rsid w:val="40FC47E1"/>
    <w:rsid w:val="412F5FB2"/>
    <w:rsid w:val="41345493"/>
    <w:rsid w:val="4138297C"/>
    <w:rsid w:val="41474664"/>
    <w:rsid w:val="41656A44"/>
    <w:rsid w:val="4183378F"/>
    <w:rsid w:val="4188317F"/>
    <w:rsid w:val="41924FB9"/>
    <w:rsid w:val="41B34DF1"/>
    <w:rsid w:val="41BB0480"/>
    <w:rsid w:val="41BF708C"/>
    <w:rsid w:val="42041BE8"/>
    <w:rsid w:val="42097713"/>
    <w:rsid w:val="420B186A"/>
    <w:rsid w:val="420D42E6"/>
    <w:rsid w:val="420F711C"/>
    <w:rsid w:val="42186FAF"/>
    <w:rsid w:val="42436B6D"/>
    <w:rsid w:val="4258439B"/>
    <w:rsid w:val="425A08DD"/>
    <w:rsid w:val="42635B8E"/>
    <w:rsid w:val="42A65106"/>
    <w:rsid w:val="42BB2A5D"/>
    <w:rsid w:val="42CB6444"/>
    <w:rsid w:val="42F27836"/>
    <w:rsid w:val="430A6E5A"/>
    <w:rsid w:val="432F0910"/>
    <w:rsid w:val="4330416F"/>
    <w:rsid w:val="4332163E"/>
    <w:rsid w:val="433E2AAC"/>
    <w:rsid w:val="434271E2"/>
    <w:rsid w:val="434F7A62"/>
    <w:rsid w:val="436752A6"/>
    <w:rsid w:val="43804E58"/>
    <w:rsid w:val="43843FDD"/>
    <w:rsid w:val="43883CE8"/>
    <w:rsid w:val="439F0E69"/>
    <w:rsid w:val="43D7406A"/>
    <w:rsid w:val="43DC5799"/>
    <w:rsid w:val="43F42B17"/>
    <w:rsid w:val="43FD5278"/>
    <w:rsid w:val="441A3D23"/>
    <w:rsid w:val="441E1F6C"/>
    <w:rsid w:val="44284DFE"/>
    <w:rsid w:val="442E3C85"/>
    <w:rsid w:val="443B29FC"/>
    <w:rsid w:val="443B4DCB"/>
    <w:rsid w:val="443D5D23"/>
    <w:rsid w:val="4464327A"/>
    <w:rsid w:val="446A3FBF"/>
    <w:rsid w:val="448654A3"/>
    <w:rsid w:val="44A24006"/>
    <w:rsid w:val="44C32BC8"/>
    <w:rsid w:val="44D8473A"/>
    <w:rsid w:val="44D949F1"/>
    <w:rsid w:val="44E37827"/>
    <w:rsid w:val="44E701A5"/>
    <w:rsid w:val="45080D22"/>
    <w:rsid w:val="450E74EC"/>
    <w:rsid w:val="45256CFF"/>
    <w:rsid w:val="45265484"/>
    <w:rsid w:val="452D74E0"/>
    <w:rsid w:val="45396AC7"/>
    <w:rsid w:val="453B55B4"/>
    <w:rsid w:val="45605D73"/>
    <w:rsid w:val="457C4123"/>
    <w:rsid w:val="45855844"/>
    <w:rsid w:val="458B69F6"/>
    <w:rsid w:val="45A63AC9"/>
    <w:rsid w:val="45A647C9"/>
    <w:rsid w:val="45C943D0"/>
    <w:rsid w:val="45DA6D30"/>
    <w:rsid w:val="45DE14B8"/>
    <w:rsid w:val="45EC174B"/>
    <w:rsid w:val="45F22BB5"/>
    <w:rsid w:val="461E07D4"/>
    <w:rsid w:val="463842DE"/>
    <w:rsid w:val="46386E53"/>
    <w:rsid w:val="4639036D"/>
    <w:rsid w:val="463A05A5"/>
    <w:rsid w:val="463A5557"/>
    <w:rsid w:val="46460291"/>
    <w:rsid w:val="464A0A81"/>
    <w:rsid w:val="46625A9D"/>
    <w:rsid w:val="4666004F"/>
    <w:rsid w:val="467472BF"/>
    <w:rsid w:val="469506DA"/>
    <w:rsid w:val="469B1818"/>
    <w:rsid w:val="46A42C79"/>
    <w:rsid w:val="46A9385A"/>
    <w:rsid w:val="46B37E97"/>
    <w:rsid w:val="46CA4E0D"/>
    <w:rsid w:val="470B23CA"/>
    <w:rsid w:val="472762D3"/>
    <w:rsid w:val="47454177"/>
    <w:rsid w:val="474F15D8"/>
    <w:rsid w:val="4754049B"/>
    <w:rsid w:val="475E7C0D"/>
    <w:rsid w:val="476415D8"/>
    <w:rsid w:val="47701558"/>
    <w:rsid w:val="477426A5"/>
    <w:rsid w:val="47873BD6"/>
    <w:rsid w:val="478E43D2"/>
    <w:rsid w:val="47B2336A"/>
    <w:rsid w:val="47BA4F6E"/>
    <w:rsid w:val="47D7366E"/>
    <w:rsid w:val="47E12DA0"/>
    <w:rsid w:val="47E413E0"/>
    <w:rsid w:val="47F243FC"/>
    <w:rsid w:val="486C3D94"/>
    <w:rsid w:val="487121A4"/>
    <w:rsid w:val="48722D21"/>
    <w:rsid w:val="487429DE"/>
    <w:rsid w:val="487808B1"/>
    <w:rsid w:val="48A226AD"/>
    <w:rsid w:val="48B2699F"/>
    <w:rsid w:val="48B67D8D"/>
    <w:rsid w:val="48C260C0"/>
    <w:rsid w:val="4902628A"/>
    <w:rsid w:val="490B2882"/>
    <w:rsid w:val="49212A6D"/>
    <w:rsid w:val="492412C0"/>
    <w:rsid w:val="49463453"/>
    <w:rsid w:val="494E7D53"/>
    <w:rsid w:val="495835B0"/>
    <w:rsid w:val="495A2A19"/>
    <w:rsid w:val="4988006D"/>
    <w:rsid w:val="499646A6"/>
    <w:rsid w:val="499F4D25"/>
    <w:rsid w:val="49B26E0D"/>
    <w:rsid w:val="49BB06FB"/>
    <w:rsid w:val="49BC2A68"/>
    <w:rsid w:val="49F04BCB"/>
    <w:rsid w:val="49FD451C"/>
    <w:rsid w:val="49FE3A5F"/>
    <w:rsid w:val="4A0A5017"/>
    <w:rsid w:val="4A152F65"/>
    <w:rsid w:val="4A3E0914"/>
    <w:rsid w:val="4A3F1207"/>
    <w:rsid w:val="4A57472F"/>
    <w:rsid w:val="4A5F69CD"/>
    <w:rsid w:val="4A715E3D"/>
    <w:rsid w:val="4AB72982"/>
    <w:rsid w:val="4B1B2082"/>
    <w:rsid w:val="4B464664"/>
    <w:rsid w:val="4B635F8B"/>
    <w:rsid w:val="4B65032C"/>
    <w:rsid w:val="4B712A43"/>
    <w:rsid w:val="4B82202B"/>
    <w:rsid w:val="4B971D44"/>
    <w:rsid w:val="4BBE1692"/>
    <w:rsid w:val="4BCA0C2B"/>
    <w:rsid w:val="4BD65A7B"/>
    <w:rsid w:val="4BE106C3"/>
    <w:rsid w:val="4C0B49E3"/>
    <w:rsid w:val="4C116AEB"/>
    <w:rsid w:val="4C180EC0"/>
    <w:rsid w:val="4C536905"/>
    <w:rsid w:val="4C696745"/>
    <w:rsid w:val="4C737423"/>
    <w:rsid w:val="4C987A51"/>
    <w:rsid w:val="4C993ABE"/>
    <w:rsid w:val="4CAA2DCE"/>
    <w:rsid w:val="4CB96EE9"/>
    <w:rsid w:val="4CD66C96"/>
    <w:rsid w:val="4CDC5A3B"/>
    <w:rsid w:val="4CDF0E5D"/>
    <w:rsid w:val="4CE376D5"/>
    <w:rsid w:val="4CFC14D2"/>
    <w:rsid w:val="4D0D3FCB"/>
    <w:rsid w:val="4D547564"/>
    <w:rsid w:val="4D6C65CD"/>
    <w:rsid w:val="4D8217BA"/>
    <w:rsid w:val="4D9C1BB4"/>
    <w:rsid w:val="4DAA7EA0"/>
    <w:rsid w:val="4DC65A69"/>
    <w:rsid w:val="4DF4626D"/>
    <w:rsid w:val="4DFC20A2"/>
    <w:rsid w:val="4DFF1B97"/>
    <w:rsid w:val="4E020B1B"/>
    <w:rsid w:val="4E043535"/>
    <w:rsid w:val="4E0D12D5"/>
    <w:rsid w:val="4E1362FB"/>
    <w:rsid w:val="4E25360E"/>
    <w:rsid w:val="4E2719FC"/>
    <w:rsid w:val="4E32738D"/>
    <w:rsid w:val="4E5E12F1"/>
    <w:rsid w:val="4E62045F"/>
    <w:rsid w:val="4E783F31"/>
    <w:rsid w:val="4EAC689C"/>
    <w:rsid w:val="4EB25AA5"/>
    <w:rsid w:val="4EB91C18"/>
    <w:rsid w:val="4EBB2F96"/>
    <w:rsid w:val="4EDD2691"/>
    <w:rsid w:val="4EDE154D"/>
    <w:rsid w:val="4EE65CA1"/>
    <w:rsid w:val="4EE859FD"/>
    <w:rsid w:val="4EF911E3"/>
    <w:rsid w:val="4EF94046"/>
    <w:rsid w:val="4F0048E8"/>
    <w:rsid w:val="4F075FBA"/>
    <w:rsid w:val="4F0C760F"/>
    <w:rsid w:val="4F15188C"/>
    <w:rsid w:val="4F255836"/>
    <w:rsid w:val="4F29165C"/>
    <w:rsid w:val="4F3B036E"/>
    <w:rsid w:val="4F3F24FD"/>
    <w:rsid w:val="4F463510"/>
    <w:rsid w:val="4F4F67C3"/>
    <w:rsid w:val="4F580453"/>
    <w:rsid w:val="4F647CAE"/>
    <w:rsid w:val="4F7F4759"/>
    <w:rsid w:val="4F8A3560"/>
    <w:rsid w:val="4F8A6E9D"/>
    <w:rsid w:val="4FA00EA1"/>
    <w:rsid w:val="4FA7410F"/>
    <w:rsid w:val="4FA97EDC"/>
    <w:rsid w:val="4FB10DBD"/>
    <w:rsid w:val="4FD02150"/>
    <w:rsid w:val="4FD47514"/>
    <w:rsid w:val="4FD7004D"/>
    <w:rsid w:val="4FDC31A9"/>
    <w:rsid w:val="4FE15CB0"/>
    <w:rsid w:val="4FE172FB"/>
    <w:rsid w:val="4FF525AA"/>
    <w:rsid w:val="4FF63DCE"/>
    <w:rsid w:val="500A5543"/>
    <w:rsid w:val="501D01A2"/>
    <w:rsid w:val="501D19C7"/>
    <w:rsid w:val="50372FFC"/>
    <w:rsid w:val="50381A05"/>
    <w:rsid w:val="504305E6"/>
    <w:rsid w:val="504C6018"/>
    <w:rsid w:val="50500C93"/>
    <w:rsid w:val="50546882"/>
    <w:rsid w:val="506C773B"/>
    <w:rsid w:val="506E1264"/>
    <w:rsid w:val="5072451A"/>
    <w:rsid w:val="5086416B"/>
    <w:rsid w:val="508B7406"/>
    <w:rsid w:val="508F56DF"/>
    <w:rsid w:val="5091425F"/>
    <w:rsid w:val="509F73B0"/>
    <w:rsid w:val="50B26A6B"/>
    <w:rsid w:val="50C20F4E"/>
    <w:rsid w:val="50D40C4B"/>
    <w:rsid w:val="50E46F54"/>
    <w:rsid w:val="50F515F4"/>
    <w:rsid w:val="511E2DBF"/>
    <w:rsid w:val="51207D50"/>
    <w:rsid w:val="5144267E"/>
    <w:rsid w:val="514D07CA"/>
    <w:rsid w:val="51604849"/>
    <w:rsid w:val="51747844"/>
    <w:rsid w:val="51777F08"/>
    <w:rsid w:val="51912DDA"/>
    <w:rsid w:val="51942125"/>
    <w:rsid w:val="51AB47E1"/>
    <w:rsid w:val="51B047FE"/>
    <w:rsid w:val="51B204B9"/>
    <w:rsid w:val="51B56296"/>
    <w:rsid w:val="51C72834"/>
    <w:rsid w:val="51E63F6D"/>
    <w:rsid w:val="51E74EF3"/>
    <w:rsid w:val="520C2961"/>
    <w:rsid w:val="521305FA"/>
    <w:rsid w:val="522F500B"/>
    <w:rsid w:val="523852D6"/>
    <w:rsid w:val="523E768F"/>
    <w:rsid w:val="5242577E"/>
    <w:rsid w:val="525D691E"/>
    <w:rsid w:val="527076ED"/>
    <w:rsid w:val="52783884"/>
    <w:rsid w:val="528A6FB1"/>
    <w:rsid w:val="52932A26"/>
    <w:rsid w:val="529C25EA"/>
    <w:rsid w:val="52A25786"/>
    <w:rsid w:val="52AC28BC"/>
    <w:rsid w:val="52B05067"/>
    <w:rsid w:val="52CC23E6"/>
    <w:rsid w:val="52D01FDF"/>
    <w:rsid w:val="52D7787C"/>
    <w:rsid w:val="52E07238"/>
    <w:rsid w:val="52EA11D5"/>
    <w:rsid w:val="5306390C"/>
    <w:rsid w:val="531762DD"/>
    <w:rsid w:val="531F60A2"/>
    <w:rsid w:val="5329120F"/>
    <w:rsid w:val="533E04F2"/>
    <w:rsid w:val="536F68C7"/>
    <w:rsid w:val="537F7ED5"/>
    <w:rsid w:val="5382736B"/>
    <w:rsid w:val="539E491F"/>
    <w:rsid w:val="53B24EEA"/>
    <w:rsid w:val="53B97E84"/>
    <w:rsid w:val="53BF4F14"/>
    <w:rsid w:val="53C72845"/>
    <w:rsid w:val="53CA6414"/>
    <w:rsid w:val="53D00E36"/>
    <w:rsid w:val="53D31D47"/>
    <w:rsid w:val="53DD499C"/>
    <w:rsid w:val="53EF09CA"/>
    <w:rsid w:val="53F014B1"/>
    <w:rsid w:val="5408182A"/>
    <w:rsid w:val="54125F57"/>
    <w:rsid w:val="54187343"/>
    <w:rsid w:val="541C31AF"/>
    <w:rsid w:val="5420466B"/>
    <w:rsid w:val="54307F41"/>
    <w:rsid w:val="5433414C"/>
    <w:rsid w:val="54465F20"/>
    <w:rsid w:val="545D4199"/>
    <w:rsid w:val="54831B18"/>
    <w:rsid w:val="549502FD"/>
    <w:rsid w:val="549511D9"/>
    <w:rsid w:val="54AB09A6"/>
    <w:rsid w:val="54AF20D4"/>
    <w:rsid w:val="54AF6350"/>
    <w:rsid w:val="54B72A99"/>
    <w:rsid w:val="54BC49A0"/>
    <w:rsid w:val="54EE39DB"/>
    <w:rsid w:val="55022976"/>
    <w:rsid w:val="551C096F"/>
    <w:rsid w:val="55240097"/>
    <w:rsid w:val="552C3D46"/>
    <w:rsid w:val="553245F5"/>
    <w:rsid w:val="554D13EE"/>
    <w:rsid w:val="55850C4A"/>
    <w:rsid w:val="559341A6"/>
    <w:rsid w:val="55C57ADE"/>
    <w:rsid w:val="55CE22F2"/>
    <w:rsid w:val="55EA1A06"/>
    <w:rsid w:val="55F21123"/>
    <w:rsid w:val="56160365"/>
    <w:rsid w:val="561717F3"/>
    <w:rsid w:val="566E6821"/>
    <w:rsid w:val="56BC15B5"/>
    <w:rsid w:val="56DD747D"/>
    <w:rsid w:val="56E23F2D"/>
    <w:rsid w:val="56EE039D"/>
    <w:rsid w:val="56F96728"/>
    <w:rsid w:val="571F273F"/>
    <w:rsid w:val="572F7A73"/>
    <w:rsid w:val="57300C80"/>
    <w:rsid w:val="575B3A04"/>
    <w:rsid w:val="575B5634"/>
    <w:rsid w:val="575D7EC0"/>
    <w:rsid w:val="576138FC"/>
    <w:rsid w:val="576C4D27"/>
    <w:rsid w:val="578736CD"/>
    <w:rsid w:val="578739BB"/>
    <w:rsid w:val="57893C0F"/>
    <w:rsid w:val="5798256F"/>
    <w:rsid w:val="579840C7"/>
    <w:rsid w:val="57C2221D"/>
    <w:rsid w:val="57E1536E"/>
    <w:rsid w:val="57FD673B"/>
    <w:rsid w:val="583A7FA8"/>
    <w:rsid w:val="58544955"/>
    <w:rsid w:val="58566AE7"/>
    <w:rsid w:val="585962B5"/>
    <w:rsid w:val="585F5B75"/>
    <w:rsid w:val="587A4269"/>
    <w:rsid w:val="587D3274"/>
    <w:rsid w:val="588F3D82"/>
    <w:rsid w:val="589A5A5F"/>
    <w:rsid w:val="58B94375"/>
    <w:rsid w:val="58BA4A70"/>
    <w:rsid w:val="58C96F1E"/>
    <w:rsid w:val="58EA0A67"/>
    <w:rsid w:val="5902444F"/>
    <w:rsid w:val="591B5CBF"/>
    <w:rsid w:val="591D3DD9"/>
    <w:rsid w:val="5927514C"/>
    <w:rsid w:val="594F610B"/>
    <w:rsid w:val="59600EE5"/>
    <w:rsid w:val="59634BDC"/>
    <w:rsid w:val="59941B20"/>
    <w:rsid w:val="599A4004"/>
    <w:rsid w:val="599B086D"/>
    <w:rsid w:val="59B927ED"/>
    <w:rsid w:val="59BF5C8E"/>
    <w:rsid w:val="59D97EC2"/>
    <w:rsid w:val="59E24823"/>
    <w:rsid w:val="59E27409"/>
    <w:rsid w:val="59E52BA1"/>
    <w:rsid w:val="59ED36DC"/>
    <w:rsid w:val="59FC781F"/>
    <w:rsid w:val="5A222045"/>
    <w:rsid w:val="5A305693"/>
    <w:rsid w:val="5A3526A3"/>
    <w:rsid w:val="5A370571"/>
    <w:rsid w:val="5A4E41C1"/>
    <w:rsid w:val="5A6210CC"/>
    <w:rsid w:val="5A680EEE"/>
    <w:rsid w:val="5A7348C9"/>
    <w:rsid w:val="5A7521D8"/>
    <w:rsid w:val="5A7E7218"/>
    <w:rsid w:val="5A9621C3"/>
    <w:rsid w:val="5A9725BE"/>
    <w:rsid w:val="5AAB00A2"/>
    <w:rsid w:val="5AC76508"/>
    <w:rsid w:val="5AD45AFB"/>
    <w:rsid w:val="5AFC1624"/>
    <w:rsid w:val="5AFF4878"/>
    <w:rsid w:val="5B095493"/>
    <w:rsid w:val="5B115BA8"/>
    <w:rsid w:val="5B235AE9"/>
    <w:rsid w:val="5B246A53"/>
    <w:rsid w:val="5B384C6B"/>
    <w:rsid w:val="5B416E74"/>
    <w:rsid w:val="5B437EA2"/>
    <w:rsid w:val="5B534ED1"/>
    <w:rsid w:val="5B7410CB"/>
    <w:rsid w:val="5B834000"/>
    <w:rsid w:val="5B8859A0"/>
    <w:rsid w:val="5B9F7743"/>
    <w:rsid w:val="5BB522B5"/>
    <w:rsid w:val="5BBA4618"/>
    <w:rsid w:val="5BBD5FF5"/>
    <w:rsid w:val="5BF250F3"/>
    <w:rsid w:val="5BF84DDB"/>
    <w:rsid w:val="5C111338"/>
    <w:rsid w:val="5C1B076F"/>
    <w:rsid w:val="5C5B500F"/>
    <w:rsid w:val="5C691941"/>
    <w:rsid w:val="5C727BE4"/>
    <w:rsid w:val="5C7919DF"/>
    <w:rsid w:val="5CA03401"/>
    <w:rsid w:val="5CAA3741"/>
    <w:rsid w:val="5CB35D47"/>
    <w:rsid w:val="5CB75C80"/>
    <w:rsid w:val="5CC85C68"/>
    <w:rsid w:val="5CEC3A93"/>
    <w:rsid w:val="5CEF405D"/>
    <w:rsid w:val="5CFE5040"/>
    <w:rsid w:val="5D1341B2"/>
    <w:rsid w:val="5D251093"/>
    <w:rsid w:val="5D287B54"/>
    <w:rsid w:val="5D3047D1"/>
    <w:rsid w:val="5D494018"/>
    <w:rsid w:val="5D6B14A2"/>
    <w:rsid w:val="5D7C7D70"/>
    <w:rsid w:val="5D985E61"/>
    <w:rsid w:val="5D987A13"/>
    <w:rsid w:val="5D9B0E6A"/>
    <w:rsid w:val="5D9E1AED"/>
    <w:rsid w:val="5D9E4E16"/>
    <w:rsid w:val="5DBA0135"/>
    <w:rsid w:val="5DCD5DE5"/>
    <w:rsid w:val="5DD437EF"/>
    <w:rsid w:val="5DDC52C4"/>
    <w:rsid w:val="5DF16302"/>
    <w:rsid w:val="5DFF4B46"/>
    <w:rsid w:val="5E047F45"/>
    <w:rsid w:val="5E3646E2"/>
    <w:rsid w:val="5E373C74"/>
    <w:rsid w:val="5E3B0A10"/>
    <w:rsid w:val="5E424B71"/>
    <w:rsid w:val="5E4479EA"/>
    <w:rsid w:val="5E870EA4"/>
    <w:rsid w:val="5E881A80"/>
    <w:rsid w:val="5EB51AB3"/>
    <w:rsid w:val="5EC33621"/>
    <w:rsid w:val="5EF31C67"/>
    <w:rsid w:val="5EF4004E"/>
    <w:rsid w:val="5EFA106E"/>
    <w:rsid w:val="5EFF06CD"/>
    <w:rsid w:val="5F010576"/>
    <w:rsid w:val="5F0251FA"/>
    <w:rsid w:val="5F176159"/>
    <w:rsid w:val="5F200A9F"/>
    <w:rsid w:val="5F4475AE"/>
    <w:rsid w:val="5F4A6799"/>
    <w:rsid w:val="5F4B1F28"/>
    <w:rsid w:val="5F526256"/>
    <w:rsid w:val="5F537D1D"/>
    <w:rsid w:val="5F5A3183"/>
    <w:rsid w:val="5F5A335C"/>
    <w:rsid w:val="5F5D79FF"/>
    <w:rsid w:val="5F6C2424"/>
    <w:rsid w:val="5F946A7C"/>
    <w:rsid w:val="5FBA79B0"/>
    <w:rsid w:val="5FC12DE1"/>
    <w:rsid w:val="5FC61813"/>
    <w:rsid w:val="5FCA2C78"/>
    <w:rsid w:val="5FCC28E5"/>
    <w:rsid w:val="5FD57CF6"/>
    <w:rsid w:val="5FF50EAD"/>
    <w:rsid w:val="600676E3"/>
    <w:rsid w:val="60155483"/>
    <w:rsid w:val="601C5687"/>
    <w:rsid w:val="602B7B91"/>
    <w:rsid w:val="60391C4C"/>
    <w:rsid w:val="60397415"/>
    <w:rsid w:val="603B021E"/>
    <w:rsid w:val="60545911"/>
    <w:rsid w:val="60584683"/>
    <w:rsid w:val="606F768E"/>
    <w:rsid w:val="60717643"/>
    <w:rsid w:val="608D00E3"/>
    <w:rsid w:val="60992490"/>
    <w:rsid w:val="60A1419A"/>
    <w:rsid w:val="60A43A47"/>
    <w:rsid w:val="60C33C2B"/>
    <w:rsid w:val="60C804BE"/>
    <w:rsid w:val="60CC1E4A"/>
    <w:rsid w:val="60E97ACC"/>
    <w:rsid w:val="61160E7E"/>
    <w:rsid w:val="61311E12"/>
    <w:rsid w:val="61637659"/>
    <w:rsid w:val="617C570B"/>
    <w:rsid w:val="61853804"/>
    <w:rsid w:val="619B53CA"/>
    <w:rsid w:val="61A56DFA"/>
    <w:rsid w:val="61EB5F1D"/>
    <w:rsid w:val="61F90CC1"/>
    <w:rsid w:val="621B5631"/>
    <w:rsid w:val="62276791"/>
    <w:rsid w:val="62295B5D"/>
    <w:rsid w:val="62577A2F"/>
    <w:rsid w:val="626D5F91"/>
    <w:rsid w:val="627E7D9D"/>
    <w:rsid w:val="628407FE"/>
    <w:rsid w:val="62880405"/>
    <w:rsid w:val="629073C4"/>
    <w:rsid w:val="62996318"/>
    <w:rsid w:val="62AA6D2C"/>
    <w:rsid w:val="62B0179B"/>
    <w:rsid w:val="62CC094F"/>
    <w:rsid w:val="62F95075"/>
    <w:rsid w:val="630334E9"/>
    <w:rsid w:val="630737FB"/>
    <w:rsid w:val="631C7E82"/>
    <w:rsid w:val="63242B23"/>
    <w:rsid w:val="635C73A1"/>
    <w:rsid w:val="63743838"/>
    <w:rsid w:val="637455EF"/>
    <w:rsid w:val="637509AF"/>
    <w:rsid w:val="6379157C"/>
    <w:rsid w:val="63921648"/>
    <w:rsid w:val="639A466F"/>
    <w:rsid w:val="63A23228"/>
    <w:rsid w:val="63AB5D44"/>
    <w:rsid w:val="63B04CF8"/>
    <w:rsid w:val="63BA7188"/>
    <w:rsid w:val="63DF59C2"/>
    <w:rsid w:val="63E6136F"/>
    <w:rsid w:val="63EA625B"/>
    <w:rsid w:val="63F97C8C"/>
    <w:rsid w:val="63FC6F31"/>
    <w:rsid w:val="642C20BD"/>
    <w:rsid w:val="642E4F72"/>
    <w:rsid w:val="646469D4"/>
    <w:rsid w:val="647A419D"/>
    <w:rsid w:val="64846083"/>
    <w:rsid w:val="64851089"/>
    <w:rsid w:val="64940D6A"/>
    <w:rsid w:val="64983CC9"/>
    <w:rsid w:val="64A86918"/>
    <w:rsid w:val="64B109D5"/>
    <w:rsid w:val="64E43E7F"/>
    <w:rsid w:val="64FE5C71"/>
    <w:rsid w:val="65107E36"/>
    <w:rsid w:val="651B1DC4"/>
    <w:rsid w:val="653D52B2"/>
    <w:rsid w:val="654E476E"/>
    <w:rsid w:val="657B11CD"/>
    <w:rsid w:val="658A6BCD"/>
    <w:rsid w:val="659D0782"/>
    <w:rsid w:val="659D7C90"/>
    <w:rsid w:val="65B300B5"/>
    <w:rsid w:val="65BA7F00"/>
    <w:rsid w:val="65D04EEB"/>
    <w:rsid w:val="65D424B9"/>
    <w:rsid w:val="66001BA4"/>
    <w:rsid w:val="66025947"/>
    <w:rsid w:val="66134265"/>
    <w:rsid w:val="663C7469"/>
    <w:rsid w:val="668A41F2"/>
    <w:rsid w:val="66A4023A"/>
    <w:rsid w:val="66B8269C"/>
    <w:rsid w:val="66CF75D5"/>
    <w:rsid w:val="66DA6749"/>
    <w:rsid w:val="67051D14"/>
    <w:rsid w:val="671A2875"/>
    <w:rsid w:val="671D37E1"/>
    <w:rsid w:val="671D46C8"/>
    <w:rsid w:val="671F22A3"/>
    <w:rsid w:val="67291A35"/>
    <w:rsid w:val="673669FF"/>
    <w:rsid w:val="67393CB7"/>
    <w:rsid w:val="673C6439"/>
    <w:rsid w:val="6742103C"/>
    <w:rsid w:val="676A0B2B"/>
    <w:rsid w:val="676C3006"/>
    <w:rsid w:val="677E2D47"/>
    <w:rsid w:val="67827A7F"/>
    <w:rsid w:val="67A667D3"/>
    <w:rsid w:val="67A74C82"/>
    <w:rsid w:val="67A95111"/>
    <w:rsid w:val="67BB2E7F"/>
    <w:rsid w:val="67C365BF"/>
    <w:rsid w:val="67D8341E"/>
    <w:rsid w:val="67E46FF5"/>
    <w:rsid w:val="67ED6C16"/>
    <w:rsid w:val="680A6C82"/>
    <w:rsid w:val="681522D1"/>
    <w:rsid w:val="6824034C"/>
    <w:rsid w:val="683E3347"/>
    <w:rsid w:val="6843364C"/>
    <w:rsid w:val="685E57CE"/>
    <w:rsid w:val="685F4AA0"/>
    <w:rsid w:val="68623D3F"/>
    <w:rsid w:val="68630EF5"/>
    <w:rsid w:val="686C7E0A"/>
    <w:rsid w:val="68757042"/>
    <w:rsid w:val="687D6111"/>
    <w:rsid w:val="6886166B"/>
    <w:rsid w:val="68954A3C"/>
    <w:rsid w:val="68982F95"/>
    <w:rsid w:val="689B0DF8"/>
    <w:rsid w:val="68B5096E"/>
    <w:rsid w:val="68CC10BC"/>
    <w:rsid w:val="68F44B09"/>
    <w:rsid w:val="68FA1B9A"/>
    <w:rsid w:val="694E046E"/>
    <w:rsid w:val="694F66C4"/>
    <w:rsid w:val="69652D27"/>
    <w:rsid w:val="69855487"/>
    <w:rsid w:val="69887F40"/>
    <w:rsid w:val="69952A0C"/>
    <w:rsid w:val="699A1218"/>
    <w:rsid w:val="699B4BDB"/>
    <w:rsid w:val="69A51678"/>
    <w:rsid w:val="69BB329B"/>
    <w:rsid w:val="69BD4C61"/>
    <w:rsid w:val="69E22BAC"/>
    <w:rsid w:val="69F30635"/>
    <w:rsid w:val="69FC56C6"/>
    <w:rsid w:val="69FD3B6F"/>
    <w:rsid w:val="6A0065EF"/>
    <w:rsid w:val="6A1F1C32"/>
    <w:rsid w:val="6A1F39FA"/>
    <w:rsid w:val="6A3B1AB7"/>
    <w:rsid w:val="6A5028C0"/>
    <w:rsid w:val="6A616283"/>
    <w:rsid w:val="6A641407"/>
    <w:rsid w:val="6A656882"/>
    <w:rsid w:val="6A8B60FB"/>
    <w:rsid w:val="6A9674BF"/>
    <w:rsid w:val="6A9A37E0"/>
    <w:rsid w:val="6AA604CA"/>
    <w:rsid w:val="6AB67B97"/>
    <w:rsid w:val="6ADB41F3"/>
    <w:rsid w:val="6AE4490D"/>
    <w:rsid w:val="6AFB4F4A"/>
    <w:rsid w:val="6B12444F"/>
    <w:rsid w:val="6B2A12A7"/>
    <w:rsid w:val="6B4533C9"/>
    <w:rsid w:val="6B5C39DF"/>
    <w:rsid w:val="6B5E11EE"/>
    <w:rsid w:val="6B611EB1"/>
    <w:rsid w:val="6B945E48"/>
    <w:rsid w:val="6B961766"/>
    <w:rsid w:val="6BA77929"/>
    <w:rsid w:val="6BC8334A"/>
    <w:rsid w:val="6BD61A98"/>
    <w:rsid w:val="6BF77F96"/>
    <w:rsid w:val="6BFE19E1"/>
    <w:rsid w:val="6C050A47"/>
    <w:rsid w:val="6C090A5F"/>
    <w:rsid w:val="6C0B1A74"/>
    <w:rsid w:val="6C16659B"/>
    <w:rsid w:val="6C27235B"/>
    <w:rsid w:val="6C3342D8"/>
    <w:rsid w:val="6C394A8B"/>
    <w:rsid w:val="6C420156"/>
    <w:rsid w:val="6C5142B7"/>
    <w:rsid w:val="6C7457E7"/>
    <w:rsid w:val="6C7D6E82"/>
    <w:rsid w:val="6C8311C3"/>
    <w:rsid w:val="6C93301C"/>
    <w:rsid w:val="6C9D1C13"/>
    <w:rsid w:val="6CA30F18"/>
    <w:rsid w:val="6CA5691E"/>
    <w:rsid w:val="6CD136FC"/>
    <w:rsid w:val="6CF43480"/>
    <w:rsid w:val="6CFC1EEB"/>
    <w:rsid w:val="6CFD2D93"/>
    <w:rsid w:val="6D1B3C07"/>
    <w:rsid w:val="6D290842"/>
    <w:rsid w:val="6D2F6BF2"/>
    <w:rsid w:val="6D301BA0"/>
    <w:rsid w:val="6D31162C"/>
    <w:rsid w:val="6D64252E"/>
    <w:rsid w:val="6D680792"/>
    <w:rsid w:val="6D716BC0"/>
    <w:rsid w:val="6DA429A2"/>
    <w:rsid w:val="6DAB0FE0"/>
    <w:rsid w:val="6DEE7FF8"/>
    <w:rsid w:val="6E0B50AB"/>
    <w:rsid w:val="6E0B6604"/>
    <w:rsid w:val="6E1E5CB1"/>
    <w:rsid w:val="6E405C45"/>
    <w:rsid w:val="6E51496A"/>
    <w:rsid w:val="6E8555D0"/>
    <w:rsid w:val="6E876629"/>
    <w:rsid w:val="6E893B3A"/>
    <w:rsid w:val="6EBC4E75"/>
    <w:rsid w:val="6ED01B13"/>
    <w:rsid w:val="6EDA39B4"/>
    <w:rsid w:val="6EDA7020"/>
    <w:rsid w:val="6EDF1C43"/>
    <w:rsid w:val="6F07001F"/>
    <w:rsid w:val="6F08338C"/>
    <w:rsid w:val="6F20674D"/>
    <w:rsid w:val="6F492FDA"/>
    <w:rsid w:val="6F561A7D"/>
    <w:rsid w:val="6F6005AE"/>
    <w:rsid w:val="6F631DB9"/>
    <w:rsid w:val="6F914D8F"/>
    <w:rsid w:val="6FA629B9"/>
    <w:rsid w:val="6FB41CDF"/>
    <w:rsid w:val="6FE52B7F"/>
    <w:rsid w:val="6FF944CB"/>
    <w:rsid w:val="70047746"/>
    <w:rsid w:val="701B22C2"/>
    <w:rsid w:val="701D4BDE"/>
    <w:rsid w:val="70302C53"/>
    <w:rsid w:val="704A18A5"/>
    <w:rsid w:val="705303AB"/>
    <w:rsid w:val="70535193"/>
    <w:rsid w:val="705353D7"/>
    <w:rsid w:val="70595CFD"/>
    <w:rsid w:val="70731CBA"/>
    <w:rsid w:val="708C5A76"/>
    <w:rsid w:val="70AB2A5F"/>
    <w:rsid w:val="70AE097D"/>
    <w:rsid w:val="70C17F30"/>
    <w:rsid w:val="70C40F6B"/>
    <w:rsid w:val="70CD3E13"/>
    <w:rsid w:val="70D313F6"/>
    <w:rsid w:val="70FF2B52"/>
    <w:rsid w:val="71053071"/>
    <w:rsid w:val="710C4547"/>
    <w:rsid w:val="71146B3B"/>
    <w:rsid w:val="711E1A75"/>
    <w:rsid w:val="714C662E"/>
    <w:rsid w:val="715E5257"/>
    <w:rsid w:val="717C298B"/>
    <w:rsid w:val="718176C8"/>
    <w:rsid w:val="718C0F76"/>
    <w:rsid w:val="71BB1264"/>
    <w:rsid w:val="71C14470"/>
    <w:rsid w:val="71DD01AD"/>
    <w:rsid w:val="71E01DDD"/>
    <w:rsid w:val="71F77BAB"/>
    <w:rsid w:val="723D68AF"/>
    <w:rsid w:val="724721AC"/>
    <w:rsid w:val="726A1AE2"/>
    <w:rsid w:val="72705108"/>
    <w:rsid w:val="728F3335"/>
    <w:rsid w:val="729452D5"/>
    <w:rsid w:val="72B666A4"/>
    <w:rsid w:val="72DA679C"/>
    <w:rsid w:val="72F657B0"/>
    <w:rsid w:val="72FC409A"/>
    <w:rsid w:val="72FE4B6F"/>
    <w:rsid w:val="73032FC0"/>
    <w:rsid w:val="730F48D7"/>
    <w:rsid w:val="73253B84"/>
    <w:rsid w:val="733B2066"/>
    <w:rsid w:val="733D0BED"/>
    <w:rsid w:val="73676D7A"/>
    <w:rsid w:val="738707F8"/>
    <w:rsid w:val="738754CA"/>
    <w:rsid w:val="738A4AD6"/>
    <w:rsid w:val="738B6F89"/>
    <w:rsid w:val="738D3C12"/>
    <w:rsid w:val="73C056D8"/>
    <w:rsid w:val="73CB6AC4"/>
    <w:rsid w:val="73ED1A3A"/>
    <w:rsid w:val="73F05696"/>
    <w:rsid w:val="73F50B6F"/>
    <w:rsid w:val="73F711B4"/>
    <w:rsid w:val="74146799"/>
    <w:rsid w:val="741A1B16"/>
    <w:rsid w:val="741E67C6"/>
    <w:rsid w:val="742858FB"/>
    <w:rsid w:val="742C5E27"/>
    <w:rsid w:val="743B4434"/>
    <w:rsid w:val="74551D23"/>
    <w:rsid w:val="745D7B18"/>
    <w:rsid w:val="745F299C"/>
    <w:rsid w:val="7466617E"/>
    <w:rsid w:val="746F1484"/>
    <w:rsid w:val="74985E38"/>
    <w:rsid w:val="74A71416"/>
    <w:rsid w:val="74B800CA"/>
    <w:rsid w:val="74F55B27"/>
    <w:rsid w:val="753D165B"/>
    <w:rsid w:val="754B0B13"/>
    <w:rsid w:val="75511543"/>
    <w:rsid w:val="75515EED"/>
    <w:rsid w:val="7561247F"/>
    <w:rsid w:val="756B2471"/>
    <w:rsid w:val="75726F76"/>
    <w:rsid w:val="758D6086"/>
    <w:rsid w:val="758F1A33"/>
    <w:rsid w:val="759E7448"/>
    <w:rsid w:val="75DB5219"/>
    <w:rsid w:val="75F8009A"/>
    <w:rsid w:val="762B22A9"/>
    <w:rsid w:val="763A3819"/>
    <w:rsid w:val="76471DE8"/>
    <w:rsid w:val="764C1D57"/>
    <w:rsid w:val="766C2B27"/>
    <w:rsid w:val="76701D3D"/>
    <w:rsid w:val="76951140"/>
    <w:rsid w:val="76974BD9"/>
    <w:rsid w:val="76977026"/>
    <w:rsid w:val="76A70C95"/>
    <w:rsid w:val="76A825E3"/>
    <w:rsid w:val="76D15D09"/>
    <w:rsid w:val="76D4359C"/>
    <w:rsid w:val="76EB626F"/>
    <w:rsid w:val="76F57B1F"/>
    <w:rsid w:val="771349E5"/>
    <w:rsid w:val="7714635C"/>
    <w:rsid w:val="771C30FA"/>
    <w:rsid w:val="77206134"/>
    <w:rsid w:val="772F3A61"/>
    <w:rsid w:val="773553A7"/>
    <w:rsid w:val="77580A66"/>
    <w:rsid w:val="7762795D"/>
    <w:rsid w:val="777F175A"/>
    <w:rsid w:val="778122B7"/>
    <w:rsid w:val="778D01FE"/>
    <w:rsid w:val="77A3436B"/>
    <w:rsid w:val="77B86288"/>
    <w:rsid w:val="77C54333"/>
    <w:rsid w:val="77C95EAB"/>
    <w:rsid w:val="77F437B1"/>
    <w:rsid w:val="780738D1"/>
    <w:rsid w:val="782226C6"/>
    <w:rsid w:val="78386213"/>
    <w:rsid w:val="783D4AFF"/>
    <w:rsid w:val="784D30F3"/>
    <w:rsid w:val="78693C27"/>
    <w:rsid w:val="788A2C6A"/>
    <w:rsid w:val="78AD0D21"/>
    <w:rsid w:val="78B73B4F"/>
    <w:rsid w:val="78B934ED"/>
    <w:rsid w:val="78C37C8A"/>
    <w:rsid w:val="78DE2D7C"/>
    <w:rsid w:val="792014D6"/>
    <w:rsid w:val="7922596C"/>
    <w:rsid w:val="792F01A6"/>
    <w:rsid w:val="79382965"/>
    <w:rsid w:val="794C1894"/>
    <w:rsid w:val="795161CA"/>
    <w:rsid w:val="79820F11"/>
    <w:rsid w:val="79A81252"/>
    <w:rsid w:val="79AC037E"/>
    <w:rsid w:val="79B4594A"/>
    <w:rsid w:val="79B978EA"/>
    <w:rsid w:val="79BA0342"/>
    <w:rsid w:val="79BC708D"/>
    <w:rsid w:val="79EB1C7D"/>
    <w:rsid w:val="79EC03C0"/>
    <w:rsid w:val="79F17680"/>
    <w:rsid w:val="7A061127"/>
    <w:rsid w:val="7A127C03"/>
    <w:rsid w:val="7A1B476E"/>
    <w:rsid w:val="7A50702E"/>
    <w:rsid w:val="7A9722EA"/>
    <w:rsid w:val="7AA274F5"/>
    <w:rsid w:val="7AF27BF0"/>
    <w:rsid w:val="7AFE49DB"/>
    <w:rsid w:val="7B1A6AB5"/>
    <w:rsid w:val="7B327BB5"/>
    <w:rsid w:val="7B33563C"/>
    <w:rsid w:val="7B4C0E94"/>
    <w:rsid w:val="7B4F7146"/>
    <w:rsid w:val="7B5737ED"/>
    <w:rsid w:val="7B594633"/>
    <w:rsid w:val="7B5B2FCC"/>
    <w:rsid w:val="7B683895"/>
    <w:rsid w:val="7B6D4900"/>
    <w:rsid w:val="7B763FD0"/>
    <w:rsid w:val="7B8D6D12"/>
    <w:rsid w:val="7B9147B3"/>
    <w:rsid w:val="7B933A26"/>
    <w:rsid w:val="7BAC1017"/>
    <w:rsid w:val="7BBA64B8"/>
    <w:rsid w:val="7BC33FAD"/>
    <w:rsid w:val="7BC5015F"/>
    <w:rsid w:val="7BDB40C8"/>
    <w:rsid w:val="7BDE5028"/>
    <w:rsid w:val="7BEB7AE5"/>
    <w:rsid w:val="7BFB4DEF"/>
    <w:rsid w:val="7BFC639E"/>
    <w:rsid w:val="7C1060A4"/>
    <w:rsid w:val="7C212B16"/>
    <w:rsid w:val="7C344D27"/>
    <w:rsid w:val="7C361FB4"/>
    <w:rsid w:val="7C6034EF"/>
    <w:rsid w:val="7C6F4E08"/>
    <w:rsid w:val="7C8F3841"/>
    <w:rsid w:val="7C927737"/>
    <w:rsid w:val="7CD42FCF"/>
    <w:rsid w:val="7CE055BA"/>
    <w:rsid w:val="7CEF1DCF"/>
    <w:rsid w:val="7CFC1051"/>
    <w:rsid w:val="7D116CC8"/>
    <w:rsid w:val="7D15058B"/>
    <w:rsid w:val="7D157DA1"/>
    <w:rsid w:val="7D1E04AA"/>
    <w:rsid w:val="7D213138"/>
    <w:rsid w:val="7D2521B2"/>
    <w:rsid w:val="7D317598"/>
    <w:rsid w:val="7D3230DC"/>
    <w:rsid w:val="7D4D08D5"/>
    <w:rsid w:val="7D551F58"/>
    <w:rsid w:val="7D6A282B"/>
    <w:rsid w:val="7D6B68D8"/>
    <w:rsid w:val="7D6C452F"/>
    <w:rsid w:val="7D7004C3"/>
    <w:rsid w:val="7DAD7ECE"/>
    <w:rsid w:val="7DB87D47"/>
    <w:rsid w:val="7DF04831"/>
    <w:rsid w:val="7DF22A1C"/>
    <w:rsid w:val="7E0E1134"/>
    <w:rsid w:val="7E282CD5"/>
    <w:rsid w:val="7E3672A9"/>
    <w:rsid w:val="7E4618EE"/>
    <w:rsid w:val="7E49452F"/>
    <w:rsid w:val="7E577B57"/>
    <w:rsid w:val="7E7A400D"/>
    <w:rsid w:val="7E872237"/>
    <w:rsid w:val="7E873820"/>
    <w:rsid w:val="7E8C3F75"/>
    <w:rsid w:val="7E9832EF"/>
    <w:rsid w:val="7EA80241"/>
    <w:rsid w:val="7EAB6E1B"/>
    <w:rsid w:val="7ED76DD4"/>
    <w:rsid w:val="7EE354CD"/>
    <w:rsid w:val="7EEE6BBC"/>
    <w:rsid w:val="7F06366D"/>
    <w:rsid w:val="7F112412"/>
    <w:rsid w:val="7F13011A"/>
    <w:rsid w:val="7F5456A0"/>
    <w:rsid w:val="7F5A396B"/>
    <w:rsid w:val="7F5C0130"/>
    <w:rsid w:val="7F6976E7"/>
    <w:rsid w:val="7F79289E"/>
    <w:rsid w:val="7F8F1F7C"/>
    <w:rsid w:val="7FA7686A"/>
    <w:rsid w:val="7FA8445B"/>
    <w:rsid w:val="7FCA114D"/>
    <w:rsid w:val="7FD338C7"/>
    <w:rsid w:val="7FD422E4"/>
    <w:rsid w:val="7FE86357"/>
    <w:rsid w:val="7FFD58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nhideWhenUsed="0" w:uiPriority="99"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33"/>
    <w:qFormat/>
    <w:uiPriority w:val="0"/>
    <w:pPr>
      <w:keepNext/>
      <w:keepLines/>
      <w:numPr>
        <w:ilvl w:val="0"/>
        <w:numId w:val="1"/>
      </w:numPr>
      <w:spacing w:before="340" w:after="330" w:line="578" w:lineRule="auto"/>
      <w:jc w:val="center"/>
      <w:outlineLvl w:val="0"/>
    </w:pPr>
    <w:rPr>
      <w:b/>
      <w:bCs/>
      <w:kern w:val="44"/>
      <w:sz w:val="32"/>
      <w:szCs w:val="44"/>
    </w:rPr>
  </w:style>
  <w:style w:type="paragraph" w:styleId="5">
    <w:name w:val="heading 2"/>
    <w:basedOn w:val="1"/>
    <w:next w:val="1"/>
    <w:link w:val="57"/>
    <w:qFormat/>
    <w:uiPriority w:val="0"/>
    <w:pPr>
      <w:keepNext/>
      <w:keepLines/>
      <w:numPr>
        <w:ilvl w:val="1"/>
        <w:numId w:val="1"/>
      </w:numPr>
      <w:spacing w:before="260" w:after="260" w:line="416" w:lineRule="auto"/>
      <w:outlineLvl w:val="1"/>
    </w:pPr>
    <w:rPr>
      <w:rFonts w:ascii="Cambria" w:hAnsi="Cambria"/>
      <w:b/>
      <w:bCs/>
      <w:sz w:val="32"/>
      <w:szCs w:val="32"/>
    </w:rPr>
  </w:style>
  <w:style w:type="paragraph" w:styleId="6">
    <w:name w:val="heading 3"/>
    <w:basedOn w:val="1"/>
    <w:next w:val="1"/>
    <w:link w:val="101"/>
    <w:qFormat/>
    <w:uiPriority w:val="0"/>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139"/>
    <w:qFormat/>
    <w:uiPriority w:val="0"/>
    <w:pPr>
      <w:keepNext/>
      <w:keepLines/>
      <w:numPr>
        <w:ilvl w:val="3"/>
        <w:numId w:val="1"/>
      </w:numPr>
      <w:spacing w:before="280" w:after="290" w:line="376" w:lineRule="auto"/>
      <w:outlineLvl w:val="3"/>
    </w:pPr>
    <w:rPr>
      <w:rFonts w:ascii="Cambria" w:hAnsi="Cambria"/>
      <w:b/>
      <w:bCs/>
      <w:sz w:val="28"/>
      <w:szCs w:val="28"/>
    </w:rPr>
  </w:style>
  <w:style w:type="paragraph" w:styleId="8">
    <w:name w:val="heading 5"/>
    <w:basedOn w:val="1"/>
    <w:next w:val="1"/>
    <w:link w:val="91"/>
    <w:qFormat/>
    <w:uiPriority w:val="0"/>
    <w:pPr>
      <w:keepNext/>
      <w:keepLines/>
      <w:numPr>
        <w:ilvl w:val="4"/>
        <w:numId w:val="1"/>
      </w:numPr>
      <w:spacing w:before="280" w:after="290" w:line="376" w:lineRule="auto"/>
      <w:outlineLvl w:val="4"/>
    </w:pPr>
    <w:rPr>
      <w:b/>
      <w:bCs/>
      <w:sz w:val="28"/>
      <w:szCs w:val="28"/>
    </w:rPr>
  </w:style>
  <w:style w:type="paragraph" w:styleId="9">
    <w:name w:val="heading 6"/>
    <w:basedOn w:val="1"/>
    <w:next w:val="1"/>
    <w:link w:val="77"/>
    <w:qFormat/>
    <w:uiPriority w:val="0"/>
    <w:pPr>
      <w:keepNext/>
      <w:keepLines/>
      <w:numPr>
        <w:ilvl w:val="5"/>
        <w:numId w:val="1"/>
      </w:numPr>
      <w:spacing w:before="240" w:after="64" w:line="320" w:lineRule="auto"/>
      <w:outlineLvl w:val="5"/>
    </w:pPr>
    <w:rPr>
      <w:rFonts w:ascii="Cambria" w:hAnsi="Cambria"/>
      <w:b/>
      <w:bCs/>
      <w:sz w:val="24"/>
    </w:rPr>
  </w:style>
  <w:style w:type="paragraph" w:styleId="10">
    <w:name w:val="heading 7"/>
    <w:basedOn w:val="1"/>
    <w:next w:val="1"/>
    <w:link w:val="132"/>
    <w:qFormat/>
    <w:uiPriority w:val="0"/>
    <w:pPr>
      <w:keepNext/>
      <w:keepLines/>
      <w:numPr>
        <w:ilvl w:val="6"/>
        <w:numId w:val="1"/>
      </w:numPr>
      <w:spacing w:before="240" w:after="64" w:line="320" w:lineRule="auto"/>
      <w:outlineLvl w:val="6"/>
    </w:pPr>
    <w:rPr>
      <w:b/>
      <w:bCs/>
      <w:sz w:val="24"/>
    </w:rPr>
  </w:style>
  <w:style w:type="paragraph" w:styleId="11">
    <w:name w:val="heading 8"/>
    <w:basedOn w:val="1"/>
    <w:next w:val="1"/>
    <w:link w:val="117"/>
    <w:qFormat/>
    <w:uiPriority w:val="0"/>
    <w:pPr>
      <w:keepNext/>
      <w:keepLines/>
      <w:numPr>
        <w:ilvl w:val="7"/>
        <w:numId w:val="1"/>
      </w:numPr>
      <w:spacing w:before="240" w:after="64" w:line="320" w:lineRule="auto"/>
      <w:outlineLvl w:val="7"/>
    </w:pPr>
    <w:rPr>
      <w:rFonts w:ascii="Cambria" w:hAnsi="Cambria"/>
      <w:sz w:val="24"/>
    </w:rPr>
  </w:style>
  <w:style w:type="paragraph" w:styleId="12">
    <w:name w:val="heading 9"/>
    <w:basedOn w:val="1"/>
    <w:next w:val="1"/>
    <w:link w:val="95"/>
    <w:qFormat/>
    <w:uiPriority w:val="0"/>
    <w:pPr>
      <w:keepNext/>
      <w:keepLines/>
      <w:numPr>
        <w:ilvl w:val="8"/>
        <w:numId w:val="1"/>
      </w:numPr>
      <w:spacing w:before="240" w:after="64" w:line="320" w:lineRule="auto"/>
      <w:outlineLvl w:val="8"/>
    </w:pPr>
    <w:rPr>
      <w:rFonts w:ascii="Cambria" w:hAnsi="Cambria"/>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99"/>
    <w:pPr>
      <w:spacing w:after="120"/>
      <w:ind w:firstLine="420" w:firstLineChars="100"/>
    </w:pPr>
    <w:rPr>
      <w:rFonts w:eastAsia="宋体"/>
      <w:sz w:val="21"/>
    </w:rPr>
  </w:style>
  <w:style w:type="paragraph" w:styleId="3">
    <w:name w:val="Body Text"/>
    <w:basedOn w:val="1"/>
    <w:link w:val="116"/>
    <w:qFormat/>
    <w:uiPriority w:val="0"/>
    <w:pPr>
      <w:jc w:val="center"/>
    </w:pPr>
    <w:rPr>
      <w:rFonts w:eastAsia="幼圆"/>
      <w:b/>
      <w:bCs/>
      <w:sz w:val="44"/>
    </w:rPr>
  </w:style>
  <w:style w:type="paragraph" w:styleId="13">
    <w:name w:val="List 3"/>
    <w:basedOn w:val="1"/>
    <w:unhideWhenUsed/>
    <w:qFormat/>
    <w:uiPriority w:val="99"/>
    <w:pPr>
      <w:spacing w:before="100" w:beforeAutospacing="1" w:after="100" w:afterAutospacing="1"/>
      <w:ind w:left="1260" w:hanging="420"/>
    </w:pPr>
    <w:rPr>
      <w:szCs w:val="21"/>
    </w:rPr>
  </w:style>
  <w:style w:type="paragraph" w:styleId="14">
    <w:name w:val="toc 7"/>
    <w:basedOn w:val="1"/>
    <w:next w:val="1"/>
    <w:unhideWhenUsed/>
    <w:qFormat/>
    <w:uiPriority w:val="39"/>
    <w:pPr>
      <w:ind w:left="2520" w:leftChars="1200"/>
    </w:pPr>
    <w:rPr>
      <w:rFonts w:ascii="Calibri" w:hAnsi="Calibri"/>
      <w:szCs w:val="22"/>
    </w:rPr>
  </w:style>
  <w:style w:type="paragraph" w:styleId="15">
    <w:name w:val="Normal Indent"/>
    <w:basedOn w:val="1"/>
    <w:qFormat/>
    <w:uiPriority w:val="0"/>
    <w:pPr>
      <w:ind w:firstLine="420"/>
    </w:pPr>
    <w:rPr>
      <w:b/>
      <w:sz w:val="24"/>
      <w:szCs w:val="20"/>
    </w:rPr>
  </w:style>
  <w:style w:type="paragraph" w:styleId="16">
    <w:name w:val="caption"/>
    <w:basedOn w:val="1"/>
    <w:next w:val="1"/>
    <w:qFormat/>
    <w:uiPriority w:val="0"/>
    <w:rPr>
      <w:rFonts w:ascii="Cambria" w:hAnsi="Cambria" w:eastAsia="黑体"/>
      <w:sz w:val="20"/>
      <w:szCs w:val="22"/>
    </w:rPr>
  </w:style>
  <w:style w:type="paragraph" w:styleId="17">
    <w:name w:val="Document Map"/>
    <w:basedOn w:val="1"/>
    <w:link w:val="85"/>
    <w:qFormat/>
    <w:uiPriority w:val="0"/>
    <w:rPr>
      <w:rFonts w:ascii="宋体"/>
      <w:sz w:val="18"/>
      <w:szCs w:val="18"/>
    </w:rPr>
  </w:style>
  <w:style w:type="paragraph" w:styleId="18">
    <w:name w:val="annotation text"/>
    <w:basedOn w:val="1"/>
    <w:link w:val="109"/>
    <w:qFormat/>
    <w:uiPriority w:val="99"/>
    <w:pPr>
      <w:jc w:val="left"/>
    </w:pPr>
  </w:style>
  <w:style w:type="paragraph" w:styleId="19">
    <w:name w:val="index 6"/>
    <w:next w:val="1"/>
    <w:qFormat/>
    <w:uiPriority w:val="0"/>
    <w:pPr>
      <w:widowControl w:val="0"/>
      <w:spacing w:line="360" w:lineRule="auto"/>
      <w:ind w:left="1000" w:leftChars="1000"/>
      <w:jc w:val="both"/>
    </w:pPr>
    <w:rPr>
      <w:rFonts w:ascii="Times New Roman" w:hAnsi="Times New Roman" w:eastAsia="宋体" w:cs="Times New Roman"/>
      <w:kern w:val="2"/>
      <w:sz w:val="21"/>
      <w:lang w:val="en-US" w:eastAsia="zh-CN" w:bidi="ar-SA"/>
    </w:rPr>
  </w:style>
  <w:style w:type="paragraph" w:styleId="20">
    <w:name w:val="Body Text 3"/>
    <w:basedOn w:val="1"/>
    <w:link w:val="128"/>
    <w:qFormat/>
    <w:uiPriority w:val="0"/>
    <w:rPr>
      <w:rFonts w:ascii="宋体"/>
      <w:sz w:val="24"/>
      <w:szCs w:val="20"/>
    </w:rPr>
  </w:style>
  <w:style w:type="paragraph" w:styleId="21">
    <w:name w:val="Body Text Indent"/>
    <w:basedOn w:val="1"/>
    <w:link w:val="72"/>
    <w:qFormat/>
    <w:uiPriority w:val="0"/>
    <w:pPr>
      <w:spacing w:after="120"/>
      <w:ind w:left="420" w:leftChars="200"/>
    </w:pPr>
  </w:style>
  <w:style w:type="paragraph" w:styleId="22">
    <w:name w:val="index 4"/>
    <w:basedOn w:val="1"/>
    <w:next w:val="1"/>
    <w:qFormat/>
    <w:uiPriority w:val="0"/>
    <w:pPr>
      <w:ind w:left="600" w:leftChars="600"/>
    </w:pPr>
    <w:rPr>
      <w:rFonts w:ascii="Calibri" w:hAnsi="Calibri"/>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qFormat/>
    <w:uiPriority w:val="39"/>
    <w:pPr>
      <w:ind w:left="840" w:leftChars="400"/>
    </w:pPr>
    <w:rPr>
      <w:rFonts w:ascii="Calibri" w:hAnsi="Calibri"/>
      <w:szCs w:val="22"/>
    </w:rPr>
  </w:style>
  <w:style w:type="paragraph" w:styleId="25">
    <w:name w:val="Plain Text"/>
    <w:basedOn w:val="1"/>
    <w:link w:val="78"/>
    <w:qFormat/>
    <w:uiPriority w:val="0"/>
    <w:rPr>
      <w:rFonts w:ascii="Ari"/>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86"/>
    <w:unhideWhenUsed/>
    <w:qFormat/>
    <w:uiPriority w:val="0"/>
  </w:style>
  <w:style w:type="paragraph" w:styleId="28">
    <w:name w:val="Body Text Indent 2"/>
    <w:basedOn w:val="1"/>
    <w:link w:val="108"/>
    <w:unhideWhenUsed/>
    <w:qFormat/>
    <w:uiPriority w:val="99"/>
    <w:pPr>
      <w:spacing w:line="420" w:lineRule="exact"/>
      <w:ind w:firstLine="525"/>
    </w:pPr>
    <w:rPr>
      <w:rFonts w:ascii="宋体"/>
      <w:kern w:val="0"/>
      <w:sz w:val="20"/>
      <w:szCs w:val="20"/>
    </w:rPr>
  </w:style>
  <w:style w:type="paragraph" w:styleId="29">
    <w:name w:val="Balloon Text"/>
    <w:basedOn w:val="1"/>
    <w:link w:val="131"/>
    <w:qFormat/>
    <w:uiPriority w:val="0"/>
    <w:rPr>
      <w:sz w:val="18"/>
      <w:szCs w:val="18"/>
    </w:rPr>
  </w:style>
  <w:style w:type="paragraph" w:styleId="30">
    <w:name w:val="footer"/>
    <w:basedOn w:val="1"/>
    <w:link w:val="121"/>
    <w:qFormat/>
    <w:uiPriority w:val="99"/>
    <w:pPr>
      <w:tabs>
        <w:tab w:val="center" w:pos="4153"/>
        <w:tab w:val="right" w:pos="8306"/>
      </w:tabs>
      <w:snapToGrid w:val="0"/>
      <w:jc w:val="left"/>
    </w:pPr>
    <w:rPr>
      <w:sz w:val="18"/>
      <w:szCs w:val="18"/>
    </w:rPr>
  </w:style>
  <w:style w:type="paragraph" w:styleId="31">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style>
  <w:style w:type="paragraph" w:styleId="33">
    <w:name w:val="toc 4"/>
    <w:basedOn w:val="1"/>
    <w:next w:val="1"/>
    <w:unhideWhenUsed/>
    <w:qFormat/>
    <w:uiPriority w:val="39"/>
    <w:pPr>
      <w:ind w:left="1260" w:leftChars="600"/>
    </w:pPr>
    <w:rPr>
      <w:rFonts w:ascii="Calibri" w:hAnsi="Calibri"/>
      <w:szCs w:val="22"/>
    </w:rPr>
  </w:style>
  <w:style w:type="paragraph" w:styleId="34">
    <w:name w:val="Subtitle"/>
    <w:basedOn w:val="1"/>
    <w:next w:val="1"/>
    <w:link w:val="104"/>
    <w:qFormat/>
    <w:uiPriority w:val="0"/>
    <w:pPr>
      <w:spacing w:before="240" w:after="60" w:line="312" w:lineRule="auto"/>
      <w:jc w:val="center"/>
      <w:outlineLvl w:val="1"/>
    </w:pPr>
    <w:rPr>
      <w:rFonts w:ascii="Cambria" w:hAnsi="Cambria"/>
      <w:b/>
      <w:bCs/>
      <w:kern w:val="28"/>
      <w:sz w:val="32"/>
      <w:szCs w:val="32"/>
    </w:rPr>
  </w:style>
  <w:style w:type="paragraph" w:styleId="35">
    <w:name w:val="toc 6"/>
    <w:basedOn w:val="1"/>
    <w:next w:val="1"/>
    <w:unhideWhenUsed/>
    <w:qFormat/>
    <w:uiPriority w:val="39"/>
    <w:pPr>
      <w:ind w:left="2100" w:leftChars="1000"/>
    </w:pPr>
    <w:rPr>
      <w:rFonts w:ascii="Calibri" w:hAnsi="Calibri"/>
      <w:szCs w:val="22"/>
    </w:rPr>
  </w:style>
  <w:style w:type="paragraph" w:styleId="36">
    <w:name w:val="Body Text Indent 3"/>
    <w:basedOn w:val="1"/>
    <w:link w:val="129"/>
    <w:qFormat/>
    <w:uiPriority w:val="0"/>
    <w:pPr>
      <w:spacing w:after="120"/>
      <w:ind w:left="420" w:leftChars="200"/>
    </w:pPr>
    <w:rPr>
      <w:sz w:val="16"/>
      <w:szCs w:val="20"/>
    </w:rPr>
  </w:style>
  <w:style w:type="paragraph" w:styleId="37">
    <w:name w:val="toc 2"/>
    <w:basedOn w:val="1"/>
    <w:next w:val="1"/>
    <w:qFormat/>
    <w:uiPriority w:val="39"/>
    <w:pPr>
      <w:ind w:left="420" w:leftChars="200"/>
    </w:pPr>
    <w:rPr>
      <w:rFonts w:ascii="Calibri" w:hAnsi="Calibri"/>
      <w:szCs w:val="22"/>
    </w:rPr>
  </w:style>
  <w:style w:type="paragraph" w:styleId="38">
    <w:name w:val="toc 9"/>
    <w:basedOn w:val="1"/>
    <w:next w:val="1"/>
    <w:unhideWhenUsed/>
    <w:qFormat/>
    <w:uiPriority w:val="39"/>
    <w:pPr>
      <w:ind w:left="3360" w:leftChars="1600"/>
    </w:pPr>
    <w:rPr>
      <w:rFonts w:ascii="Calibri" w:hAnsi="Calibri"/>
      <w:szCs w:val="22"/>
    </w:rPr>
  </w:style>
  <w:style w:type="paragraph" w:styleId="39">
    <w:name w:val="Body Text 2"/>
    <w:basedOn w:val="1"/>
    <w:qFormat/>
    <w:uiPriority w:val="0"/>
    <w:pPr>
      <w:tabs>
        <w:tab w:val="left" w:pos="1995"/>
      </w:tabs>
      <w:snapToGrid w:val="0"/>
      <w:spacing w:line="440" w:lineRule="atLeast"/>
    </w:pPr>
    <w:rPr>
      <w:rFonts w:ascii="Times New Roman" w:hAnsi="Times New Roman" w:cs="Times New Roman"/>
      <w:color w:val="000000"/>
    </w:rPr>
  </w:style>
  <w:style w:type="paragraph" w:styleId="40">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hAnsi="Calibri" w:eastAsia="仿宋_GB2312"/>
      <w:szCs w:val="22"/>
    </w:rPr>
  </w:style>
  <w:style w:type="paragraph" w:styleId="43">
    <w:name w:val="Title"/>
    <w:basedOn w:val="1"/>
    <w:link w:val="8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8"/>
    <w:next w:val="18"/>
    <w:link w:val="119"/>
    <w:qFormat/>
    <w:uiPriority w:val="0"/>
    <w:rPr>
      <w:b/>
      <w:bCs/>
    </w:rPr>
  </w:style>
  <w:style w:type="table" w:styleId="46">
    <w:name w:val="Table Grid"/>
    <w:basedOn w:val="4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rFonts w:cs="Times New Roman"/>
      <w:b/>
    </w:rPr>
  </w:style>
  <w:style w:type="character" w:styleId="49">
    <w:name w:val="page number"/>
    <w:qFormat/>
    <w:uiPriority w:val="0"/>
    <w:rPr>
      <w:rFonts w:eastAsia="宋体"/>
      <w:b/>
      <w:spacing w:val="0"/>
      <w:kern w:val="2"/>
      <w:sz w:val="24"/>
      <w:szCs w:val="24"/>
      <w:vertAlign w:val="baseline"/>
      <w:lang w:val="en-US" w:eastAsia="zh-CN" w:bidi="ar-SA"/>
    </w:rPr>
  </w:style>
  <w:style w:type="character" w:styleId="50">
    <w:name w:val="FollowedHyperlink"/>
    <w:qFormat/>
    <w:uiPriority w:val="0"/>
    <w:rPr>
      <w:color w:val="800080"/>
      <w:u w:val="single"/>
    </w:rPr>
  </w:style>
  <w:style w:type="character" w:styleId="51">
    <w:name w:val="Emphasis"/>
    <w:qFormat/>
    <w:uiPriority w:val="0"/>
    <w:rPr>
      <w:color w:val="CC0000"/>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color w:val="008000"/>
    </w:rPr>
  </w:style>
  <w:style w:type="paragraph" w:customStyle="1" w:styleId="55">
    <w:name w:val="列表段落1"/>
    <w:basedOn w:val="1"/>
    <w:qFormat/>
    <w:uiPriority w:val="99"/>
    <w:pPr>
      <w:ind w:firstLine="420" w:firstLineChars="200"/>
    </w:pPr>
    <w:rPr>
      <w:rFonts w:ascii="Times New Roman" w:hAnsi="Times New Roman" w:eastAsia="宋体" w:cs="Times New Roman"/>
      <w:szCs w:val="20"/>
    </w:rPr>
  </w:style>
  <w:style w:type="paragraph" w:customStyle="1" w:styleId="56">
    <w:name w:val="列出段落1"/>
    <w:basedOn w:val="1"/>
    <w:qFormat/>
    <w:uiPriority w:val="99"/>
    <w:pPr>
      <w:widowControl/>
      <w:ind w:left="720"/>
      <w:contextualSpacing/>
      <w:jc w:val="left"/>
    </w:pPr>
    <w:rPr>
      <w:rFonts w:ascii="Arial" w:hAnsi="Arial" w:eastAsia="黑体"/>
      <w:kern w:val="0"/>
      <w:sz w:val="24"/>
      <w:lang w:eastAsia="en-US"/>
    </w:rPr>
  </w:style>
  <w:style w:type="character" w:customStyle="1" w:styleId="57">
    <w:name w:val="标题 2 Char"/>
    <w:link w:val="5"/>
    <w:qFormat/>
    <w:uiPriority w:val="0"/>
    <w:rPr>
      <w:rFonts w:ascii="Cambria" w:hAnsi="Cambria"/>
      <w:b/>
      <w:bCs/>
      <w:kern w:val="2"/>
      <w:sz w:val="32"/>
      <w:szCs w:val="32"/>
    </w:rPr>
  </w:style>
  <w:style w:type="character" w:customStyle="1" w:styleId="58">
    <w:name w:val="明显强调1"/>
    <w:qFormat/>
    <w:uiPriority w:val="0"/>
    <w:rPr>
      <w:b/>
      <w:bCs/>
      <w:i/>
      <w:iCs/>
      <w:color w:val="4F81BD"/>
    </w:rPr>
  </w:style>
  <w:style w:type="character" w:customStyle="1" w:styleId="59">
    <w:name w:val="批注文字 Char2"/>
    <w:qFormat/>
    <w:uiPriority w:val="0"/>
    <w:rPr>
      <w:kern w:val="2"/>
      <w:sz w:val="21"/>
    </w:rPr>
  </w:style>
  <w:style w:type="character" w:customStyle="1" w:styleId="60">
    <w:name w:val="标题 3 Char_0"/>
    <w:link w:val="61"/>
    <w:qFormat/>
    <w:uiPriority w:val="0"/>
    <w:rPr>
      <w:b/>
      <w:bCs/>
      <w:sz w:val="32"/>
      <w:szCs w:val="32"/>
    </w:rPr>
  </w:style>
  <w:style w:type="paragraph" w:customStyle="1" w:styleId="61">
    <w:name w:val="标题 3_0"/>
    <w:basedOn w:val="62"/>
    <w:next w:val="62"/>
    <w:link w:val="60"/>
    <w:qFormat/>
    <w:uiPriority w:val="0"/>
    <w:pPr>
      <w:keepNext/>
      <w:keepLines/>
      <w:spacing w:before="260" w:after="260" w:line="416" w:lineRule="auto"/>
      <w:outlineLvl w:val="2"/>
    </w:pPr>
    <w:rPr>
      <w:b/>
      <w:bCs/>
      <w:kern w:val="0"/>
      <w:sz w:val="32"/>
      <w:szCs w:val="32"/>
    </w:rPr>
  </w:style>
  <w:style w:type="paragraph" w:customStyle="1" w:styleId="62">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3">
    <w:name w:val="正文文本 Char2"/>
    <w:semiHidden/>
    <w:qFormat/>
    <w:uiPriority w:val="99"/>
    <w:rPr>
      <w:rFonts w:ascii="Calibri" w:hAnsi="Calibri" w:eastAsia="宋体" w:cs="Times New Roman"/>
    </w:rPr>
  </w:style>
  <w:style w:type="character" w:customStyle="1" w:styleId="64">
    <w:name w:val="页脚 Char1"/>
    <w:semiHidden/>
    <w:qFormat/>
    <w:uiPriority w:val="99"/>
    <w:rPr>
      <w:rFonts w:ascii="Calibri" w:hAnsi="Calibri" w:eastAsia="宋体" w:cs="Times New Roman"/>
      <w:sz w:val="18"/>
      <w:szCs w:val="18"/>
    </w:rPr>
  </w:style>
  <w:style w:type="character" w:customStyle="1" w:styleId="65">
    <w:name w:val="明显引用 Char2"/>
    <w:qFormat/>
    <w:uiPriority w:val="99"/>
    <w:rPr>
      <w:b/>
      <w:bCs/>
      <w:i/>
      <w:iCs/>
      <w:color w:val="4F81BD"/>
      <w:kern w:val="2"/>
      <w:sz w:val="21"/>
      <w:szCs w:val="24"/>
    </w:rPr>
  </w:style>
  <w:style w:type="character" w:customStyle="1" w:styleId="66">
    <w:name w:val="引用 Char"/>
    <w:link w:val="67"/>
    <w:qFormat/>
    <w:uiPriority w:val="0"/>
    <w:rPr>
      <w:i/>
      <w:iCs/>
      <w:color w:val="000000"/>
    </w:rPr>
  </w:style>
  <w:style w:type="paragraph" w:customStyle="1" w:styleId="67">
    <w:name w:val="引用1"/>
    <w:basedOn w:val="1"/>
    <w:next w:val="1"/>
    <w:link w:val="66"/>
    <w:qFormat/>
    <w:uiPriority w:val="0"/>
    <w:rPr>
      <w:i/>
      <w:iCs/>
      <w:color w:val="000000"/>
      <w:kern w:val="0"/>
      <w:sz w:val="20"/>
      <w:szCs w:val="20"/>
    </w:rPr>
  </w:style>
  <w:style w:type="character" w:customStyle="1" w:styleId="68">
    <w:name w:val="标题 1 Char_0"/>
    <w:link w:val="69"/>
    <w:qFormat/>
    <w:uiPriority w:val="0"/>
    <w:rPr>
      <w:b/>
      <w:bCs/>
      <w:kern w:val="44"/>
      <w:sz w:val="44"/>
      <w:szCs w:val="44"/>
    </w:rPr>
  </w:style>
  <w:style w:type="paragraph" w:customStyle="1" w:styleId="69">
    <w:name w:val="标题 1_0"/>
    <w:basedOn w:val="62"/>
    <w:next w:val="62"/>
    <w:link w:val="68"/>
    <w:qFormat/>
    <w:uiPriority w:val="0"/>
    <w:pPr>
      <w:keepNext/>
      <w:keepLines/>
      <w:spacing w:before="340" w:after="330" w:line="578" w:lineRule="auto"/>
      <w:outlineLvl w:val="0"/>
    </w:pPr>
    <w:rPr>
      <w:b/>
      <w:bCs/>
      <w:kern w:val="44"/>
      <w:sz w:val="44"/>
      <w:szCs w:val="44"/>
    </w:rPr>
  </w:style>
  <w:style w:type="character" w:customStyle="1" w:styleId="70">
    <w:name w:val="正文文本缩进 3 Char1"/>
    <w:semiHidden/>
    <w:qFormat/>
    <w:uiPriority w:val="99"/>
    <w:rPr>
      <w:kern w:val="2"/>
      <w:sz w:val="16"/>
      <w:szCs w:val="16"/>
    </w:rPr>
  </w:style>
  <w:style w:type="character" w:customStyle="1" w:styleId="71">
    <w:name w:val="引用 Char1"/>
    <w:qFormat/>
    <w:uiPriority w:val="29"/>
    <w:rPr>
      <w:i/>
      <w:iCs/>
      <w:color w:val="000000"/>
      <w:kern w:val="2"/>
      <w:sz w:val="21"/>
    </w:rPr>
  </w:style>
  <w:style w:type="character" w:customStyle="1" w:styleId="72">
    <w:name w:val="正文文本缩进 Char"/>
    <w:link w:val="21"/>
    <w:qFormat/>
    <w:uiPriority w:val="0"/>
    <w:rPr>
      <w:kern w:val="2"/>
      <w:sz w:val="21"/>
      <w:szCs w:val="24"/>
    </w:rPr>
  </w:style>
  <w:style w:type="character" w:customStyle="1" w:styleId="73">
    <w:name w:val="font161"/>
    <w:qFormat/>
    <w:uiPriority w:val="0"/>
    <w:rPr>
      <w:b/>
      <w:sz w:val="32"/>
    </w:rPr>
  </w:style>
  <w:style w:type="character" w:customStyle="1" w:styleId="74">
    <w:name w:val="标题 4 Char_0"/>
    <w:link w:val="75"/>
    <w:qFormat/>
    <w:uiPriority w:val="0"/>
    <w:rPr>
      <w:rFonts w:ascii="Arial" w:hAnsi="Arial" w:eastAsia="黑体"/>
      <w:b/>
      <w:bCs/>
      <w:sz w:val="28"/>
      <w:szCs w:val="28"/>
    </w:rPr>
  </w:style>
  <w:style w:type="paragraph" w:customStyle="1" w:styleId="75">
    <w:name w:val="标题 4_0"/>
    <w:basedOn w:val="62"/>
    <w:next w:val="62"/>
    <w:link w:val="74"/>
    <w:qFormat/>
    <w:uiPriority w:val="0"/>
    <w:pPr>
      <w:keepNext/>
      <w:keepLines/>
      <w:spacing w:before="280" w:after="290" w:line="376" w:lineRule="auto"/>
      <w:outlineLvl w:val="3"/>
    </w:pPr>
    <w:rPr>
      <w:rFonts w:ascii="Arial" w:hAnsi="Arial" w:eastAsia="黑体"/>
      <w:b/>
      <w:bCs/>
      <w:kern w:val="0"/>
      <w:sz w:val="28"/>
      <w:szCs w:val="28"/>
    </w:rPr>
  </w:style>
  <w:style w:type="character" w:customStyle="1" w:styleId="76">
    <w:name w:val="页眉 Char"/>
    <w:link w:val="31"/>
    <w:qFormat/>
    <w:uiPriority w:val="0"/>
    <w:rPr>
      <w:kern w:val="2"/>
      <w:sz w:val="18"/>
      <w:szCs w:val="18"/>
    </w:rPr>
  </w:style>
  <w:style w:type="character" w:customStyle="1" w:styleId="77">
    <w:name w:val="标题 6 Char"/>
    <w:link w:val="9"/>
    <w:qFormat/>
    <w:uiPriority w:val="0"/>
    <w:rPr>
      <w:rFonts w:ascii="Cambria" w:hAnsi="Cambria" w:eastAsia="宋体" w:cs="Times New Roman"/>
      <w:b/>
      <w:bCs/>
      <w:kern w:val="2"/>
      <w:sz w:val="24"/>
      <w:szCs w:val="24"/>
    </w:rPr>
  </w:style>
  <w:style w:type="character" w:customStyle="1" w:styleId="78">
    <w:name w:val="纯文本 Char"/>
    <w:link w:val="25"/>
    <w:qFormat/>
    <w:uiPriority w:val="0"/>
    <w:rPr>
      <w:rFonts w:ascii="Ari"/>
      <w:lang w:val="en-US" w:eastAsia="zh-CN" w:bidi="ar-SA"/>
    </w:rPr>
  </w:style>
  <w:style w:type="character" w:customStyle="1" w:styleId="79">
    <w:name w:val="引用 Char2"/>
    <w:qFormat/>
    <w:uiPriority w:val="99"/>
    <w:rPr>
      <w:i/>
      <w:iCs/>
      <w:color w:val="000000"/>
      <w:kern w:val="2"/>
      <w:sz w:val="21"/>
      <w:szCs w:val="24"/>
    </w:rPr>
  </w:style>
  <w:style w:type="character" w:customStyle="1" w:styleId="80">
    <w:name w:val="rvts11"/>
    <w:qFormat/>
    <w:uiPriority w:val="0"/>
    <w:rPr>
      <w:rFonts w:hint="default" w:ascii="KNLe" w:hAnsi="KNLe"/>
      <w:sz w:val="24"/>
      <w:szCs w:val="24"/>
      <w:u w:val="single"/>
    </w:rPr>
  </w:style>
  <w:style w:type="character" w:customStyle="1" w:styleId="81">
    <w:name w:val="标题 Char"/>
    <w:link w:val="43"/>
    <w:qFormat/>
    <w:uiPriority w:val="0"/>
    <w:rPr>
      <w:rFonts w:ascii="Arial" w:hAnsi="Arial"/>
      <w:b/>
      <w:sz w:val="32"/>
    </w:rPr>
  </w:style>
  <w:style w:type="character" w:customStyle="1" w:styleId="82">
    <w:name w:val="标题5 Char Char"/>
    <w:link w:val="83"/>
    <w:qFormat/>
    <w:uiPriority w:val="0"/>
    <w:rPr>
      <w:rFonts w:ascii="Arial" w:hAnsi="Arial"/>
      <w:b/>
      <w:bCs/>
      <w:sz w:val="24"/>
      <w:szCs w:val="32"/>
    </w:rPr>
  </w:style>
  <w:style w:type="paragraph" w:customStyle="1" w:styleId="83">
    <w:name w:val="标题5"/>
    <w:basedOn w:val="6"/>
    <w:link w:val="82"/>
    <w:qFormat/>
    <w:uiPriority w:val="0"/>
    <w:pPr>
      <w:numPr>
        <w:ilvl w:val="0"/>
        <w:numId w:val="0"/>
      </w:numPr>
      <w:spacing w:line="413" w:lineRule="auto"/>
    </w:pPr>
    <w:rPr>
      <w:rFonts w:ascii="Arial" w:hAnsi="Arial"/>
      <w:kern w:val="0"/>
      <w:sz w:val="24"/>
    </w:rPr>
  </w:style>
  <w:style w:type="character" w:customStyle="1" w:styleId="84">
    <w:name w:val="副标题 Char2"/>
    <w:qFormat/>
    <w:uiPriority w:val="11"/>
    <w:rPr>
      <w:rFonts w:ascii="Cambria" w:hAnsi="Cambria" w:cs="Times New Roman"/>
      <w:b/>
      <w:bCs/>
      <w:kern w:val="28"/>
      <w:sz w:val="32"/>
      <w:szCs w:val="32"/>
    </w:rPr>
  </w:style>
  <w:style w:type="character" w:customStyle="1" w:styleId="85">
    <w:name w:val="文档结构图 Char"/>
    <w:link w:val="17"/>
    <w:qFormat/>
    <w:uiPriority w:val="0"/>
    <w:rPr>
      <w:rFonts w:ascii="宋体"/>
      <w:kern w:val="2"/>
      <w:sz w:val="18"/>
      <w:szCs w:val="18"/>
    </w:rPr>
  </w:style>
  <w:style w:type="character" w:customStyle="1" w:styleId="86">
    <w:name w:val="日期 Char"/>
    <w:link w:val="27"/>
    <w:qFormat/>
    <w:uiPriority w:val="0"/>
    <w:rPr>
      <w:kern w:val="2"/>
      <w:sz w:val="21"/>
      <w:szCs w:val="24"/>
    </w:rPr>
  </w:style>
  <w:style w:type="character" w:customStyle="1" w:styleId="87">
    <w:name w:val="批注主题 Char1"/>
    <w:qFormat/>
    <w:uiPriority w:val="0"/>
    <w:rPr>
      <w:b/>
      <w:bCs/>
      <w:kern w:val="2"/>
      <w:sz w:val="21"/>
      <w:szCs w:val="22"/>
    </w:rPr>
  </w:style>
  <w:style w:type="character" w:customStyle="1" w:styleId="88">
    <w:name w:val="font31"/>
    <w:qFormat/>
    <w:uiPriority w:val="0"/>
    <w:rPr>
      <w:rFonts w:hint="eastAsia" w:ascii="宋体" w:hAnsi="宋体" w:eastAsia="宋体" w:cs="宋体"/>
      <w:color w:val="000000"/>
      <w:sz w:val="20"/>
      <w:szCs w:val="20"/>
      <w:u w:val="none"/>
    </w:rPr>
  </w:style>
  <w:style w:type="character" w:customStyle="1" w:styleId="89">
    <w:name w:val="明显引用 Char"/>
    <w:link w:val="90"/>
    <w:qFormat/>
    <w:uiPriority w:val="0"/>
    <w:rPr>
      <w:b/>
      <w:bCs/>
      <w:i/>
      <w:iCs/>
      <w:color w:val="4F81BD"/>
    </w:rPr>
  </w:style>
  <w:style w:type="paragraph" w:customStyle="1" w:styleId="90">
    <w:name w:val="明显引用1"/>
    <w:basedOn w:val="1"/>
    <w:next w:val="1"/>
    <w:link w:val="89"/>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91">
    <w:name w:val="标题 5 Char"/>
    <w:link w:val="8"/>
    <w:qFormat/>
    <w:uiPriority w:val="0"/>
    <w:rPr>
      <w:b/>
      <w:bCs/>
      <w:kern w:val="2"/>
      <w:sz w:val="28"/>
      <w:szCs w:val="28"/>
    </w:rPr>
  </w:style>
  <w:style w:type="character" w:customStyle="1" w:styleId="92">
    <w:name w:val="日期 Char1"/>
    <w:qFormat/>
    <w:uiPriority w:val="0"/>
    <w:rPr>
      <w:rFonts w:ascii="Calibri" w:hAnsi="Calibri" w:eastAsia="宋体" w:cs="Times New Roman"/>
    </w:rPr>
  </w:style>
  <w:style w:type="character" w:customStyle="1" w:styleId="93">
    <w:name w:val="批注框文本 Char1"/>
    <w:qFormat/>
    <w:uiPriority w:val="0"/>
    <w:rPr>
      <w:kern w:val="2"/>
      <w:sz w:val="18"/>
      <w:szCs w:val="18"/>
    </w:rPr>
  </w:style>
  <w:style w:type="character" w:customStyle="1" w:styleId="94">
    <w:name w:val="标题 Char1"/>
    <w:qFormat/>
    <w:uiPriority w:val="10"/>
    <w:rPr>
      <w:rFonts w:ascii="Cambria" w:hAnsi="Cambria" w:eastAsia="宋体" w:cs="Times New Roman"/>
      <w:b/>
      <w:bCs/>
      <w:sz w:val="32"/>
      <w:szCs w:val="32"/>
    </w:rPr>
  </w:style>
  <w:style w:type="character" w:customStyle="1" w:styleId="95">
    <w:name w:val="标题 9 Char"/>
    <w:link w:val="12"/>
    <w:qFormat/>
    <w:uiPriority w:val="0"/>
    <w:rPr>
      <w:rFonts w:ascii="Cambria" w:hAnsi="Cambria" w:eastAsia="宋体" w:cs="Times New Roman"/>
      <w:kern w:val="2"/>
      <w:sz w:val="21"/>
      <w:szCs w:val="21"/>
    </w:rPr>
  </w:style>
  <w:style w:type="character" w:customStyle="1" w:styleId="96">
    <w:name w:val="不明显参考1"/>
    <w:qFormat/>
    <w:uiPriority w:val="0"/>
    <w:rPr>
      <w:smallCaps/>
      <w:color w:val="C0504D"/>
      <w:u w:val="single"/>
    </w:rPr>
  </w:style>
  <w:style w:type="character" w:customStyle="1" w:styleId="97">
    <w:name w:val="批注文字 Char1"/>
    <w:qFormat/>
    <w:uiPriority w:val="0"/>
    <w:rPr>
      <w:rFonts w:ascii="Calibri" w:hAnsi="Calibri" w:eastAsia="宋体" w:cs="Times New Roman"/>
    </w:rPr>
  </w:style>
  <w:style w:type="character" w:customStyle="1" w:styleId="98">
    <w:name w:val="标题 Char2"/>
    <w:qFormat/>
    <w:uiPriority w:val="10"/>
    <w:rPr>
      <w:rFonts w:ascii="Cambria" w:hAnsi="Cambria" w:cs="Times New Roman"/>
      <w:b/>
      <w:bCs/>
      <w:kern w:val="2"/>
      <w:sz w:val="32"/>
      <w:szCs w:val="32"/>
    </w:rPr>
  </w:style>
  <w:style w:type="character" w:customStyle="1" w:styleId="99">
    <w:name w:val="正文文本 3 Char1"/>
    <w:semiHidden/>
    <w:qFormat/>
    <w:uiPriority w:val="99"/>
    <w:rPr>
      <w:kern w:val="2"/>
      <w:sz w:val="16"/>
      <w:szCs w:val="16"/>
    </w:rPr>
  </w:style>
  <w:style w:type="character" w:customStyle="1" w:styleId="100">
    <w:name w:val="批注主题 Char2"/>
    <w:qFormat/>
    <w:uiPriority w:val="0"/>
    <w:rPr>
      <w:b/>
      <w:bCs/>
      <w:kern w:val="2"/>
      <w:sz w:val="21"/>
    </w:rPr>
  </w:style>
  <w:style w:type="character" w:customStyle="1" w:styleId="101">
    <w:name w:val="标题 3 Char"/>
    <w:link w:val="6"/>
    <w:qFormat/>
    <w:uiPriority w:val="0"/>
    <w:rPr>
      <w:b/>
      <w:bCs/>
      <w:kern w:val="2"/>
      <w:sz w:val="32"/>
      <w:szCs w:val="32"/>
    </w:rPr>
  </w:style>
  <w:style w:type="character" w:customStyle="1" w:styleId="102">
    <w:name w:val="正文文本 Char_0"/>
    <w:link w:val="103"/>
    <w:qFormat/>
    <w:uiPriority w:val="0"/>
    <w:rPr>
      <w:szCs w:val="24"/>
    </w:rPr>
  </w:style>
  <w:style w:type="paragraph" w:customStyle="1" w:styleId="103">
    <w:name w:val="正文文本_0"/>
    <w:basedOn w:val="62"/>
    <w:link w:val="102"/>
    <w:qFormat/>
    <w:uiPriority w:val="0"/>
    <w:pPr>
      <w:spacing w:after="120"/>
    </w:pPr>
    <w:rPr>
      <w:kern w:val="0"/>
      <w:sz w:val="20"/>
    </w:rPr>
  </w:style>
  <w:style w:type="character" w:customStyle="1" w:styleId="104">
    <w:name w:val="副标题 Char"/>
    <w:link w:val="34"/>
    <w:qFormat/>
    <w:uiPriority w:val="0"/>
    <w:rPr>
      <w:rFonts w:ascii="Cambria" w:hAnsi="Cambria"/>
      <w:b/>
      <w:bCs/>
      <w:kern w:val="28"/>
      <w:sz w:val="32"/>
      <w:szCs w:val="32"/>
    </w:rPr>
  </w:style>
  <w:style w:type="character" w:customStyle="1" w:styleId="105">
    <w:name w:val="bookmark"/>
    <w:basedOn w:val="47"/>
    <w:qFormat/>
    <w:uiPriority w:val="0"/>
  </w:style>
  <w:style w:type="character" w:customStyle="1" w:styleId="106">
    <w:name w:val="标题 5 Char_0"/>
    <w:link w:val="107"/>
    <w:qFormat/>
    <w:uiPriority w:val="0"/>
    <w:rPr>
      <w:rFonts w:ascii="Calibri" w:hAnsi="Calibri"/>
      <w:b/>
      <w:bCs/>
      <w:sz w:val="28"/>
      <w:szCs w:val="28"/>
    </w:rPr>
  </w:style>
  <w:style w:type="paragraph" w:customStyle="1" w:styleId="107">
    <w:name w:val="标题 5_0"/>
    <w:basedOn w:val="62"/>
    <w:next w:val="62"/>
    <w:link w:val="106"/>
    <w:qFormat/>
    <w:uiPriority w:val="0"/>
    <w:pPr>
      <w:keepNext/>
      <w:keepLines/>
      <w:spacing w:before="280" w:after="290" w:line="372" w:lineRule="auto"/>
      <w:outlineLvl w:val="4"/>
    </w:pPr>
    <w:rPr>
      <w:rFonts w:ascii="Calibri" w:hAnsi="Calibri"/>
      <w:b/>
      <w:bCs/>
      <w:kern w:val="0"/>
      <w:sz w:val="28"/>
      <w:szCs w:val="28"/>
    </w:rPr>
  </w:style>
  <w:style w:type="character" w:customStyle="1" w:styleId="108">
    <w:name w:val="正文文本缩进 2 Char"/>
    <w:link w:val="28"/>
    <w:qFormat/>
    <w:uiPriority w:val="99"/>
    <w:rPr>
      <w:rFonts w:ascii="宋体"/>
    </w:rPr>
  </w:style>
  <w:style w:type="character" w:customStyle="1" w:styleId="109">
    <w:name w:val="批注文字 Char"/>
    <w:link w:val="18"/>
    <w:qFormat/>
    <w:uiPriority w:val="99"/>
    <w:rPr>
      <w:kern w:val="2"/>
      <w:sz w:val="21"/>
      <w:szCs w:val="24"/>
    </w:rPr>
  </w:style>
  <w:style w:type="character" w:customStyle="1" w:styleId="110">
    <w:name w:val="font11"/>
    <w:qFormat/>
    <w:uiPriority w:val="0"/>
    <w:rPr>
      <w:rFonts w:hint="eastAsia" w:ascii="宋体" w:hAnsi="宋体" w:eastAsia="宋体" w:cs="宋体"/>
      <w:color w:val="000000"/>
      <w:sz w:val="20"/>
      <w:szCs w:val="20"/>
      <w:u w:val="none"/>
    </w:rPr>
  </w:style>
  <w:style w:type="character" w:customStyle="1" w:styleId="111">
    <w:name w:val="明显参考1"/>
    <w:qFormat/>
    <w:uiPriority w:val="0"/>
    <w:rPr>
      <w:b/>
      <w:bCs/>
      <w:smallCaps/>
      <w:color w:val="C0504D"/>
      <w:spacing w:val="5"/>
      <w:u w:val="single"/>
    </w:rPr>
  </w:style>
  <w:style w:type="character" w:customStyle="1" w:styleId="112">
    <w:name w:val="超链接_0"/>
    <w:qFormat/>
    <w:uiPriority w:val="99"/>
    <w:rPr>
      <w:rFonts w:ascii="Calibri" w:hAnsi="Calibri"/>
      <w:color w:val="0000FF"/>
      <w:u w:val="single"/>
    </w:rPr>
  </w:style>
  <w:style w:type="character" w:customStyle="1" w:styleId="113">
    <w:name w:val="文档结构图 Char2"/>
    <w:semiHidden/>
    <w:qFormat/>
    <w:uiPriority w:val="99"/>
    <w:rPr>
      <w:rFonts w:ascii="宋体" w:hAnsi="Calibri" w:eastAsia="宋体" w:cs="Times New Roman"/>
      <w:sz w:val="18"/>
      <w:szCs w:val="18"/>
    </w:rPr>
  </w:style>
  <w:style w:type="character" w:customStyle="1" w:styleId="114">
    <w:name w:val="textcontents"/>
    <w:qFormat/>
    <w:uiPriority w:val="0"/>
    <w:rPr>
      <w:rFonts w:cs="Times New Roman"/>
    </w:rPr>
  </w:style>
  <w:style w:type="character" w:customStyle="1" w:styleId="115">
    <w:name w:val="标题 1 Char"/>
    <w:qFormat/>
    <w:uiPriority w:val="0"/>
    <w:rPr>
      <w:b/>
      <w:bCs/>
      <w:kern w:val="44"/>
      <w:sz w:val="32"/>
      <w:szCs w:val="44"/>
    </w:rPr>
  </w:style>
  <w:style w:type="character" w:customStyle="1" w:styleId="116">
    <w:name w:val="正文文本 Char"/>
    <w:link w:val="3"/>
    <w:qFormat/>
    <w:uiPriority w:val="0"/>
    <w:rPr>
      <w:rFonts w:eastAsia="幼圆"/>
      <w:b/>
      <w:bCs/>
      <w:kern w:val="2"/>
      <w:sz w:val="44"/>
      <w:szCs w:val="24"/>
    </w:rPr>
  </w:style>
  <w:style w:type="character" w:customStyle="1" w:styleId="117">
    <w:name w:val="标题 8 Char"/>
    <w:link w:val="11"/>
    <w:qFormat/>
    <w:uiPriority w:val="0"/>
    <w:rPr>
      <w:rFonts w:ascii="Cambria" w:hAnsi="Cambria" w:eastAsia="宋体" w:cs="Times New Roman"/>
      <w:kern w:val="2"/>
      <w:sz w:val="24"/>
      <w:szCs w:val="24"/>
    </w:rPr>
  </w:style>
  <w:style w:type="character" w:customStyle="1" w:styleId="118">
    <w:name w:val="副标题 Char1"/>
    <w:qFormat/>
    <w:uiPriority w:val="11"/>
    <w:rPr>
      <w:rFonts w:ascii="Cambria" w:hAnsi="Cambria" w:cs="Times New Roman"/>
      <w:b/>
      <w:bCs/>
      <w:kern w:val="28"/>
      <w:sz w:val="32"/>
      <w:szCs w:val="32"/>
    </w:rPr>
  </w:style>
  <w:style w:type="character" w:customStyle="1" w:styleId="119">
    <w:name w:val="批注主题 Char"/>
    <w:link w:val="44"/>
    <w:qFormat/>
    <w:uiPriority w:val="0"/>
    <w:rPr>
      <w:b/>
      <w:bCs/>
      <w:kern w:val="2"/>
      <w:sz w:val="21"/>
      <w:szCs w:val="24"/>
    </w:rPr>
  </w:style>
  <w:style w:type="character" w:customStyle="1" w:styleId="120">
    <w:name w:val="书籍标题1"/>
    <w:qFormat/>
    <w:uiPriority w:val="0"/>
    <w:rPr>
      <w:b/>
      <w:bCs/>
      <w:smallCaps/>
      <w:spacing w:val="5"/>
    </w:rPr>
  </w:style>
  <w:style w:type="character" w:customStyle="1" w:styleId="121">
    <w:name w:val="页脚 Char"/>
    <w:link w:val="30"/>
    <w:qFormat/>
    <w:uiPriority w:val="99"/>
    <w:rPr>
      <w:kern w:val="2"/>
      <w:sz w:val="18"/>
      <w:szCs w:val="18"/>
    </w:rPr>
  </w:style>
  <w:style w:type="character" w:customStyle="1" w:styleId="122">
    <w:name w:val="标题4 Char Char"/>
    <w:link w:val="123"/>
    <w:qFormat/>
    <w:uiPriority w:val="0"/>
    <w:rPr>
      <w:rFonts w:ascii="Arial" w:hAnsi="Arial"/>
      <w:b/>
      <w:bCs/>
      <w:sz w:val="24"/>
      <w:szCs w:val="32"/>
    </w:rPr>
  </w:style>
  <w:style w:type="paragraph" w:customStyle="1" w:styleId="123">
    <w:name w:val="标题4"/>
    <w:basedOn w:val="5"/>
    <w:next w:val="22"/>
    <w:link w:val="122"/>
    <w:qFormat/>
    <w:uiPriority w:val="0"/>
    <w:pPr>
      <w:numPr>
        <w:ilvl w:val="0"/>
        <w:numId w:val="0"/>
      </w:numPr>
      <w:spacing w:line="413" w:lineRule="auto"/>
    </w:pPr>
    <w:rPr>
      <w:rFonts w:ascii="Arial" w:hAnsi="Arial"/>
      <w:kern w:val="0"/>
      <w:sz w:val="24"/>
    </w:rPr>
  </w:style>
  <w:style w:type="character" w:customStyle="1" w:styleId="124">
    <w:name w:val="正文文本 Char1"/>
    <w:qFormat/>
    <w:uiPriority w:val="0"/>
    <w:rPr>
      <w:rFonts w:ascii="Calibri" w:hAnsi="Calibri" w:eastAsia="宋体" w:cs="Times New Roman"/>
    </w:rPr>
  </w:style>
  <w:style w:type="character" w:customStyle="1" w:styleId="125">
    <w:name w:val="明显引用 Char1"/>
    <w:qFormat/>
    <w:uiPriority w:val="30"/>
    <w:rPr>
      <w:b/>
      <w:bCs/>
      <w:i/>
      <w:iCs/>
      <w:color w:val="4F81BD"/>
      <w:kern w:val="2"/>
      <w:sz w:val="21"/>
    </w:rPr>
  </w:style>
  <w:style w:type="character" w:customStyle="1" w:styleId="126">
    <w:name w:val="页眉 Char1"/>
    <w:semiHidden/>
    <w:qFormat/>
    <w:uiPriority w:val="99"/>
    <w:rPr>
      <w:rFonts w:ascii="Calibri" w:hAnsi="Calibri" w:eastAsia="宋体" w:cs="Times New Roman"/>
      <w:sz w:val="18"/>
      <w:szCs w:val="18"/>
    </w:rPr>
  </w:style>
  <w:style w:type="character" w:customStyle="1" w:styleId="127">
    <w:name w:val="不明显强调1"/>
    <w:qFormat/>
    <w:uiPriority w:val="0"/>
    <w:rPr>
      <w:i/>
      <w:iCs/>
      <w:color w:val="808080"/>
    </w:rPr>
  </w:style>
  <w:style w:type="character" w:customStyle="1" w:styleId="128">
    <w:name w:val="正文文本 3 Char"/>
    <w:link w:val="20"/>
    <w:qFormat/>
    <w:uiPriority w:val="0"/>
    <w:rPr>
      <w:rFonts w:ascii="宋体"/>
      <w:kern w:val="2"/>
      <w:sz w:val="24"/>
    </w:rPr>
  </w:style>
  <w:style w:type="character" w:customStyle="1" w:styleId="129">
    <w:name w:val="正文文本缩进 3 Char"/>
    <w:link w:val="36"/>
    <w:qFormat/>
    <w:uiPriority w:val="0"/>
    <w:rPr>
      <w:kern w:val="2"/>
      <w:sz w:val="16"/>
    </w:rPr>
  </w:style>
  <w:style w:type="character" w:customStyle="1" w:styleId="130">
    <w:name w:val="font21"/>
    <w:qFormat/>
    <w:uiPriority w:val="0"/>
    <w:rPr>
      <w:rFonts w:hint="eastAsia" w:ascii="宋体" w:hAnsi="宋体" w:eastAsia="宋体" w:cs="宋体"/>
      <w:color w:val="000000"/>
      <w:sz w:val="20"/>
      <w:szCs w:val="20"/>
      <w:u w:val="none"/>
    </w:rPr>
  </w:style>
  <w:style w:type="character" w:customStyle="1" w:styleId="131">
    <w:name w:val="批注框文本 Char"/>
    <w:link w:val="29"/>
    <w:qFormat/>
    <w:uiPriority w:val="0"/>
    <w:rPr>
      <w:kern w:val="2"/>
      <w:sz w:val="18"/>
      <w:szCs w:val="18"/>
    </w:rPr>
  </w:style>
  <w:style w:type="character" w:customStyle="1" w:styleId="132">
    <w:name w:val="标题 7 Char"/>
    <w:link w:val="10"/>
    <w:qFormat/>
    <w:uiPriority w:val="0"/>
    <w:rPr>
      <w:b/>
      <w:bCs/>
      <w:kern w:val="2"/>
      <w:sz w:val="24"/>
      <w:szCs w:val="24"/>
    </w:rPr>
  </w:style>
  <w:style w:type="character" w:customStyle="1" w:styleId="133">
    <w:name w:val="标题 1 Char1"/>
    <w:link w:val="4"/>
    <w:qFormat/>
    <w:uiPriority w:val="0"/>
    <w:rPr>
      <w:rFonts w:ascii="Times New Roman" w:hAnsi="Times New Roman" w:eastAsia="宋体" w:cs="Times New Roman"/>
      <w:b/>
      <w:bCs/>
      <w:kern w:val="44"/>
      <w:sz w:val="32"/>
      <w:szCs w:val="44"/>
    </w:rPr>
  </w:style>
  <w:style w:type="character" w:customStyle="1" w:styleId="134">
    <w:name w:val="文档结构图 Char1"/>
    <w:qFormat/>
    <w:uiPriority w:val="0"/>
    <w:rPr>
      <w:rFonts w:ascii="宋体" w:hAnsi="Calibri" w:eastAsia="宋体" w:cs="Times New Roman"/>
      <w:sz w:val="18"/>
      <w:szCs w:val="18"/>
    </w:rPr>
  </w:style>
  <w:style w:type="character" w:customStyle="1" w:styleId="135">
    <w:name w:val="标题 2 Char_0"/>
    <w:link w:val="136"/>
    <w:qFormat/>
    <w:uiPriority w:val="0"/>
    <w:rPr>
      <w:rFonts w:ascii="Cambria" w:hAnsi="Cambria"/>
      <w:b/>
      <w:bCs/>
      <w:sz w:val="32"/>
      <w:szCs w:val="32"/>
    </w:rPr>
  </w:style>
  <w:style w:type="paragraph" w:customStyle="1" w:styleId="136">
    <w:name w:val="标题 2_0"/>
    <w:basedOn w:val="62"/>
    <w:next w:val="62"/>
    <w:link w:val="135"/>
    <w:unhideWhenUsed/>
    <w:qFormat/>
    <w:uiPriority w:val="0"/>
    <w:pPr>
      <w:keepNext/>
      <w:keepLines/>
      <w:spacing w:before="260" w:after="260" w:line="416" w:lineRule="auto"/>
      <w:outlineLvl w:val="1"/>
    </w:pPr>
    <w:rPr>
      <w:rFonts w:ascii="Cambria" w:hAnsi="Cambria"/>
      <w:b/>
      <w:bCs/>
      <w:kern w:val="0"/>
      <w:sz w:val="32"/>
      <w:szCs w:val="32"/>
    </w:rPr>
  </w:style>
  <w:style w:type="character" w:customStyle="1" w:styleId="137">
    <w:name w:val="日期 Char2"/>
    <w:semiHidden/>
    <w:qFormat/>
    <w:uiPriority w:val="99"/>
    <w:rPr>
      <w:rFonts w:ascii="Calibri" w:hAnsi="Calibri" w:eastAsia="宋体" w:cs="Times New Roman"/>
    </w:rPr>
  </w:style>
  <w:style w:type="character" w:customStyle="1" w:styleId="138">
    <w:name w:val="批注框文本 Char2"/>
    <w:semiHidden/>
    <w:qFormat/>
    <w:uiPriority w:val="99"/>
    <w:rPr>
      <w:rFonts w:ascii="Calibri" w:hAnsi="Calibri" w:eastAsia="宋体" w:cs="Times New Roman"/>
      <w:sz w:val="18"/>
      <w:szCs w:val="18"/>
    </w:rPr>
  </w:style>
  <w:style w:type="character" w:customStyle="1" w:styleId="139">
    <w:name w:val="标题 4 Char"/>
    <w:link w:val="7"/>
    <w:qFormat/>
    <w:uiPriority w:val="0"/>
    <w:rPr>
      <w:rFonts w:ascii="Cambria" w:hAnsi="Cambria" w:eastAsia="宋体" w:cs="Times New Roman"/>
      <w:b/>
      <w:bCs/>
      <w:kern w:val="2"/>
      <w:sz w:val="28"/>
      <w:szCs w:val="28"/>
    </w:rPr>
  </w:style>
  <w:style w:type="character" w:customStyle="1" w:styleId="140">
    <w:name w:val="列出段落 Char"/>
    <w:link w:val="141"/>
    <w:qFormat/>
    <w:locked/>
    <w:uiPriority w:val="99"/>
    <w:rPr>
      <w:kern w:val="2"/>
      <w:sz w:val="21"/>
      <w:szCs w:val="24"/>
    </w:rPr>
  </w:style>
  <w:style w:type="paragraph" w:customStyle="1" w:styleId="141">
    <w:name w:val="List Paragraph1"/>
    <w:basedOn w:val="1"/>
    <w:link w:val="140"/>
    <w:qFormat/>
    <w:uiPriority w:val="99"/>
    <w:pPr>
      <w:ind w:firstLine="420" w:firstLineChars="200"/>
    </w:pPr>
  </w:style>
  <w:style w:type="paragraph" w:customStyle="1" w:styleId="142">
    <w:name w:val="样式 标题 3 + (中文) 黑体 小四 非加粗 段前: 7.8 磅 段后: 0 磅 行距: 固定值 20 磅"/>
    <w:basedOn w:val="6"/>
    <w:next w:val="1"/>
    <w:qFormat/>
    <w:uiPriority w:val="0"/>
    <w:pPr>
      <w:spacing w:before="0" w:after="0" w:line="400" w:lineRule="exact"/>
    </w:pPr>
    <w:rPr>
      <w:rFonts w:eastAsia="黑体" w:cs="宋体"/>
      <w:b w:val="0"/>
      <w:bCs w:val="0"/>
      <w:sz w:val="24"/>
      <w:szCs w:val="20"/>
    </w:rPr>
  </w:style>
  <w:style w:type="paragraph" w:customStyle="1" w:styleId="143">
    <w:name w:val="_Style 34"/>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4">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5">
    <w:name w:val="_Style 36"/>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6">
    <w:name w:val="空半行"/>
    <w:basedOn w:val="1"/>
    <w:qFormat/>
    <w:uiPriority w:val="0"/>
    <w:pPr>
      <w:adjustRightInd w:val="0"/>
      <w:spacing w:line="120" w:lineRule="exact"/>
      <w:textAlignment w:val="baseline"/>
    </w:pPr>
    <w:rPr>
      <w:rFonts w:ascii="Calibri" w:hAnsi="Calibri" w:eastAsia="仿宋_GB2312"/>
      <w:color w:val="FFFFFF"/>
      <w:kern w:val="0"/>
      <w:sz w:val="30"/>
      <w:szCs w:val="22"/>
    </w:rPr>
  </w:style>
  <w:style w:type="paragraph" w:customStyle="1" w:styleId="147">
    <w:name w:val="1方案格式1"/>
    <w:basedOn w:val="4"/>
    <w:qFormat/>
    <w:uiPriority w:val="0"/>
    <w:pPr>
      <w:numPr>
        <w:numId w:val="2"/>
      </w:numPr>
      <w:tabs>
        <w:tab w:val="left" w:pos="360"/>
      </w:tabs>
      <w:spacing w:beforeLines="50" w:afterLines="50" w:line="360" w:lineRule="auto"/>
      <w:ind w:left="0" w:firstLine="0"/>
    </w:pPr>
    <w:rPr>
      <w:rFonts w:eastAsia="微软雅黑"/>
      <w:bCs w:val="0"/>
      <w:sz w:val="48"/>
    </w:rPr>
  </w:style>
  <w:style w:type="paragraph" w:customStyle="1" w:styleId="148">
    <w:name w:val="格式３"/>
    <w:basedOn w:val="1"/>
    <w:qFormat/>
    <w:uiPriority w:val="0"/>
    <w:pPr>
      <w:spacing w:line="420" w:lineRule="exact"/>
      <w:ind w:left="600" w:hanging="600" w:hangingChars="250"/>
    </w:pPr>
    <w:rPr>
      <w:rFonts w:ascii="宋体" w:hAnsi="宋体"/>
      <w:color w:val="000000"/>
      <w:sz w:val="24"/>
      <w:szCs w:val="20"/>
    </w:rPr>
  </w:style>
  <w:style w:type="paragraph" w:customStyle="1" w:styleId="149">
    <w:name w:val="正文1"/>
    <w:qFormat/>
    <w:uiPriority w:val="0"/>
    <w:pPr>
      <w:widowControl w:val="0"/>
      <w:jc w:val="both"/>
    </w:pPr>
    <w:rPr>
      <w:rFonts w:ascii="Calibri" w:hAnsi="Calibri" w:eastAsia="宋体" w:cs="Times New Roman"/>
      <w:lang w:val="en-US" w:eastAsia="zh-CN" w:bidi="ar-SA"/>
    </w:rPr>
  </w:style>
  <w:style w:type="paragraph" w:customStyle="1" w:styleId="150">
    <w:name w:val="正文空2字"/>
    <w:basedOn w:val="1"/>
    <w:qFormat/>
    <w:locked/>
    <w:uiPriority w:val="0"/>
    <w:pPr>
      <w:spacing w:beforeLines="40" w:afterLines="40" w:line="360" w:lineRule="auto"/>
      <w:ind w:firstLine="200" w:firstLineChars="200"/>
    </w:pPr>
    <w:rPr>
      <w:kern w:val="0"/>
      <w:sz w:val="24"/>
      <w:lang w:bidi="en-US"/>
    </w:rPr>
  </w:style>
  <w:style w:type="paragraph" w:customStyle="1" w:styleId="151">
    <w:name w:val="正文_0_0_0"/>
    <w:qFormat/>
    <w:uiPriority w:val="0"/>
    <w:pPr>
      <w:widowControl w:val="0"/>
      <w:jc w:val="both"/>
    </w:pPr>
    <w:rPr>
      <w:rFonts w:ascii="Times New Roman" w:hAnsi="Times New Roman" w:eastAsia="宋体" w:cs="Times New Roman"/>
      <w:lang w:val="en-US" w:eastAsia="zh-CN" w:bidi="ar-SA"/>
    </w:rPr>
  </w:style>
  <w:style w:type="paragraph" w:customStyle="1" w:styleId="152">
    <w:name w:val="目录 5_0"/>
    <w:basedOn w:val="62"/>
    <w:next w:val="62"/>
    <w:qFormat/>
    <w:uiPriority w:val="39"/>
    <w:pPr>
      <w:ind w:left="1680" w:leftChars="800"/>
    </w:pPr>
    <w:rPr>
      <w:rFonts w:ascii="Calibri" w:hAnsi="Calibri"/>
    </w:rPr>
  </w:style>
  <w:style w:type="paragraph" w:customStyle="1" w:styleId="153">
    <w:name w:val="修订1"/>
    <w:qFormat/>
    <w:uiPriority w:val="0"/>
    <w:rPr>
      <w:rFonts w:ascii="Times New Roman" w:hAnsi="Times New Roman" w:eastAsia="宋体" w:cs="Times New Roman"/>
      <w:kern w:val="2"/>
      <w:sz w:val="21"/>
      <w:szCs w:val="24"/>
      <w:lang w:val="en-US" w:eastAsia="zh-CN" w:bidi="ar-SA"/>
    </w:rPr>
  </w:style>
  <w:style w:type="paragraph" w:customStyle="1" w:styleId="154">
    <w:name w:val="标题 11"/>
    <w:basedOn w:val="149"/>
    <w:next w:val="149"/>
    <w:qFormat/>
    <w:uiPriority w:val="0"/>
    <w:pPr>
      <w:keepNext/>
      <w:keepLines/>
      <w:spacing w:before="340" w:after="330" w:line="576" w:lineRule="auto"/>
      <w:outlineLvl w:val="0"/>
    </w:pPr>
    <w:rPr>
      <w:rFonts w:ascii="Times New Roman" w:hAnsi="Times New Roman" w:eastAsia="Times New Roman"/>
      <w:b/>
      <w:kern w:val="44"/>
      <w:sz w:val="44"/>
      <w:lang w:val="zh-CN"/>
    </w:rPr>
  </w:style>
  <w:style w:type="paragraph" w:customStyle="1" w:styleId="155">
    <w:name w:val="正文 + 行距: 固定值 20 磅"/>
    <w:basedOn w:val="1"/>
    <w:qFormat/>
    <w:uiPriority w:val="0"/>
    <w:pPr>
      <w:spacing w:line="400" w:lineRule="exact"/>
      <w:ind w:firstLine="716" w:firstLineChars="341"/>
    </w:pPr>
    <w:rPr>
      <w:rFonts w:ascii="Calibri" w:hAnsi="Calibri"/>
      <w:szCs w:val="22"/>
    </w:rPr>
  </w:style>
  <w:style w:type="paragraph" w:customStyle="1" w:styleId="156">
    <w:name w:val="TOC 标题1"/>
    <w:basedOn w:val="4"/>
    <w:next w:val="1"/>
    <w:qFormat/>
    <w:uiPriority w:val="0"/>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157">
    <w:name w:val="表格文字"/>
    <w:basedOn w:val="1"/>
    <w:link w:val="188"/>
    <w:qFormat/>
    <w:uiPriority w:val="0"/>
    <w:pPr>
      <w:adjustRightInd w:val="0"/>
      <w:spacing w:line="420" w:lineRule="atLeast"/>
      <w:jc w:val="left"/>
      <w:textAlignment w:val="baseline"/>
    </w:pPr>
    <w:rPr>
      <w:rFonts w:ascii="Calibri" w:hAnsi="Calibri"/>
      <w:kern w:val="0"/>
      <w:szCs w:val="22"/>
    </w:rPr>
  </w:style>
  <w:style w:type="paragraph" w:customStyle="1" w:styleId="158">
    <w:name w:val="flNote"/>
    <w:basedOn w:val="1"/>
    <w:qFormat/>
    <w:uiPriority w:val="0"/>
    <w:pPr>
      <w:adjustRightInd w:val="0"/>
      <w:spacing w:before="320" w:after="160" w:line="360" w:lineRule="atLeast"/>
      <w:jc w:val="center"/>
      <w:textAlignment w:val="baseline"/>
    </w:pPr>
    <w:rPr>
      <w:rFonts w:ascii="Arial" w:hAnsi="Calibri" w:eastAsia="黑体"/>
      <w:kern w:val="0"/>
      <w:sz w:val="30"/>
      <w:szCs w:val="22"/>
    </w:rPr>
  </w:style>
  <w:style w:type="paragraph" w:customStyle="1" w:styleId="159">
    <w:name w:val="文章正文"/>
    <w:basedOn w:val="1"/>
    <w:qFormat/>
    <w:uiPriority w:val="99"/>
    <w:pPr>
      <w:adjustRightInd w:val="0"/>
      <w:snapToGrid w:val="0"/>
      <w:spacing w:line="360" w:lineRule="auto"/>
      <w:ind w:firstLine="480" w:firstLineChars="200"/>
    </w:pPr>
    <w:rPr>
      <w:rFonts w:ascii="仿宋_GB2312" w:hAnsi="宋体" w:eastAsia="仿宋_GB2312"/>
      <w:color w:val="FF0000"/>
      <w:sz w:val="24"/>
    </w:rPr>
  </w:style>
  <w:style w:type="paragraph" w:customStyle="1" w:styleId="160">
    <w:name w:val="表格"/>
    <w:basedOn w:val="1"/>
    <w:qFormat/>
    <w:uiPriority w:val="0"/>
    <w:pPr>
      <w:jc w:val="center"/>
      <w:textAlignment w:val="center"/>
    </w:pPr>
    <w:rPr>
      <w:rFonts w:ascii="华文细黑" w:hAnsi="华文细黑"/>
      <w:kern w:val="0"/>
      <w:szCs w:val="22"/>
    </w:rPr>
  </w:style>
  <w:style w:type="paragraph" w:customStyle="1" w:styleId="161">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3">
    <w:name w:val="列出段落2"/>
    <w:basedOn w:val="1"/>
    <w:qFormat/>
    <w:uiPriority w:val="99"/>
    <w:pPr>
      <w:ind w:firstLine="420" w:firstLineChars="200"/>
    </w:pPr>
  </w:style>
  <w:style w:type="paragraph" w:customStyle="1" w:styleId="164">
    <w:name w:val="6'"/>
    <w:basedOn w:val="1"/>
    <w:qFormat/>
    <w:uiPriority w:val="0"/>
    <w:pPr>
      <w:autoSpaceDE w:val="0"/>
      <w:autoSpaceDN w:val="0"/>
      <w:adjustRightInd w:val="0"/>
      <w:snapToGrid w:val="0"/>
      <w:spacing w:line="320" w:lineRule="exact"/>
      <w:jc w:val="center"/>
      <w:textAlignment w:val="baseline"/>
    </w:pPr>
    <w:rPr>
      <w:rFonts w:ascii="Calibri" w:hAnsi="Calibri"/>
      <w:spacing w:val="20"/>
      <w:kern w:val="28"/>
      <w:szCs w:val="22"/>
    </w:rPr>
  </w:style>
  <w:style w:type="paragraph" w:customStyle="1" w:styleId="165">
    <w:name w:val="Char Char Char Char Char Char Char"/>
    <w:basedOn w:val="1"/>
    <w:qFormat/>
    <w:uiPriority w:val="0"/>
    <w:pPr>
      <w:adjustRightInd w:val="0"/>
      <w:spacing w:line="360" w:lineRule="auto"/>
    </w:pPr>
    <w:rPr>
      <w:kern w:val="0"/>
      <w:sz w:val="24"/>
      <w:szCs w:val="20"/>
    </w:rPr>
  </w:style>
  <w:style w:type="paragraph" w:customStyle="1" w:styleId="166">
    <w:name w:val="2方案格式2"/>
    <w:basedOn w:val="147"/>
    <w:qFormat/>
    <w:uiPriority w:val="0"/>
    <w:pPr>
      <w:numPr>
        <w:ilvl w:val="1"/>
      </w:numPr>
      <w:spacing w:before="50" w:after="50" w:line="240" w:lineRule="auto"/>
      <w:outlineLvl w:val="1"/>
    </w:pPr>
    <w:rPr>
      <w:sz w:val="44"/>
    </w:rPr>
  </w:style>
  <w:style w:type="paragraph" w:customStyle="1" w:styleId="16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8">
    <w:name w:val="文档正文"/>
    <w:basedOn w:val="1"/>
    <w:qFormat/>
    <w:uiPriority w:val="0"/>
    <w:pPr>
      <w:adjustRightInd w:val="0"/>
      <w:spacing w:line="480" w:lineRule="atLeast"/>
      <w:ind w:firstLine="567"/>
      <w:textAlignment w:val="baseline"/>
    </w:pPr>
    <w:rPr>
      <w:rFonts w:ascii="Ari" w:eastAsia="Ari"/>
      <w:kern w:val="0"/>
      <w:sz w:val="28"/>
      <w:szCs w:val="20"/>
    </w:rPr>
  </w:style>
  <w:style w:type="paragraph" w:customStyle="1" w:styleId="169">
    <w:name w:val="t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0">
    <w:name w:val="目录 4_0"/>
    <w:basedOn w:val="62"/>
    <w:next w:val="62"/>
    <w:qFormat/>
    <w:uiPriority w:val="39"/>
    <w:pPr>
      <w:ind w:left="1260" w:leftChars="600"/>
    </w:pPr>
    <w:rPr>
      <w:rFonts w:ascii="Calibri" w:hAnsi="Calibri"/>
    </w:rPr>
  </w:style>
  <w:style w:type="paragraph" w:customStyle="1" w:styleId="171">
    <w:name w:val="目录 3_0"/>
    <w:basedOn w:val="62"/>
    <w:next w:val="62"/>
    <w:qFormat/>
    <w:uiPriority w:val="39"/>
    <w:pPr>
      <w:ind w:left="840" w:leftChars="400"/>
    </w:pPr>
    <w:rPr>
      <w:rFonts w:ascii="Calibri" w:hAnsi="Calibri"/>
    </w:rPr>
  </w:style>
  <w:style w:type="paragraph" w:customStyle="1" w:styleId="172">
    <w:name w:val="样式 标题 1 + 黑体 三号 非加粗 居中 段前: 6 磅 段后: 6 磅 行距: 固定值 20 磅"/>
    <w:basedOn w:val="4"/>
    <w:qFormat/>
    <w:uiPriority w:val="0"/>
    <w:pPr>
      <w:numPr>
        <w:numId w:val="0"/>
      </w:numPr>
      <w:spacing w:before="120" w:after="120" w:line="400" w:lineRule="exact"/>
    </w:pPr>
    <w:rPr>
      <w:rFonts w:ascii="黑体" w:hAnsi="黑体" w:eastAsia="黑体"/>
      <w:b w:val="0"/>
      <w:bCs w:val="0"/>
      <w:szCs w:val="20"/>
    </w:rPr>
  </w:style>
  <w:style w:type="paragraph" w:customStyle="1" w:styleId="173">
    <w:name w:val="1"/>
    <w:basedOn w:val="1"/>
    <w:next w:val="1"/>
    <w:qFormat/>
    <w:uiPriority w:val="0"/>
    <w:rPr>
      <w:rFonts w:ascii="Calibri" w:hAnsi="Calibri"/>
      <w:szCs w:val="22"/>
    </w:rPr>
  </w:style>
  <w:style w:type="paragraph" w:customStyle="1" w:styleId="174">
    <w:name w:val="Blockquote_0"/>
    <w:basedOn w:val="62"/>
    <w:qFormat/>
    <w:uiPriority w:val="0"/>
    <w:pPr>
      <w:autoSpaceDE w:val="0"/>
      <w:autoSpaceDN w:val="0"/>
      <w:adjustRightInd w:val="0"/>
      <w:spacing w:before="100" w:after="100"/>
      <w:ind w:left="360" w:right="360"/>
      <w:jc w:val="left"/>
    </w:pPr>
    <w:rPr>
      <w:rFonts w:ascii="Calibri" w:hAnsi="Calibri" w:eastAsia="Times New Roman"/>
      <w:kern w:val="0"/>
      <w:sz w:val="24"/>
      <w:szCs w:val="20"/>
    </w:rPr>
  </w:style>
  <w:style w:type="paragraph" w:customStyle="1" w:styleId="175">
    <w:name w:val="列出段落11"/>
    <w:basedOn w:val="1"/>
    <w:qFormat/>
    <w:uiPriority w:val="0"/>
    <w:pPr>
      <w:widowControl/>
      <w:ind w:left="720"/>
      <w:contextualSpacing/>
      <w:jc w:val="left"/>
    </w:pPr>
    <w:rPr>
      <w:rFonts w:ascii="Arial" w:hAnsi="Arial" w:eastAsia="黑体"/>
      <w:kern w:val="0"/>
      <w:sz w:val="24"/>
      <w:lang w:eastAsia="en-US"/>
    </w:rPr>
  </w:style>
  <w:style w:type="paragraph" w:customStyle="1" w:styleId="176">
    <w:name w:val="样式 标题 2 + Times New Roman 四号 非加粗 段前: 5 磅 段后: 0 磅 行距: 固定值 20..._0"/>
    <w:basedOn w:val="1"/>
    <w:qFormat/>
    <w:uiPriority w:val="0"/>
    <w:pPr>
      <w:keepNext/>
      <w:keepLines/>
      <w:spacing w:before="100" w:line="360" w:lineRule="auto"/>
      <w:outlineLvl w:val="1"/>
    </w:pPr>
    <w:rPr>
      <w:rFonts w:eastAsia="Times New Roman" w:cs="宋体"/>
      <w:kern w:val="0"/>
      <w:sz w:val="28"/>
      <w:szCs w:val="20"/>
    </w:rPr>
  </w:style>
  <w:style w:type="paragraph" w:customStyle="1" w:styleId="177">
    <w:name w:val="op_mapdots_lef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8">
    <w:name w:val="p0"/>
    <w:basedOn w:val="1"/>
    <w:qFormat/>
    <w:uiPriority w:val="0"/>
    <w:pPr>
      <w:widowControl/>
    </w:pPr>
    <w:rPr>
      <w:b/>
      <w:bCs/>
      <w:kern w:val="0"/>
      <w:sz w:val="24"/>
    </w:rPr>
  </w:style>
  <w:style w:type="paragraph" w:customStyle="1" w:styleId="179">
    <w:name w:val="Blockquote"/>
    <w:basedOn w:val="1"/>
    <w:qFormat/>
    <w:uiPriority w:val="0"/>
    <w:pPr>
      <w:autoSpaceDE w:val="0"/>
      <w:autoSpaceDN w:val="0"/>
      <w:adjustRightInd w:val="0"/>
      <w:spacing w:before="100" w:after="100"/>
      <w:ind w:left="360" w:right="360"/>
      <w:jc w:val="left"/>
    </w:pPr>
    <w:rPr>
      <w:rFonts w:ascii="Calibri" w:hAnsi="Calibri"/>
      <w:kern w:val="0"/>
      <w:sz w:val="24"/>
      <w:szCs w:val="22"/>
    </w:rPr>
  </w:style>
  <w:style w:type="paragraph" w:customStyle="1" w:styleId="180">
    <w:name w:val="3方案格式3"/>
    <w:basedOn w:val="166"/>
    <w:qFormat/>
    <w:uiPriority w:val="0"/>
    <w:pPr>
      <w:numPr>
        <w:ilvl w:val="2"/>
      </w:numPr>
      <w:outlineLvl w:val="2"/>
    </w:pPr>
    <w:rPr>
      <w:sz w:val="32"/>
    </w:rPr>
  </w:style>
  <w:style w:type="paragraph" w:customStyle="1" w:styleId="181">
    <w:name w:val="样式 标题 2 + Times New Roman 四号 非加粗 段前: 5 磅 段后: 0 磅 行距: 固定值 20..."/>
    <w:basedOn w:val="5"/>
    <w:qFormat/>
    <w:uiPriority w:val="0"/>
    <w:pPr>
      <w:numPr>
        <w:ilvl w:val="0"/>
        <w:numId w:val="0"/>
      </w:numPr>
      <w:spacing w:before="100" w:after="0" w:line="400" w:lineRule="exact"/>
    </w:pPr>
    <w:rPr>
      <w:rFonts w:ascii="Times New Roman" w:hAnsi="Times New Roman" w:eastAsia="黑体"/>
      <w:b w:val="0"/>
      <w:bCs w:val="0"/>
      <w:sz w:val="28"/>
      <w:szCs w:val="20"/>
    </w:rPr>
  </w:style>
  <w:style w:type="paragraph" w:customStyle="1" w:styleId="182">
    <w:name w:val="标题2"/>
    <w:basedOn w:val="5"/>
    <w:next w:val="3"/>
    <w:qFormat/>
    <w:uiPriority w:val="0"/>
    <w:pPr>
      <w:spacing w:before="156" w:after="156" w:line="360" w:lineRule="auto"/>
    </w:pPr>
    <w:rPr>
      <w:bCs w:val="0"/>
      <w:sz w:val="24"/>
    </w:rPr>
  </w:style>
  <w:style w:type="paragraph" w:customStyle="1" w:styleId="183">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4">
    <w:name w:val="正文11"/>
    <w:qFormat/>
    <w:uiPriority w:val="0"/>
    <w:rPr>
      <w:rFonts w:ascii="Calibri" w:hAnsi="Calibri" w:eastAsia="宋体" w:cs="Calibri"/>
      <w:sz w:val="24"/>
      <w:szCs w:val="24"/>
      <w:lang w:val="en-US" w:eastAsia="zh-CN" w:bidi="ar-SA"/>
    </w:rPr>
  </w:style>
  <w:style w:type="paragraph" w:customStyle="1" w:styleId="185">
    <w:name w:val="正文2"/>
    <w:qFormat/>
    <w:uiPriority w:val="0"/>
    <w:rPr>
      <w:rFonts w:ascii="Times New Roman" w:hAnsi="Times New Roman" w:eastAsia="微软雅黑" w:cs="Times New Roman"/>
      <w:sz w:val="24"/>
      <w:szCs w:val="24"/>
      <w:lang w:val="en-US" w:eastAsia="zh-CN" w:bidi="ar-SA"/>
    </w:rPr>
  </w:style>
  <w:style w:type="paragraph" w:customStyle="1" w:styleId="186">
    <w:name w:val="列出段落3"/>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87">
    <w:name w:val="纯文本2"/>
    <w:basedOn w:val="1"/>
    <w:qFormat/>
    <w:uiPriority w:val="0"/>
    <w:pPr>
      <w:jc w:val="left"/>
    </w:pPr>
    <w:rPr>
      <w:rFonts w:hint="eastAsia" w:ascii="宋体" w:hAnsi="宋体" w:cs="Courier New"/>
      <w:kern w:val="1"/>
      <w:sz w:val="24"/>
      <w:szCs w:val="20"/>
      <w:lang w:bidi="hi-IN"/>
    </w:rPr>
  </w:style>
  <w:style w:type="character" w:customStyle="1" w:styleId="188">
    <w:name w:val="表格文字 字符"/>
    <w:link w:val="157"/>
    <w:qFormat/>
    <w:uiPriority w:val="0"/>
    <w:rPr>
      <w:rFonts w:ascii="Calibri" w:hAnsi="Calibri" w:eastAsia="宋体" w:cs="Times New Roman"/>
      <w:sz w:val="21"/>
      <w:szCs w:val="22"/>
    </w:rPr>
  </w:style>
  <w:style w:type="paragraph" w:styleId="189">
    <w:name w:val="List Paragraph"/>
    <w:basedOn w:val="1"/>
    <w:qFormat/>
    <w:uiPriority w:val="99"/>
    <w:pPr>
      <w:ind w:firstLine="420" w:firstLineChars="200"/>
    </w:pPr>
  </w:style>
  <w:style w:type="paragraph" w:customStyle="1" w:styleId="190">
    <w:name w:val="trs_edito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1">
    <w:name w:val="Table Text"/>
    <w:basedOn w:val="1"/>
    <w:semiHidden/>
    <w:qFormat/>
    <w:uiPriority w:val="0"/>
    <w:rPr>
      <w:rFonts w:ascii="宋体" w:hAnsi="宋体" w:cs="宋体"/>
    </w:rPr>
  </w:style>
  <w:style w:type="table" w:customStyle="1" w:styleId="192">
    <w:name w:val="Table Normal"/>
    <w:semiHidden/>
    <w:unhideWhenUsed/>
    <w:qFormat/>
    <w:uiPriority w:val="0"/>
    <w:tblPr>
      <w:tblCellMar>
        <w:top w:w="0" w:type="dxa"/>
        <w:left w:w="0" w:type="dxa"/>
        <w:bottom w:w="0" w:type="dxa"/>
        <w:right w:w="0" w:type="dxa"/>
      </w:tblCellMar>
    </w:tblPr>
  </w:style>
  <w:style w:type="paragraph" w:customStyle="1" w:styleId="193">
    <w:name w:val="_Style 6"/>
    <w:basedOn w:val="4"/>
    <w:next w:val="1"/>
    <w:qFormat/>
    <w:uiPriority w:val="0"/>
    <w:pPr>
      <w:outlineLvl w:val="9"/>
    </w:pPr>
  </w:style>
  <w:style w:type="paragraph" w:customStyle="1" w:styleId="194">
    <w:name w:val="样式 正文缩进 + 首行缩进:  2 字符"/>
    <w:basedOn w:val="15"/>
    <w:qFormat/>
    <w:uiPriority w:val="0"/>
    <w:pPr>
      <w:ind w:firstLine="200"/>
    </w:pPr>
    <w:rPr>
      <w:rFonts w:cs="宋体"/>
      <w:szCs w:val="20"/>
    </w:rPr>
  </w:style>
  <w:style w:type="table" w:customStyle="1" w:styleId="195">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6">
    <w:name w:val="正文_2"/>
    <w:next w:val="1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7">
    <w:name w:val="列出段落1_0"/>
    <w:basedOn w:val="198"/>
    <w:next w:val="199"/>
    <w:qFormat/>
    <w:uiPriority w:val="0"/>
    <w:pPr>
      <w:ind w:firstLine="420" w:firstLineChars="200"/>
    </w:pPr>
    <w:rPr>
      <w:rFonts w:ascii="Calibri" w:hAnsi="Calibri" w:cs="Calibri"/>
      <w:szCs w:val="21"/>
    </w:rPr>
  </w:style>
  <w:style w:type="paragraph" w:customStyle="1" w:styleId="198">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标题 7_0"/>
    <w:basedOn w:val="196"/>
    <w:next w:val="196"/>
    <w:qFormat/>
    <w:uiPriority w:val="0"/>
    <w:pPr>
      <w:keepNext/>
      <w:keepLines/>
      <w:adjustRightInd w:val="0"/>
      <w:spacing w:before="240" w:after="64" w:line="320" w:lineRule="atLeast"/>
      <w:jc w:val="left"/>
      <w:textAlignment w:val="baseline"/>
      <w:outlineLvl w:val="6"/>
    </w:pPr>
    <w:rPr>
      <w:b/>
      <w:bCs/>
      <w:kern w:val="0"/>
      <w:sz w:val="24"/>
    </w:rPr>
  </w:style>
  <w:style w:type="paragraph" w:customStyle="1" w:styleId="200">
    <w:name w:val="正文文本缩进_0"/>
    <w:basedOn w:val="196"/>
    <w:unhideWhenUsed/>
    <w:qFormat/>
    <w:uiPriority w:val="0"/>
    <w:pPr>
      <w:spacing w:after="120"/>
      <w:ind w:left="420" w:leftChars="200"/>
    </w:pPr>
  </w:style>
  <w:style w:type="paragraph" w:customStyle="1" w:styleId="201">
    <w:name w:val="纯文本_0"/>
    <w:basedOn w:val="196"/>
    <w:unhideWhenUsed/>
    <w:qFormat/>
    <w:uiPriority w:val="0"/>
    <w:rPr>
      <w:rFonts w:ascii="宋体" w:hAnsi="Courier New" w:cs="Courier New"/>
      <w:szCs w:val="21"/>
    </w:rPr>
  </w:style>
  <w:style w:type="paragraph" w:customStyle="1" w:styleId="202">
    <w:name w:val="正文_1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3">
    <w:name w:val="正文_1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4">
    <w:name w:val="正文_1_0_0_0_0"/>
    <w:next w:val="20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5">
    <w:name w:val="正文文本_1_0"/>
    <w:basedOn w:val="204"/>
    <w:next w:val="204"/>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B779B3-89D4-40A1-B0F0-DD514C3559F0}">
  <ds:schemaRefs/>
</ds:datastoreItem>
</file>

<file path=docProps/app.xml><?xml version="1.0" encoding="utf-8"?>
<Properties xmlns="http://schemas.openxmlformats.org/officeDocument/2006/extended-properties" xmlns:vt="http://schemas.openxmlformats.org/officeDocument/2006/docPropsVTypes">
  <Template>Normal</Template>
  <Company>江苏省设备成套有限公司</Company>
  <Pages>49</Pages>
  <Words>22177</Words>
  <Characters>23118</Characters>
  <Lines>149</Lines>
  <Paragraphs>42</Paragraphs>
  <TotalTime>0</TotalTime>
  <ScaleCrop>false</ScaleCrop>
  <LinksUpToDate>false</LinksUpToDate>
  <CharactersWithSpaces>24984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2020-06-23T11:42:00Z</dcterms:created>
  <dc:creator>Lenovo User</dc:creator>
  <cp:lastModifiedBy>努力努力努力</cp:lastModifiedBy>
  <cp:lastPrinted>2024-06-19T09:49:00Z</cp:lastPrinted>
  <dcterms:modified xsi:type="dcterms:W3CDTF">2026-09-23T04:23:49Z</dcterms:modified>
  <dc:title>公开招标文件</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620C4859D4DD4A88A6FE9D0C7CD023AA_13</vt:lpwstr>
  </property>
  <property fmtid="{D5CDD505-2E9C-101B-9397-08002B2CF9AE}" pid="4" name="KSOTemplateDocerSaveRecord">
    <vt:lpwstr>eyJoZGlkIjoiMzEwNTM5NzYwMDRjMzkwZTVkZjY2ODkwMGIxNGU0OTUiLCJ1c2VySWQiOiI0NDk3Mzg1MDUifQ==</vt:lpwstr>
  </property>
</Properties>
</file>